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BC73F1">
      <w:pPr>
        <w:widowControl/>
        <w:shd w:val="clear"/>
        <w:spacing w:line="400" w:lineRule="atLeast"/>
        <w:ind w:firstLine="803"/>
        <w:jc w:val="center"/>
        <w:rPr>
          <w:b/>
          <w:bCs/>
          <w:color w:val="000000" w:themeColor="text1"/>
          <w:sz w:val="40"/>
          <w:szCs w:val="40"/>
          <w:highlight w:val="none"/>
        </w:rPr>
      </w:pPr>
      <w:bookmarkStart w:id="0" w:name="_Hlk67315894"/>
      <w:bookmarkStart w:id="1" w:name="_Toc185182814"/>
    </w:p>
    <w:p w14:paraId="59A7F19F">
      <w:pPr>
        <w:pStyle w:val="18"/>
        <w:shd w:val="clear"/>
        <w:rPr>
          <w:b/>
          <w:bCs/>
          <w:color w:val="000000" w:themeColor="text1"/>
          <w:sz w:val="40"/>
          <w:szCs w:val="40"/>
          <w:highlight w:val="none"/>
        </w:rPr>
      </w:pPr>
    </w:p>
    <w:p w14:paraId="79DB38B1">
      <w:pPr>
        <w:shd w:val="clear"/>
        <w:rPr>
          <w:highlight w:val="none"/>
        </w:rPr>
      </w:pPr>
    </w:p>
    <w:bookmarkEnd w:id="0"/>
    <w:p w14:paraId="4AC6BABA">
      <w:pPr>
        <w:widowControl/>
        <w:shd w:val="clear"/>
        <w:wordWrap w:val="0"/>
        <w:spacing w:line="400" w:lineRule="atLeast"/>
        <w:ind w:firstLine="420"/>
        <w:rPr>
          <w:color w:val="000000" w:themeColor="text1"/>
          <w:kern w:val="0"/>
          <w:szCs w:val="21"/>
          <w:highlight w:val="none"/>
        </w:rPr>
      </w:pPr>
    </w:p>
    <w:p w14:paraId="2068D422">
      <w:pPr>
        <w:pStyle w:val="18"/>
        <w:shd w:val="clear"/>
        <w:spacing w:line="240" w:lineRule="auto"/>
        <w:ind w:firstLine="420"/>
        <w:jc w:val="center"/>
        <w:rPr>
          <w:color w:val="000000" w:themeColor="text1"/>
          <w:highlight w:val="none"/>
        </w:rPr>
      </w:pPr>
      <w:r>
        <w:rPr>
          <w:rFonts w:hint="eastAsia" w:ascii="宋体" w:hAnsi="宋体" w:eastAsia="黑体" w:cs="宋体"/>
          <w:b/>
          <w:bCs/>
          <w:color w:val="000000" w:themeColor="text1"/>
          <w:kern w:val="0"/>
          <w:sz w:val="48"/>
          <w:szCs w:val="48"/>
          <w:highlight w:val="none"/>
          <w:u w:val="single"/>
          <w:lang w:eastAsia="zh-CN"/>
        </w:rPr>
        <w:t>物流集散道路工程EPC项目-道路工程劳务</w:t>
      </w:r>
    </w:p>
    <w:p w14:paraId="05107D4C">
      <w:pPr>
        <w:pStyle w:val="18"/>
        <w:shd w:val="clear"/>
        <w:ind w:firstLine="420"/>
        <w:rPr>
          <w:color w:val="000000" w:themeColor="text1"/>
          <w:highlight w:val="none"/>
        </w:rPr>
      </w:pPr>
    </w:p>
    <w:p w14:paraId="46C2D2ED">
      <w:pPr>
        <w:pStyle w:val="18"/>
        <w:shd w:val="clear"/>
        <w:ind w:firstLine="420"/>
        <w:rPr>
          <w:color w:val="000000" w:themeColor="text1"/>
          <w:highlight w:val="none"/>
        </w:rPr>
      </w:pPr>
    </w:p>
    <w:p w14:paraId="6A5575F3">
      <w:pPr>
        <w:pStyle w:val="18"/>
        <w:shd w:val="clear"/>
        <w:ind w:firstLine="420"/>
        <w:rPr>
          <w:color w:val="000000" w:themeColor="text1"/>
          <w:highlight w:val="none"/>
        </w:rPr>
      </w:pPr>
    </w:p>
    <w:p w14:paraId="55A7E7A3">
      <w:pPr>
        <w:pStyle w:val="18"/>
        <w:shd w:val="clear"/>
        <w:ind w:firstLine="420"/>
        <w:rPr>
          <w:color w:val="000000" w:themeColor="text1"/>
          <w:highlight w:val="none"/>
        </w:rPr>
      </w:pPr>
    </w:p>
    <w:p w14:paraId="0191B2AE">
      <w:pPr>
        <w:widowControl/>
        <w:shd w:val="clear"/>
        <w:wordWrap w:val="0"/>
        <w:spacing w:line="400" w:lineRule="atLeast"/>
        <w:ind w:firstLine="0" w:firstLineChars="0"/>
        <w:jc w:val="center"/>
        <w:rPr>
          <w:rFonts w:eastAsiaTheme="majorEastAsia"/>
          <w:b/>
          <w:bCs/>
          <w:color w:val="000000" w:themeColor="text1"/>
          <w:kern w:val="0"/>
          <w:sz w:val="24"/>
          <w:highlight w:val="none"/>
          <w:u w:val="single"/>
        </w:rPr>
      </w:pPr>
      <w:r>
        <w:rPr>
          <w:rFonts w:hAnsiTheme="majorEastAsia" w:eastAsiaTheme="majorEastAsia"/>
          <w:b/>
          <w:bCs/>
          <w:color w:val="000000" w:themeColor="text1"/>
          <w:kern w:val="0"/>
          <w:sz w:val="72"/>
          <w:highlight w:val="none"/>
        </w:rPr>
        <w:t>竞争性谈判文件</w:t>
      </w:r>
    </w:p>
    <w:p w14:paraId="5ADC181C">
      <w:pPr>
        <w:pStyle w:val="365"/>
        <w:shd w:val="clear"/>
        <w:spacing w:line="400" w:lineRule="atLeast"/>
        <w:ind w:firstLine="964" w:firstLineChars="300"/>
        <w:jc w:val="center"/>
        <w:rPr>
          <w:rFonts w:ascii="Times New Roman" w:hAnsi="Times New Roman" w:eastAsia="黑体"/>
          <w:b/>
          <w:bCs/>
          <w:color w:val="000000" w:themeColor="text1"/>
          <w:sz w:val="32"/>
          <w:highlight w:val="none"/>
        </w:rPr>
      </w:pPr>
    </w:p>
    <w:p w14:paraId="30B781D3">
      <w:pPr>
        <w:widowControl/>
        <w:shd w:val="clear"/>
        <w:wordWrap w:val="0"/>
        <w:spacing w:line="400" w:lineRule="atLeast"/>
        <w:ind w:firstLine="420"/>
        <w:jc w:val="center"/>
        <w:rPr>
          <w:color w:val="000000" w:themeColor="text1"/>
          <w:kern w:val="0"/>
          <w:szCs w:val="21"/>
          <w:highlight w:val="none"/>
        </w:rPr>
      </w:pPr>
    </w:p>
    <w:p w14:paraId="074913B6">
      <w:pPr>
        <w:pStyle w:val="18"/>
        <w:shd w:val="clear"/>
        <w:ind w:firstLine="420"/>
        <w:rPr>
          <w:color w:val="000000" w:themeColor="text1"/>
          <w:highlight w:val="none"/>
        </w:rPr>
      </w:pPr>
    </w:p>
    <w:p w14:paraId="5FB5B11C">
      <w:pPr>
        <w:pStyle w:val="18"/>
        <w:shd w:val="clear"/>
        <w:ind w:firstLine="420"/>
        <w:rPr>
          <w:color w:val="000000" w:themeColor="text1"/>
          <w:highlight w:val="none"/>
        </w:rPr>
      </w:pPr>
    </w:p>
    <w:p w14:paraId="7E66D888">
      <w:pPr>
        <w:widowControl/>
        <w:shd w:val="clear"/>
        <w:wordWrap w:val="0"/>
        <w:spacing w:line="400" w:lineRule="atLeast"/>
        <w:ind w:firstLine="420"/>
        <w:rPr>
          <w:color w:val="000000" w:themeColor="text1"/>
          <w:kern w:val="0"/>
          <w:szCs w:val="21"/>
          <w:highlight w:val="none"/>
        </w:rPr>
      </w:pPr>
    </w:p>
    <w:p w14:paraId="1800B87B">
      <w:pPr>
        <w:widowControl/>
        <w:shd w:val="clear"/>
        <w:wordWrap w:val="0"/>
        <w:spacing w:line="400" w:lineRule="atLeast"/>
        <w:ind w:firstLine="420"/>
        <w:jc w:val="center"/>
        <w:rPr>
          <w:color w:val="000000" w:themeColor="text1"/>
          <w:kern w:val="0"/>
          <w:szCs w:val="21"/>
          <w:highlight w:val="none"/>
        </w:rPr>
      </w:pPr>
    </w:p>
    <w:p w14:paraId="49D88B06">
      <w:pPr>
        <w:widowControl/>
        <w:shd w:val="clear"/>
        <w:wordWrap w:val="0"/>
        <w:spacing w:line="400" w:lineRule="atLeast"/>
        <w:ind w:firstLine="420"/>
        <w:jc w:val="center"/>
        <w:rPr>
          <w:color w:val="000000" w:themeColor="text1"/>
          <w:kern w:val="0"/>
          <w:szCs w:val="21"/>
          <w:highlight w:val="none"/>
        </w:rPr>
      </w:pPr>
    </w:p>
    <w:p w14:paraId="4A1A8C6A">
      <w:pPr>
        <w:widowControl/>
        <w:shd w:val="clear"/>
        <w:wordWrap w:val="0"/>
        <w:spacing w:line="400" w:lineRule="atLeast"/>
        <w:ind w:left="0" w:leftChars="0" w:firstLine="0" w:firstLineChars="0"/>
        <w:jc w:val="both"/>
        <w:rPr>
          <w:color w:val="000000" w:themeColor="text1"/>
          <w:kern w:val="0"/>
          <w:szCs w:val="21"/>
          <w:highlight w:val="none"/>
        </w:rPr>
      </w:pPr>
    </w:p>
    <w:bookmarkEnd w:id="1"/>
    <w:p w14:paraId="5FA64BE3">
      <w:pPr>
        <w:shd w:val="clear"/>
        <w:spacing w:line="560" w:lineRule="exact"/>
        <w:ind w:firstLine="1280" w:firstLineChars="400"/>
        <w:jc w:val="left"/>
        <w:rPr>
          <w:rFonts w:eastAsiaTheme="majorEastAsia"/>
          <w:color w:val="000000" w:themeColor="text1"/>
          <w:sz w:val="32"/>
          <w:szCs w:val="32"/>
          <w:highlight w:val="none"/>
        </w:rPr>
      </w:pPr>
      <w:bookmarkStart w:id="2" w:name="_Toc12025627"/>
      <w:bookmarkStart w:id="3" w:name="_Toc274636671"/>
      <w:bookmarkStart w:id="4" w:name="_Toc161156573"/>
      <w:bookmarkStart w:id="5" w:name="_Toc185182816"/>
      <w:bookmarkStart w:id="6" w:name="_Toc162622189"/>
      <w:bookmarkStart w:id="7" w:name="_Toc161154240"/>
      <w:bookmarkStart w:id="8" w:name="_Toc162618954"/>
      <w:bookmarkStart w:id="9" w:name="_Toc161155873"/>
      <w:r>
        <w:rPr>
          <w:rFonts w:hAnsiTheme="majorEastAsia" w:eastAsiaTheme="majorEastAsia"/>
          <w:color w:val="000000" w:themeColor="text1"/>
          <w:sz w:val="32"/>
          <w:szCs w:val="32"/>
          <w:highlight w:val="none"/>
        </w:rPr>
        <w:t>采购人：</w:t>
      </w:r>
      <w:r>
        <w:rPr>
          <w:rFonts w:hint="eastAsia" w:hAnsiTheme="majorEastAsia" w:eastAsiaTheme="majorEastAsia"/>
          <w:color w:val="000000" w:themeColor="text1"/>
          <w:sz w:val="32"/>
          <w:szCs w:val="32"/>
          <w:highlight w:val="none"/>
          <w:u w:val="single"/>
        </w:rPr>
        <w:t xml:space="preserve"> </w:t>
      </w:r>
      <w:r>
        <w:rPr>
          <w:rFonts w:hint="eastAsia" w:hAnsiTheme="majorEastAsia" w:eastAsiaTheme="majorEastAsia"/>
          <w:color w:val="000000" w:themeColor="text1"/>
          <w:sz w:val="32"/>
          <w:szCs w:val="32"/>
          <w:highlight w:val="none"/>
          <w:u w:val="single"/>
          <w:lang w:eastAsia="zh-CN"/>
        </w:rPr>
        <w:t>连云港徐圩城建工程有限公司</w:t>
      </w:r>
      <w:r>
        <w:rPr>
          <w:rFonts w:hint="eastAsia" w:hAnsiTheme="majorEastAsia" w:eastAsiaTheme="majorEastAsia"/>
          <w:color w:val="000000" w:themeColor="text1"/>
          <w:sz w:val="32"/>
          <w:szCs w:val="32"/>
          <w:highlight w:val="none"/>
          <w:u w:val="single"/>
          <w:lang w:val="en-US" w:eastAsia="zh-CN"/>
        </w:rPr>
        <w:t xml:space="preserve"> </w:t>
      </w:r>
      <w:r>
        <w:rPr>
          <w:rFonts w:hint="eastAsia" w:hAnsiTheme="majorEastAsia" w:eastAsiaTheme="majorEastAsia"/>
          <w:color w:val="000000" w:themeColor="text1"/>
          <w:sz w:val="32"/>
          <w:szCs w:val="32"/>
          <w:highlight w:val="none"/>
        </w:rPr>
        <w:t xml:space="preserve"> </w:t>
      </w:r>
    </w:p>
    <w:p w14:paraId="4B90E4CC">
      <w:pPr>
        <w:shd w:val="clear"/>
        <w:spacing w:line="560" w:lineRule="exact"/>
        <w:ind w:firstLine="1280" w:firstLineChars="400"/>
        <w:jc w:val="left"/>
        <w:rPr>
          <w:color w:val="000000" w:themeColor="text1"/>
          <w:highlight w:val="none"/>
        </w:rPr>
      </w:pPr>
      <w:r>
        <w:rPr>
          <w:rFonts w:hAnsiTheme="majorEastAsia" w:eastAsiaTheme="majorEastAsia"/>
          <w:color w:val="000000" w:themeColor="text1"/>
          <w:sz w:val="32"/>
          <w:szCs w:val="32"/>
          <w:highlight w:val="none"/>
        </w:rPr>
        <w:t>日</w:t>
      </w:r>
      <w:r>
        <w:rPr>
          <w:rFonts w:hint="eastAsia" w:hAnsiTheme="majorEastAsia" w:eastAsiaTheme="majorEastAsia"/>
          <w:color w:val="000000" w:themeColor="text1"/>
          <w:sz w:val="32"/>
          <w:szCs w:val="32"/>
          <w:highlight w:val="none"/>
          <w:lang w:val="en-US" w:eastAsia="zh-CN"/>
        </w:rPr>
        <w:t xml:space="preserve">  </w:t>
      </w:r>
      <w:r>
        <w:rPr>
          <w:rFonts w:hAnsiTheme="majorEastAsia" w:eastAsiaTheme="majorEastAsia"/>
          <w:color w:val="000000" w:themeColor="text1"/>
          <w:sz w:val="32"/>
          <w:szCs w:val="32"/>
          <w:highlight w:val="none"/>
        </w:rPr>
        <w:t>期：</w:t>
      </w:r>
      <w:r>
        <w:rPr>
          <w:rFonts w:eastAsiaTheme="majorEastAsia"/>
          <w:color w:val="000000" w:themeColor="text1"/>
          <w:sz w:val="32"/>
          <w:szCs w:val="32"/>
          <w:highlight w:val="none"/>
        </w:rPr>
        <w:t>202</w:t>
      </w:r>
      <w:r>
        <w:rPr>
          <w:rFonts w:hint="eastAsia" w:eastAsiaTheme="majorEastAsia"/>
          <w:color w:val="000000" w:themeColor="text1"/>
          <w:sz w:val="32"/>
          <w:szCs w:val="32"/>
          <w:highlight w:val="none"/>
          <w:lang w:val="en-US" w:eastAsia="zh-CN"/>
        </w:rPr>
        <w:t>6</w:t>
      </w:r>
      <w:r>
        <w:rPr>
          <w:rFonts w:hAnsiTheme="majorEastAsia" w:eastAsiaTheme="majorEastAsia"/>
          <w:color w:val="000000" w:themeColor="text1"/>
          <w:sz w:val="32"/>
          <w:szCs w:val="32"/>
          <w:highlight w:val="none"/>
        </w:rPr>
        <w:t>年</w:t>
      </w:r>
      <w:r>
        <w:rPr>
          <w:rFonts w:hint="eastAsia" w:eastAsiaTheme="majorEastAsia"/>
          <w:color w:val="000000" w:themeColor="text1"/>
          <w:sz w:val="32"/>
          <w:szCs w:val="32"/>
          <w:highlight w:val="none"/>
          <w:u w:val="single"/>
        </w:rPr>
        <w:t xml:space="preserve"> </w:t>
      </w:r>
      <w:r>
        <w:rPr>
          <w:rFonts w:hint="eastAsia" w:eastAsiaTheme="majorEastAsia"/>
          <w:color w:val="000000" w:themeColor="text1"/>
          <w:sz w:val="32"/>
          <w:szCs w:val="32"/>
          <w:highlight w:val="none"/>
          <w:u w:val="single"/>
          <w:lang w:val="en-US" w:eastAsia="zh-CN"/>
        </w:rPr>
        <w:t xml:space="preserve">10 </w:t>
      </w:r>
      <w:r>
        <w:rPr>
          <w:rFonts w:hAnsiTheme="majorEastAsia" w:eastAsiaTheme="majorEastAsia"/>
          <w:color w:val="000000" w:themeColor="text1"/>
          <w:sz w:val="32"/>
          <w:szCs w:val="32"/>
          <w:highlight w:val="none"/>
        </w:rPr>
        <w:t>月</w:t>
      </w:r>
    </w:p>
    <w:p w14:paraId="396CAEC8">
      <w:pPr>
        <w:widowControl/>
        <w:shd w:val="clear"/>
        <w:ind w:firstLine="420"/>
        <w:jc w:val="left"/>
        <w:rPr>
          <w:bCs/>
          <w:color w:val="000000" w:themeColor="text1"/>
          <w:szCs w:val="36"/>
          <w:highlight w:val="none"/>
        </w:rPr>
      </w:pPr>
      <w:r>
        <w:rPr>
          <w:bCs/>
          <w:color w:val="000000" w:themeColor="text1"/>
          <w:szCs w:val="36"/>
          <w:highlight w:val="none"/>
        </w:rPr>
        <w:br w:type="page"/>
      </w:r>
    </w:p>
    <w:p w14:paraId="4BC74244">
      <w:pPr>
        <w:shd w:val="clear"/>
        <w:spacing w:line="240" w:lineRule="auto"/>
        <w:ind w:firstLine="0" w:firstLineChars="0"/>
        <w:jc w:val="center"/>
        <w:rPr>
          <w:rFonts w:ascii="Times New Roman" w:hAnsiTheme="majorEastAsia" w:eastAsiaTheme="majorEastAsia"/>
          <w:bCs/>
          <w:color w:val="000000" w:themeColor="text1"/>
          <w:kern w:val="2"/>
          <w:szCs w:val="36"/>
          <w:highlight w:val="none"/>
        </w:rPr>
      </w:pPr>
      <w:r>
        <w:rPr>
          <w:b/>
          <w:bCs/>
          <w:color w:val="000000" w:themeColor="text1"/>
          <w:sz w:val="44"/>
          <w:szCs w:val="44"/>
          <w:highlight w:val="none"/>
        </w:rPr>
        <w:t>目  录</w:t>
      </w:r>
      <w:bookmarkStart w:id="10" w:name="_Toc753"/>
    </w:p>
    <w:sdt>
      <w:sdtPr>
        <w:rPr>
          <w:rFonts w:ascii="宋体" w:hAnsi="宋体" w:eastAsia="宋体" w:cs="Times New Roman"/>
          <w:kern w:val="2"/>
          <w:sz w:val="21"/>
          <w:szCs w:val="24"/>
          <w:highlight w:val="none"/>
          <w:lang w:val="en-US" w:eastAsia="zh-CN" w:bidi="ar-SA"/>
        </w:rPr>
        <w:id w:val="147480116"/>
        <w15:color w:val="DBDBDB"/>
        <w:docPartObj>
          <w:docPartGallery w:val="Table of Contents"/>
          <w:docPartUnique/>
        </w:docPartObj>
      </w:sdtPr>
      <w:sdtEndPr>
        <w:rPr>
          <w:rFonts w:hint="default" w:ascii="Times New Roman" w:hAnsi="Times New Roman" w:eastAsia="宋体" w:cs="Times New Roman"/>
          <w:b/>
          <w:kern w:val="2"/>
          <w:sz w:val="21"/>
          <w:szCs w:val="24"/>
          <w:highlight w:val="none"/>
          <w:lang w:val="en-US" w:eastAsia="zh-CN" w:bidi="ar-SA"/>
        </w:rPr>
      </w:sdtEndPr>
      <w:sdtContent>
        <w:p w14:paraId="400388E3">
          <w:pPr>
            <w:shd w:val="clear"/>
            <w:spacing w:before="0" w:beforeLines="0" w:after="0" w:afterLines="0" w:line="240" w:lineRule="auto"/>
            <w:ind w:left="0" w:leftChars="0" w:right="0" w:rightChars="0" w:firstLine="0" w:firstLineChars="0"/>
            <w:jc w:val="center"/>
            <w:rPr>
              <w:highlight w:val="none"/>
            </w:rPr>
          </w:pPr>
        </w:p>
        <w:p w14:paraId="5B4B020D">
          <w:pPr>
            <w:pStyle w:val="387"/>
            <w:shd w:val="clear"/>
            <w:tabs>
              <w:tab w:val="right" w:leader="dot" w:pos="8787"/>
            </w:tabs>
            <w:rPr>
              <w:rFonts w:hint="default" w:ascii="Times New Roman" w:hAnsi="Times New Roman" w:cs="Times New Roman"/>
              <w:b w:val="0"/>
              <w:bCs w:val="0"/>
              <w:highlight w:val="none"/>
            </w:rPr>
          </w:pPr>
          <w:r>
            <w:rPr>
              <w:rFonts w:hint="default" w:ascii="Times New Roman" w:hAnsi="Times New Roman" w:cs="Times New Roman"/>
              <w:b w:val="0"/>
              <w:bCs w:val="0"/>
              <w:highlight w:val="none"/>
            </w:rPr>
            <w:fldChar w:fldCharType="begin"/>
          </w:r>
          <w:r>
            <w:rPr>
              <w:rFonts w:hint="default" w:ascii="Times New Roman" w:hAnsi="Times New Roman" w:cs="Times New Roman"/>
              <w:b w:val="0"/>
              <w:bCs w:val="0"/>
              <w:highlight w:val="none"/>
            </w:rPr>
            <w:instrText xml:space="preserve">TOC \o "1-2" \h \u </w:instrText>
          </w:r>
          <w:r>
            <w:rPr>
              <w:rFonts w:hint="default" w:ascii="Times New Roman" w:hAnsi="Times New Roman" w:cs="Times New Roman"/>
              <w:b w:val="0"/>
              <w:bCs w:val="0"/>
              <w:highlight w:val="none"/>
            </w:rPr>
            <w:fldChar w:fldCharType="separate"/>
          </w:r>
          <w:r>
            <w:rPr>
              <w:rFonts w:hint="default" w:ascii="Times New Roman" w:hAnsi="Times New Roman" w:cs="Times New Roman"/>
              <w:b/>
              <w:bCs/>
              <w:highlight w:val="none"/>
            </w:rPr>
            <w:fldChar w:fldCharType="begin"/>
          </w:r>
          <w:r>
            <w:rPr>
              <w:rFonts w:hint="default" w:ascii="Times New Roman" w:hAnsi="Times New Roman" w:cs="Times New Roman"/>
              <w:b/>
              <w:bCs/>
              <w:highlight w:val="none"/>
            </w:rPr>
            <w:instrText xml:space="preserve"> HYPERLINK \l _Toc894 </w:instrText>
          </w:r>
          <w:r>
            <w:rPr>
              <w:rFonts w:hint="default" w:ascii="Times New Roman" w:hAnsi="Times New Roman" w:cs="Times New Roman"/>
              <w:b/>
              <w:bCs/>
              <w:highlight w:val="none"/>
            </w:rPr>
            <w:fldChar w:fldCharType="separate"/>
          </w:r>
          <w:r>
            <w:rPr>
              <w:rFonts w:hint="default" w:ascii="Times New Roman" w:hAnsi="Times New Roman" w:cs="Times New Roman" w:eastAsiaTheme="majorEastAsia"/>
              <w:b/>
              <w:bCs/>
              <w:kern w:val="2"/>
              <w:szCs w:val="36"/>
              <w:highlight w:val="none"/>
            </w:rPr>
            <w:t>第一章 竞争性谈判公告</w:t>
          </w:r>
          <w:r>
            <w:rPr>
              <w:rFonts w:hint="default" w:ascii="Times New Roman" w:hAnsi="Times New Roman" w:cs="Times New Roman"/>
              <w:b/>
              <w:bCs/>
              <w:highlight w:val="none"/>
            </w:rPr>
            <w:tab/>
          </w:r>
          <w:r>
            <w:rPr>
              <w:rFonts w:hint="default" w:ascii="Times New Roman" w:hAnsi="Times New Roman" w:cs="Times New Roman"/>
              <w:b/>
              <w:bCs/>
              <w:highlight w:val="none"/>
            </w:rPr>
            <w:fldChar w:fldCharType="begin"/>
          </w:r>
          <w:r>
            <w:rPr>
              <w:rFonts w:hint="default" w:ascii="Times New Roman" w:hAnsi="Times New Roman" w:cs="Times New Roman"/>
              <w:b/>
              <w:bCs/>
              <w:highlight w:val="none"/>
            </w:rPr>
            <w:instrText xml:space="preserve"> PAGEREF _Toc894 \h </w:instrText>
          </w:r>
          <w:r>
            <w:rPr>
              <w:rFonts w:hint="default" w:ascii="Times New Roman" w:hAnsi="Times New Roman" w:cs="Times New Roman"/>
              <w:b/>
              <w:bCs/>
              <w:highlight w:val="none"/>
            </w:rPr>
            <w:fldChar w:fldCharType="separate"/>
          </w:r>
          <w:r>
            <w:rPr>
              <w:rFonts w:hint="default" w:ascii="Times New Roman" w:hAnsi="Times New Roman" w:cs="Times New Roman"/>
              <w:b/>
              <w:bCs/>
              <w:highlight w:val="none"/>
            </w:rPr>
            <w:t>3</w:t>
          </w:r>
          <w:r>
            <w:rPr>
              <w:rFonts w:hint="default" w:ascii="Times New Roman" w:hAnsi="Times New Roman" w:cs="Times New Roman"/>
              <w:b/>
              <w:bCs/>
              <w:highlight w:val="none"/>
            </w:rPr>
            <w:fldChar w:fldCharType="end"/>
          </w:r>
          <w:r>
            <w:rPr>
              <w:rFonts w:hint="default" w:ascii="Times New Roman" w:hAnsi="Times New Roman" w:cs="Times New Roman"/>
              <w:b/>
              <w:bCs/>
              <w:highlight w:val="none"/>
            </w:rPr>
            <w:fldChar w:fldCharType="end"/>
          </w:r>
        </w:p>
        <w:p w14:paraId="5F27D973">
          <w:pPr>
            <w:pStyle w:val="387"/>
            <w:shd w:val="clear"/>
            <w:tabs>
              <w:tab w:val="right" w:leader="dot" w:pos="8787"/>
            </w:tabs>
            <w:rPr>
              <w:rFonts w:hint="default" w:ascii="Times New Roman" w:hAnsi="Times New Roman" w:cs="Times New Roman"/>
              <w:b w:val="0"/>
              <w:bCs w:val="0"/>
              <w:highlight w:val="none"/>
            </w:rPr>
          </w:pPr>
          <w:r>
            <w:rPr>
              <w:rFonts w:hint="default" w:ascii="Times New Roman" w:hAnsi="Times New Roman" w:cs="Times New Roman"/>
              <w:b/>
              <w:bCs/>
              <w:highlight w:val="none"/>
            </w:rPr>
            <w:fldChar w:fldCharType="begin"/>
          </w:r>
          <w:r>
            <w:rPr>
              <w:rFonts w:hint="default" w:ascii="Times New Roman" w:hAnsi="Times New Roman" w:cs="Times New Roman"/>
              <w:b/>
              <w:bCs/>
              <w:highlight w:val="none"/>
            </w:rPr>
            <w:instrText xml:space="preserve"> HYPERLINK \l _Toc20499 </w:instrText>
          </w:r>
          <w:r>
            <w:rPr>
              <w:rFonts w:hint="default" w:ascii="Times New Roman" w:hAnsi="Times New Roman" w:cs="Times New Roman"/>
              <w:b/>
              <w:bCs/>
              <w:highlight w:val="none"/>
            </w:rPr>
            <w:fldChar w:fldCharType="separate"/>
          </w:r>
          <w:r>
            <w:rPr>
              <w:rFonts w:hint="default" w:ascii="Times New Roman" w:hAnsi="Times New Roman" w:cs="Times New Roman"/>
              <w:b/>
              <w:bCs/>
              <w:kern w:val="2"/>
              <w:szCs w:val="24"/>
              <w:highlight w:val="none"/>
            </w:rPr>
            <w:t>第二章 供应商须知</w:t>
          </w:r>
          <w:r>
            <w:rPr>
              <w:rFonts w:hint="default" w:ascii="Times New Roman" w:hAnsi="Times New Roman" w:cs="Times New Roman"/>
              <w:b/>
              <w:bCs/>
              <w:highlight w:val="none"/>
            </w:rPr>
            <w:tab/>
          </w:r>
          <w:r>
            <w:rPr>
              <w:rFonts w:hint="default" w:ascii="Times New Roman" w:hAnsi="Times New Roman" w:cs="Times New Roman"/>
              <w:b/>
              <w:bCs/>
              <w:highlight w:val="none"/>
            </w:rPr>
            <w:fldChar w:fldCharType="begin"/>
          </w:r>
          <w:r>
            <w:rPr>
              <w:rFonts w:hint="default" w:ascii="Times New Roman" w:hAnsi="Times New Roman" w:cs="Times New Roman"/>
              <w:b/>
              <w:bCs/>
              <w:highlight w:val="none"/>
            </w:rPr>
            <w:instrText xml:space="preserve"> PAGEREF _Toc20499 \h </w:instrText>
          </w:r>
          <w:r>
            <w:rPr>
              <w:rFonts w:hint="default" w:ascii="Times New Roman" w:hAnsi="Times New Roman" w:cs="Times New Roman"/>
              <w:b/>
              <w:bCs/>
              <w:highlight w:val="none"/>
            </w:rPr>
            <w:fldChar w:fldCharType="separate"/>
          </w:r>
          <w:r>
            <w:rPr>
              <w:rFonts w:hint="default" w:ascii="Times New Roman" w:hAnsi="Times New Roman" w:cs="Times New Roman"/>
              <w:b/>
              <w:bCs/>
              <w:highlight w:val="none"/>
            </w:rPr>
            <w:t>6</w:t>
          </w:r>
          <w:r>
            <w:rPr>
              <w:rFonts w:hint="default" w:ascii="Times New Roman" w:hAnsi="Times New Roman" w:cs="Times New Roman"/>
              <w:b/>
              <w:bCs/>
              <w:highlight w:val="none"/>
            </w:rPr>
            <w:fldChar w:fldCharType="end"/>
          </w:r>
          <w:r>
            <w:rPr>
              <w:rFonts w:hint="default" w:ascii="Times New Roman" w:hAnsi="Times New Roman" w:cs="Times New Roman"/>
              <w:b/>
              <w:bCs/>
              <w:highlight w:val="none"/>
            </w:rPr>
            <w:fldChar w:fldCharType="end"/>
          </w:r>
        </w:p>
        <w:p w14:paraId="5286D83B">
          <w:pPr>
            <w:pStyle w:val="388"/>
            <w:shd w:val="clear"/>
            <w:tabs>
              <w:tab w:val="right" w:leader="dot" w:pos="8787"/>
            </w:tabs>
            <w:rPr>
              <w:rFonts w:hint="default" w:ascii="Times New Roman" w:hAnsi="Times New Roman" w:cs="Times New Roman"/>
              <w:b w:val="0"/>
              <w:bCs w:val="0"/>
              <w:highlight w:val="none"/>
            </w:rPr>
          </w:pPr>
          <w:r>
            <w:rPr>
              <w:rFonts w:hint="default" w:ascii="Times New Roman" w:hAnsi="Times New Roman" w:cs="Times New Roman"/>
              <w:b w:val="0"/>
              <w:bCs w:val="0"/>
              <w:highlight w:val="none"/>
            </w:rPr>
            <w:fldChar w:fldCharType="begin"/>
          </w:r>
          <w:r>
            <w:rPr>
              <w:rFonts w:hint="default" w:ascii="Times New Roman" w:hAnsi="Times New Roman" w:cs="Times New Roman"/>
              <w:b w:val="0"/>
              <w:bCs w:val="0"/>
              <w:highlight w:val="none"/>
            </w:rPr>
            <w:instrText xml:space="preserve"> HYPERLINK \l _Toc11457 </w:instrText>
          </w:r>
          <w:r>
            <w:rPr>
              <w:rFonts w:hint="default" w:ascii="Times New Roman" w:hAnsi="Times New Roman" w:cs="Times New Roman"/>
              <w:b w:val="0"/>
              <w:bCs w:val="0"/>
              <w:highlight w:val="none"/>
            </w:rPr>
            <w:fldChar w:fldCharType="separate"/>
          </w:r>
          <w:r>
            <w:rPr>
              <w:rFonts w:hint="default" w:ascii="Times New Roman" w:hAnsi="Times New Roman" w:cs="Times New Roman" w:eastAsiaTheme="minorEastAsia"/>
              <w:b w:val="0"/>
              <w:bCs w:val="0"/>
              <w:szCs w:val="30"/>
              <w:highlight w:val="none"/>
            </w:rPr>
            <w:t>供应商须知</w:t>
          </w:r>
          <w:r>
            <w:rPr>
              <w:rFonts w:hint="default" w:ascii="Times New Roman" w:hAnsi="Times New Roman" w:cs="Times New Roman"/>
              <w:b w:val="0"/>
              <w:bCs w:val="0"/>
              <w:highlight w:val="none"/>
            </w:rPr>
            <w:tab/>
          </w:r>
          <w:r>
            <w:rPr>
              <w:rFonts w:hint="default" w:ascii="Times New Roman" w:hAnsi="Times New Roman" w:cs="Times New Roman"/>
              <w:b w:val="0"/>
              <w:bCs w:val="0"/>
              <w:highlight w:val="none"/>
            </w:rPr>
            <w:fldChar w:fldCharType="begin"/>
          </w:r>
          <w:r>
            <w:rPr>
              <w:rFonts w:hint="default" w:ascii="Times New Roman" w:hAnsi="Times New Roman" w:cs="Times New Roman"/>
              <w:b w:val="0"/>
              <w:bCs w:val="0"/>
              <w:highlight w:val="none"/>
            </w:rPr>
            <w:instrText xml:space="preserve"> PAGEREF _Toc11457 \h </w:instrText>
          </w:r>
          <w:r>
            <w:rPr>
              <w:rFonts w:hint="default" w:ascii="Times New Roman" w:hAnsi="Times New Roman" w:cs="Times New Roman"/>
              <w:b w:val="0"/>
              <w:bCs w:val="0"/>
              <w:highlight w:val="none"/>
            </w:rPr>
            <w:fldChar w:fldCharType="separate"/>
          </w:r>
          <w:r>
            <w:rPr>
              <w:rFonts w:hint="default" w:ascii="Times New Roman" w:hAnsi="Times New Roman" w:cs="Times New Roman"/>
              <w:b w:val="0"/>
              <w:bCs w:val="0"/>
              <w:highlight w:val="none"/>
            </w:rPr>
            <w:t>12</w:t>
          </w:r>
          <w:r>
            <w:rPr>
              <w:rFonts w:hint="default" w:ascii="Times New Roman" w:hAnsi="Times New Roman" w:cs="Times New Roman"/>
              <w:b w:val="0"/>
              <w:bCs w:val="0"/>
              <w:highlight w:val="none"/>
            </w:rPr>
            <w:fldChar w:fldCharType="end"/>
          </w:r>
          <w:r>
            <w:rPr>
              <w:rFonts w:hint="default" w:ascii="Times New Roman" w:hAnsi="Times New Roman" w:cs="Times New Roman"/>
              <w:b w:val="0"/>
              <w:bCs w:val="0"/>
              <w:highlight w:val="none"/>
            </w:rPr>
            <w:fldChar w:fldCharType="end"/>
          </w:r>
        </w:p>
        <w:p w14:paraId="66CD1942">
          <w:pPr>
            <w:pStyle w:val="388"/>
            <w:shd w:val="clear"/>
            <w:tabs>
              <w:tab w:val="right" w:leader="dot" w:pos="8787"/>
            </w:tabs>
            <w:rPr>
              <w:rFonts w:hint="default" w:ascii="Times New Roman" w:hAnsi="Times New Roman" w:cs="Times New Roman"/>
              <w:b w:val="0"/>
              <w:bCs w:val="0"/>
              <w:highlight w:val="none"/>
            </w:rPr>
          </w:pPr>
          <w:r>
            <w:rPr>
              <w:rFonts w:hint="default" w:ascii="Times New Roman" w:hAnsi="Times New Roman" w:cs="Times New Roman"/>
              <w:b w:val="0"/>
              <w:bCs w:val="0"/>
              <w:highlight w:val="none"/>
            </w:rPr>
            <w:fldChar w:fldCharType="begin"/>
          </w:r>
          <w:r>
            <w:rPr>
              <w:rFonts w:hint="default" w:ascii="Times New Roman" w:hAnsi="Times New Roman" w:cs="Times New Roman"/>
              <w:b w:val="0"/>
              <w:bCs w:val="0"/>
              <w:highlight w:val="none"/>
            </w:rPr>
            <w:instrText xml:space="preserve"> HYPERLINK \l _Toc29334 </w:instrText>
          </w:r>
          <w:r>
            <w:rPr>
              <w:rFonts w:hint="default" w:ascii="Times New Roman" w:hAnsi="Times New Roman" w:cs="Times New Roman"/>
              <w:b w:val="0"/>
              <w:bCs w:val="0"/>
              <w:highlight w:val="none"/>
            </w:rPr>
            <w:fldChar w:fldCharType="separate"/>
          </w:r>
          <w:r>
            <w:rPr>
              <w:rFonts w:hint="default" w:ascii="Times New Roman" w:hAnsi="Times New Roman" w:cs="Times New Roman" w:eastAsiaTheme="minorEastAsia"/>
              <w:b w:val="0"/>
              <w:bCs w:val="0"/>
              <w:szCs w:val="21"/>
              <w:highlight w:val="none"/>
            </w:rPr>
            <w:t>一、总则</w:t>
          </w:r>
          <w:r>
            <w:rPr>
              <w:rFonts w:hint="default" w:ascii="Times New Roman" w:hAnsi="Times New Roman" w:cs="Times New Roman"/>
              <w:b w:val="0"/>
              <w:bCs w:val="0"/>
              <w:highlight w:val="none"/>
            </w:rPr>
            <w:tab/>
          </w:r>
          <w:r>
            <w:rPr>
              <w:rFonts w:hint="default" w:ascii="Times New Roman" w:hAnsi="Times New Roman" w:cs="Times New Roman"/>
              <w:b w:val="0"/>
              <w:bCs w:val="0"/>
              <w:highlight w:val="none"/>
            </w:rPr>
            <w:fldChar w:fldCharType="begin"/>
          </w:r>
          <w:r>
            <w:rPr>
              <w:rFonts w:hint="default" w:ascii="Times New Roman" w:hAnsi="Times New Roman" w:cs="Times New Roman"/>
              <w:b w:val="0"/>
              <w:bCs w:val="0"/>
              <w:highlight w:val="none"/>
            </w:rPr>
            <w:instrText xml:space="preserve"> PAGEREF _Toc29334 \h </w:instrText>
          </w:r>
          <w:r>
            <w:rPr>
              <w:rFonts w:hint="default" w:ascii="Times New Roman" w:hAnsi="Times New Roman" w:cs="Times New Roman"/>
              <w:b w:val="0"/>
              <w:bCs w:val="0"/>
              <w:highlight w:val="none"/>
            </w:rPr>
            <w:fldChar w:fldCharType="separate"/>
          </w:r>
          <w:r>
            <w:rPr>
              <w:rFonts w:hint="default" w:ascii="Times New Roman" w:hAnsi="Times New Roman" w:cs="Times New Roman"/>
              <w:b w:val="0"/>
              <w:bCs w:val="0"/>
              <w:highlight w:val="none"/>
            </w:rPr>
            <w:t>12</w:t>
          </w:r>
          <w:r>
            <w:rPr>
              <w:rFonts w:hint="default" w:ascii="Times New Roman" w:hAnsi="Times New Roman" w:cs="Times New Roman"/>
              <w:b w:val="0"/>
              <w:bCs w:val="0"/>
              <w:highlight w:val="none"/>
            </w:rPr>
            <w:fldChar w:fldCharType="end"/>
          </w:r>
          <w:r>
            <w:rPr>
              <w:rFonts w:hint="default" w:ascii="Times New Roman" w:hAnsi="Times New Roman" w:cs="Times New Roman"/>
              <w:b w:val="0"/>
              <w:bCs w:val="0"/>
              <w:highlight w:val="none"/>
            </w:rPr>
            <w:fldChar w:fldCharType="end"/>
          </w:r>
        </w:p>
        <w:p w14:paraId="38769D92">
          <w:pPr>
            <w:pStyle w:val="388"/>
            <w:shd w:val="clear"/>
            <w:tabs>
              <w:tab w:val="right" w:leader="dot" w:pos="8787"/>
            </w:tabs>
            <w:rPr>
              <w:rFonts w:hint="default" w:ascii="Times New Roman" w:hAnsi="Times New Roman" w:cs="Times New Roman"/>
              <w:b w:val="0"/>
              <w:bCs w:val="0"/>
              <w:highlight w:val="none"/>
            </w:rPr>
          </w:pPr>
          <w:r>
            <w:rPr>
              <w:rFonts w:hint="default" w:ascii="Times New Roman" w:hAnsi="Times New Roman" w:cs="Times New Roman"/>
              <w:b w:val="0"/>
              <w:bCs w:val="0"/>
              <w:highlight w:val="none"/>
            </w:rPr>
            <w:fldChar w:fldCharType="begin"/>
          </w:r>
          <w:r>
            <w:rPr>
              <w:rFonts w:hint="default" w:ascii="Times New Roman" w:hAnsi="Times New Roman" w:cs="Times New Roman"/>
              <w:b w:val="0"/>
              <w:bCs w:val="0"/>
              <w:highlight w:val="none"/>
            </w:rPr>
            <w:instrText xml:space="preserve"> HYPERLINK \l _Toc32306 </w:instrText>
          </w:r>
          <w:r>
            <w:rPr>
              <w:rFonts w:hint="default" w:ascii="Times New Roman" w:hAnsi="Times New Roman" w:cs="Times New Roman"/>
              <w:b w:val="0"/>
              <w:bCs w:val="0"/>
              <w:highlight w:val="none"/>
            </w:rPr>
            <w:fldChar w:fldCharType="separate"/>
          </w:r>
          <w:r>
            <w:rPr>
              <w:rFonts w:hint="default" w:ascii="Times New Roman" w:hAnsi="Times New Roman" w:cs="Times New Roman" w:eastAsiaTheme="minorEastAsia"/>
              <w:b w:val="0"/>
              <w:bCs w:val="0"/>
              <w:szCs w:val="21"/>
              <w:highlight w:val="none"/>
            </w:rPr>
            <w:t>二、谈判文件</w:t>
          </w:r>
          <w:r>
            <w:rPr>
              <w:rFonts w:hint="default" w:ascii="Times New Roman" w:hAnsi="Times New Roman" w:cs="Times New Roman"/>
              <w:b w:val="0"/>
              <w:bCs w:val="0"/>
              <w:highlight w:val="none"/>
            </w:rPr>
            <w:tab/>
          </w:r>
          <w:r>
            <w:rPr>
              <w:rFonts w:hint="default" w:ascii="Times New Roman" w:hAnsi="Times New Roman" w:cs="Times New Roman"/>
              <w:b w:val="0"/>
              <w:bCs w:val="0"/>
              <w:highlight w:val="none"/>
            </w:rPr>
            <w:fldChar w:fldCharType="begin"/>
          </w:r>
          <w:r>
            <w:rPr>
              <w:rFonts w:hint="default" w:ascii="Times New Roman" w:hAnsi="Times New Roman" w:cs="Times New Roman"/>
              <w:b w:val="0"/>
              <w:bCs w:val="0"/>
              <w:highlight w:val="none"/>
            </w:rPr>
            <w:instrText xml:space="preserve"> PAGEREF _Toc32306 \h </w:instrText>
          </w:r>
          <w:r>
            <w:rPr>
              <w:rFonts w:hint="default" w:ascii="Times New Roman" w:hAnsi="Times New Roman" w:cs="Times New Roman"/>
              <w:b w:val="0"/>
              <w:bCs w:val="0"/>
              <w:highlight w:val="none"/>
            </w:rPr>
            <w:fldChar w:fldCharType="separate"/>
          </w:r>
          <w:r>
            <w:rPr>
              <w:rFonts w:hint="default" w:ascii="Times New Roman" w:hAnsi="Times New Roman" w:cs="Times New Roman"/>
              <w:b w:val="0"/>
              <w:bCs w:val="0"/>
              <w:highlight w:val="none"/>
            </w:rPr>
            <w:t>13</w:t>
          </w:r>
          <w:r>
            <w:rPr>
              <w:rFonts w:hint="default" w:ascii="Times New Roman" w:hAnsi="Times New Roman" w:cs="Times New Roman"/>
              <w:b w:val="0"/>
              <w:bCs w:val="0"/>
              <w:highlight w:val="none"/>
            </w:rPr>
            <w:fldChar w:fldCharType="end"/>
          </w:r>
          <w:r>
            <w:rPr>
              <w:rFonts w:hint="default" w:ascii="Times New Roman" w:hAnsi="Times New Roman" w:cs="Times New Roman"/>
              <w:b w:val="0"/>
              <w:bCs w:val="0"/>
              <w:highlight w:val="none"/>
            </w:rPr>
            <w:fldChar w:fldCharType="end"/>
          </w:r>
        </w:p>
        <w:p w14:paraId="40A0FBEE">
          <w:pPr>
            <w:pStyle w:val="388"/>
            <w:shd w:val="clear"/>
            <w:tabs>
              <w:tab w:val="right" w:leader="dot" w:pos="8787"/>
            </w:tabs>
            <w:rPr>
              <w:rFonts w:hint="default" w:ascii="Times New Roman" w:hAnsi="Times New Roman" w:cs="Times New Roman"/>
              <w:b w:val="0"/>
              <w:bCs w:val="0"/>
              <w:highlight w:val="none"/>
            </w:rPr>
          </w:pPr>
          <w:r>
            <w:rPr>
              <w:rFonts w:hint="default" w:ascii="Times New Roman" w:hAnsi="Times New Roman" w:cs="Times New Roman"/>
              <w:b w:val="0"/>
              <w:bCs w:val="0"/>
              <w:highlight w:val="none"/>
            </w:rPr>
            <w:fldChar w:fldCharType="begin"/>
          </w:r>
          <w:r>
            <w:rPr>
              <w:rFonts w:hint="default" w:ascii="Times New Roman" w:hAnsi="Times New Roman" w:cs="Times New Roman"/>
              <w:b w:val="0"/>
              <w:bCs w:val="0"/>
              <w:highlight w:val="none"/>
            </w:rPr>
            <w:instrText xml:space="preserve"> HYPERLINK \l _Toc21251 </w:instrText>
          </w:r>
          <w:r>
            <w:rPr>
              <w:rFonts w:hint="default" w:ascii="Times New Roman" w:hAnsi="Times New Roman" w:cs="Times New Roman"/>
              <w:b w:val="0"/>
              <w:bCs w:val="0"/>
              <w:highlight w:val="none"/>
            </w:rPr>
            <w:fldChar w:fldCharType="separate"/>
          </w:r>
          <w:r>
            <w:rPr>
              <w:rFonts w:hint="default" w:ascii="Times New Roman" w:hAnsi="Times New Roman" w:cs="Times New Roman" w:eastAsiaTheme="minorEastAsia"/>
              <w:b w:val="0"/>
              <w:bCs w:val="0"/>
              <w:szCs w:val="21"/>
              <w:highlight w:val="none"/>
            </w:rPr>
            <w:t>三、响应文件</w:t>
          </w:r>
          <w:r>
            <w:rPr>
              <w:rFonts w:hint="default" w:ascii="Times New Roman" w:hAnsi="Times New Roman" w:cs="Times New Roman"/>
              <w:b w:val="0"/>
              <w:bCs w:val="0"/>
              <w:highlight w:val="none"/>
            </w:rPr>
            <w:tab/>
          </w:r>
          <w:r>
            <w:rPr>
              <w:rFonts w:hint="default" w:ascii="Times New Roman" w:hAnsi="Times New Roman" w:cs="Times New Roman"/>
              <w:b w:val="0"/>
              <w:bCs w:val="0"/>
              <w:highlight w:val="none"/>
            </w:rPr>
            <w:fldChar w:fldCharType="begin"/>
          </w:r>
          <w:r>
            <w:rPr>
              <w:rFonts w:hint="default" w:ascii="Times New Roman" w:hAnsi="Times New Roman" w:cs="Times New Roman"/>
              <w:b w:val="0"/>
              <w:bCs w:val="0"/>
              <w:highlight w:val="none"/>
            </w:rPr>
            <w:instrText xml:space="preserve"> PAGEREF _Toc21251 \h </w:instrText>
          </w:r>
          <w:r>
            <w:rPr>
              <w:rFonts w:hint="default" w:ascii="Times New Roman" w:hAnsi="Times New Roman" w:cs="Times New Roman"/>
              <w:b w:val="0"/>
              <w:bCs w:val="0"/>
              <w:highlight w:val="none"/>
            </w:rPr>
            <w:fldChar w:fldCharType="separate"/>
          </w:r>
          <w:r>
            <w:rPr>
              <w:rFonts w:hint="default" w:ascii="Times New Roman" w:hAnsi="Times New Roman" w:cs="Times New Roman"/>
              <w:b w:val="0"/>
              <w:bCs w:val="0"/>
              <w:highlight w:val="none"/>
            </w:rPr>
            <w:t>14</w:t>
          </w:r>
          <w:r>
            <w:rPr>
              <w:rFonts w:hint="default" w:ascii="Times New Roman" w:hAnsi="Times New Roman" w:cs="Times New Roman"/>
              <w:b w:val="0"/>
              <w:bCs w:val="0"/>
              <w:highlight w:val="none"/>
            </w:rPr>
            <w:fldChar w:fldCharType="end"/>
          </w:r>
          <w:r>
            <w:rPr>
              <w:rFonts w:hint="default" w:ascii="Times New Roman" w:hAnsi="Times New Roman" w:cs="Times New Roman"/>
              <w:b w:val="0"/>
              <w:bCs w:val="0"/>
              <w:highlight w:val="none"/>
            </w:rPr>
            <w:fldChar w:fldCharType="end"/>
          </w:r>
        </w:p>
        <w:p w14:paraId="5DEECF22">
          <w:pPr>
            <w:pStyle w:val="388"/>
            <w:shd w:val="clear"/>
            <w:tabs>
              <w:tab w:val="right" w:leader="dot" w:pos="8787"/>
            </w:tabs>
            <w:rPr>
              <w:rFonts w:hint="eastAsia" w:ascii="Times New Roman" w:hAnsi="Times New Roman" w:eastAsia="宋体" w:cs="Times New Roman"/>
              <w:b w:val="0"/>
              <w:bCs w:val="0"/>
              <w:highlight w:val="none"/>
              <w:lang w:val="en-US" w:eastAsia="zh-CN"/>
            </w:rPr>
          </w:pPr>
          <w:r>
            <w:rPr>
              <w:rFonts w:hint="default" w:ascii="Times New Roman" w:hAnsi="Times New Roman" w:cs="Times New Roman"/>
              <w:b w:val="0"/>
              <w:bCs w:val="0"/>
              <w:highlight w:val="none"/>
            </w:rPr>
            <w:fldChar w:fldCharType="begin"/>
          </w:r>
          <w:r>
            <w:rPr>
              <w:rFonts w:hint="default" w:ascii="Times New Roman" w:hAnsi="Times New Roman" w:cs="Times New Roman"/>
              <w:b w:val="0"/>
              <w:bCs w:val="0"/>
              <w:highlight w:val="none"/>
            </w:rPr>
            <w:instrText xml:space="preserve"> HYPERLINK \l _Toc24114 </w:instrText>
          </w:r>
          <w:r>
            <w:rPr>
              <w:rFonts w:hint="default" w:ascii="Times New Roman" w:hAnsi="Times New Roman" w:cs="Times New Roman"/>
              <w:b w:val="0"/>
              <w:bCs w:val="0"/>
              <w:highlight w:val="none"/>
            </w:rPr>
            <w:fldChar w:fldCharType="separate"/>
          </w:r>
          <w:r>
            <w:rPr>
              <w:rFonts w:hint="default" w:ascii="Times New Roman" w:hAnsi="Times New Roman" w:cs="Times New Roman" w:eastAsiaTheme="minorEastAsia"/>
              <w:b w:val="0"/>
              <w:bCs w:val="0"/>
              <w:szCs w:val="21"/>
              <w:highlight w:val="none"/>
            </w:rPr>
            <w:t>四、响应文件的递交、修改与撤回</w:t>
          </w:r>
          <w:r>
            <w:rPr>
              <w:rFonts w:hint="default" w:ascii="Times New Roman" w:hAnsi="Times New Roman" w:cs="Times New Roman"/>
              <w:b w:val="0"/>
              <w:bCs w:val="0"/>
              <w:highlight w:val="none"/>
            </w:rPr>
            <w:tab/>
          </w:r>
          <w:r>
            <w:rPr>
              <w:rFonts w:hint="eastAsia" w:cs="Times New Roman"/>
              <w:b w:val="0"/>
              <w:bCs w:val="0"/>
              <w:highlight w:val="none"/>
              <w:lang w:val="en-US" w:eastAsia="zh-CN"/>
            </w:rPr>
            <w:t>1</w:t>
          </w:r>
          <w:r>
            <w:rPr>
              <w:rFonts w:hint="default" w:ascii="Times New Roman" w:hAnsi="Times New Roman" w:cs="Times New Roman"/>
              <w:b w:val="0"/>
              <w:bCs w:val="0"/>
              <w:highlight w:val="none"/>
            </w:rPr>
            <w:fldChar w:fldCharType="end"/>
          </w:r>
          <w:r>
            <w:rPr>
              <w:rFonts w:hint="eastAsia" w:cs="Times New Roman"/>
              <w:b w:val="0"/>
              <w:bCs w:val="0"/>
              <w:highlight w:val="none"/>
              <w:lang w:val="en-US" w:eastAsia="zh-CN"/>
            </w:rPr>
            <w:t>5</w:t>
          </w:r>
        </w:p>
        <w:p w14:paraId="7A343ABA">
          <w:pPr>
            <w:pStyle w:val="388"/>
            <w:shd w:val="clear"/>
            <w:tabs>
              <w:tab w:val="right" w:leader="dot" w:pos="8787"/>
            </w:tabs>
            <w:rPr>
              <w:rFonts w:hint="eastAsia" w:ascii="Times New Roman" w:hAnsi="Times New Roman" w:eastAsia="宋体" w:cs="Times New Roman"/>
              <w:b w:val="0"/>
              <w:bCs w:val="0"/>
              <w:highlight w:val="none"/>
              <w:lang w:val="en-US" w:eastAsia="zh-CN"/>
            </w:rPr>
          </w:pPr>
          <w:r>
            <w:rPr>
              <w:rFonts w:hint="default" w:ascii="Times New Roman" w:hAnsi="Times New Roman" w:cs="Times New Roman"/>
              <w:b w:val="0"/>
              <w:bCs w:val="0"/>
              <w:highlight w:val="none"/>
            </w:rPr>
            <w:fldChar w:fldCharType="begin"/>
          </w:r>
          <w:r>
            <w:rPr>
              <w:rFonts w:hint="default" w:ascii="Times New Roman" w:hAnsi="Times New Roman" w:cs="Times New Roman"/>
              <w:b w:val="0"/>
              <w:bCs w:val="0"/>
              <w:highlight w:val="none"/>
            </w:rPr>
            <w:instrText xml:space="preserve"> HYPERLINK \l _Toc1514 </w:instrText>
          </w:r>
          <w:r>
            <w:rPr>
              <w:rFonts w:hint="default" w:ascii="Times New Roman" w:hAnsi="Times New Roman" w:cs="Times New Roman"/>
              <w:b w:val="0"/>
              <w:bCs w:val="0"/>
              <w:highlight w:val="none"/>
            </w:rPr>
            <w:fldChar w:fldCharType="separate"/>
          </w:r>
          <w:r>
            <w:rPr>
              <w:rFonts w:hint="default" w:ascii="Times New Roman" w:hAnsi="Times New Roman" w:cs="Times New Roman" w:eastAsiaTheme="minorEastAsia"/>
              <w:b w:val="0"/>
              <w:bCs w:val="0"/>
              <w:szCs w:val="21"/>
              <w:highlight w:val="none"/>
            </w:rPr>
            <w:t>五、谈判与评审</w:t>
          </w:r>
          <w:r>
            <w:rPr>
              <w:rFonts w:hint="default" w:ascii="Times New Roman" w:hAnsi="Times New Roman" w:cs="Times New Roman"/>
              <w:b w:val="0"/>
              <w:bCs w:val="0"/>
              <w:highlight w:val="none"/>
            </w:rPr>
            <w:tab/>
          </w:r>
          <w:r>
            <w:rPr>
              <w:rFonts w:hint="eastAsia" w:cs="Times New Roman"/>
              <w:b w:val="0"/>
              <w:bCs w:val="0"/>
              <w:highlight w:val="none"/>
              <w:lang w:val="en-US" w:eastAsia="zh-CN"/>
            </w:rPr>
            <w:t>1</w:t>
          </w:r>
          <w:r>
            <w:rPr>
              <w:rFonts w:hint="default" w:ascii="Times New Roman" w:hAnsi="Times New Roman" w:cs="Times New Roman"/>
              <w:b w:val="0"/>
              <w:bCs w:val="0"/>
              <w:highlight w:val="none"/>
            </w:rPr>
            <w:fldChar w:fldCharType="end"/>
          </w:r>
          <w:r>
            <w:rPr>
              <w:rFonts w:hint="eastAsia" w:cs="Times New Roman"/>
              <w:b w:val="0"/>
              <w:bCs w:val="0"/>
              <w:highlight w:val="none"/>
              <w:lang w:val="en-US" w:eastAsia="zh-CN"/>
            </w:rPr>
            <w:t>6</w:t>
          </w:r>
        </w:p>
        <w:p w14:paraId="4EBEA7D6">
          <w:pPr>
            <w:pStyle w:val="388"/>
            <w:shd w:val="clear"/>
            <w:tabs>
              <w:tab w:val="right" w:leader="dot" w:pos="8787"/>
            </w:tabs>
            <w:rPr>
              <w:rFonts w:hint="eastAsia" w:ascii="Times New Roman" w:hAnsi="Times New Roman" w:eastAsia="宋体" w:cs="Times New Roman"/>
              <w:b w:val="0"/>
              <w:bCs w:val="0"/>
              <w:highlight w:val="none"/>
              <w:lang w:val="en-US" w:eastAsia="zh-CN"/>
            </w:rPr>
          </w:pPr>
          <w:r>
            <w:rPr>
              <w:rFonts w:hint="default" w:ascii="Times New Roman" w:hAnsi="Times New Roman" w:cs="Times New Roman"/>
              <w:b w:val="0"/>
              <w:bCs w:val="0"/>
              <w:highlight w:val="none"/>
            </w:rPr>
            <w:fldChar w:fldCharType="begin"/>
          </w:r>
          <w:r>
            <w:rPr>
              <w:rFonts w:hint="default" w:ascii="Times New Roman" w:hAnsi="Times New Roman" w:cs="Times New Roman"/>
              <w:b w:val="0"/>
              <w:bCs w:val="0"/>
              <w:highlight w:val="none"/>
            </w:rPr>
            <w:instrText xml:space="preserve"> HYPERLINK \l _Toc16485 </w:instrText>
          </w:r>
          <w:r>
            <w:rPr>
              <w:rFonts w:hint="default" w:ascii="Times New Roman" w:hAnsi="Times New Roman" w:cs="Times New Roman"/>
              <w:b w:val="0"/>
              <w:bCs w:val="0"/>
              <w:highlight w:val="none"/>
            </w:rPr>
            <w:fldChar w:fldCharType="separate"/>
          </w:r>
          <w:r>
            <w:rPr>
              <w:rFonts w:hint="default" w:ascii="Times New Roman" w:hAnsi="Times New Roman" w:cs="Times New Roman" w:eastAsiaTheme="minorEastAsia"/>
              <w:b w:val="0"/>
              <w:bCs w:val="0"/>
              <w:szCs w:val="21"/>
              <w:highlight w:val="none"/>
            </w:rPr>
            <w:t>六、成交结果公示</w:t>
          </w:r>
          <w:r>
            <w:rPr>
              <w:rFonts w:hint="default" w:ascii="Times New Roman" w:hAnsi="Times New Roman" w:cs="Times New Roman"/>
              <w:b w:val="0"/>
              <w:bCs w:val="0"/>
              <w:highlight w:val="none"/>
            </w:rPr>
            <w:tab/>
          </w:r>
          <w:r>
            <w:rPr>
              <w:rFonts w:hint="eastAsia" w:cs="Times New Roman"/>
              <w:b w:val="0"/>
              <w:bCs w:val="0"/>
              <w:highlight w:val="none"/>
              <w:lang w:val="en-US" w:eastAsia="zh-CN"/>
            </w:rPr>
            <w:t>1</w:t>
          </w:r>
          <w:r>
            <w:rPr>
              <w:rFonts w:hint="default" w:ascii="Times New Roman" w:hAnsi="Times New Roman" w:cs="Times New Roman"/>
              <w:b w:val="0"/>
              <w:bCs w:val="0"/>
              <w:highlight w:val="none"/>
            </w:rPr>
            <w:fldChar w:fldCharType="end"/>
          </w:r>
          <w:r>
            <w:rPr>
              <w:rFonts w:hint="eastAsia" w:cs="Times New Roman"/>
              <w:b w:val="0"/>
              <w:bCs w:val="0"/>
              <w:highlight w:val="none"/>
              <w:lang w:val="en-US" w:eastAsia="zh-CN"/>
            </w:rPr>
            <w:t>6</w:t>
          </w:r>
        </w:p>
        <w:p w14:paraId="358DB7A0">
          <w:pPr>
            <w:pStyle w:val="388"/>
            <w:shd w:val="clear"/>
            <w:tabs>
              <w:tab w:val="right" w:leader="dot" w:pos="8787"/>
            </w:tabs>
            <w:rPr>
              <w:rFonts w:hint="eastAsia" w:ascii="Times New Roman" w:hAnsi="Times New Roman" w:eastAsia="宋体" w:cs="Times New Roman"/>
              <w:b w:val="0"/>
              <w:bCs w:val="0"/>
              <w:highlight w:val="none"/>
              <w:lang w:val="en-US" w:eastAsia="zh-CN"/>
            </w:rPr>
          </w:pPr>
          <w:r>
            <w:rPr>
              <w:rFonts w:hint="default" w:ascii="Times New Roman" w:hAnsi="Times New Roman" w:cs="Times New Roman"/>
              <w:b w:val="0"/>
              <w:bCs w:val="0"/>
              <w:highlight w:val="none"/>
            </w:rPr>
            <w:fldChar w:fldCharType="begin"/>
          </w:r>
          <w:r>
            <w:rPr>
              <w:rFonts w:hint="default" w:ascii="Times New Roman" w:hAnsi="Times New Roman" w:cs="Times New Roman"/>
              <w:b w:val="0"/>
              <w:bCs w:val="0"/>
              <w:highlight w:val="none"/>
            </w:rPr>
            <w:instrText xml:space="preserve"> HYPERLINK \l _Toc5054 </w:instrText>
          </w:r>
          <w:r>
            <w:rPr>
              <w:rFonts w:hint="default" w:ascii="Times New Roman" w:hAnsi="Times New Roman" w:cs="Times New Roman"/>
              <w:b w:val="0"/>
              <w:bCs w:val="0"/>
              <w:highlight w:val="none"/>
            </w:rPr>
            <w:fldChar w:fldCharType="separate"/>
          </w:r>
          <w:r>
            <w:rPr>
              <w:rFonts w:hint="default" w:ascii="Times New Roman" w:hAnsi="Times New Roman" w:cs="Times New Roman" w:eastAsiaTheme="minorEastAsia"/>
              <w:b w:val="0"/>
              <w:bCs w:val="0"/>
              <w:szCs w:val="21"/>
              <w:highlight w:val="none"/>
            </w:rPr>
            <w:t>七、合同授予</w:t>
          </w:r>
          <w:r>
            <w:rPr>
              <w:rFonts w:hint="default" w:ascii="Times New Roman" w:hAnsi="Times New Roman" w:cs="Times New Roman"/>
              <w:b w:val="0"/>
              <w:bCs w:val="0"/>
              <w:highlight w:val="none"/>
            </w:rPr>
            <w:tab/>
          </w:r>
          <w:r>
            <w:rPr>
              <w:rFonts w:hint="eastAsia" w:cs="Times New Roman"/>
              <w:b w:val="0"/>
              <w:bCs w:val="0"/>
              <w:highlight w:val="none"/>
              <w:lang w:val="en-US" w:eastAsia="zh-CN"/>
            </w:rPr>
            <w:t>1</w:t>
          </w:r>
          <w:r>
            <w:rPr>
              <w:rFonts w:hint="default" w:ascii="Times New Roman" w:hAnsi="Times New Roman" w:cs="Times New Roman"/>
              <w:b w:val="0"/>
              <w:bCs w:val="0"/>
              <w:highlight w:val="none"/>
            </w:rPr>
            <w:fldChar w:fldCharType="end"/>
          </w:r>
          <w:r>
            <w:rPr>
              <w:rFonts w:hint="eastAsia" w:cs="Times New Roman"/>
              <w:b w:val="0"/>
              <w:bCs w:val="0"/>
              <w:highlight w:val="none"/>
              <w:lang w:val="en-US" w:eastAsia="zh-CN"/>
            </w:rPr>
            <w:t>6</w:t>
          </w:r>
        </w:p>
        <w:p w14:paraId="6D5B6BBE">
          <w:pPr>
            <w:pStyle w:val="388"/>
            <w:shd w:val="clear"/>
            <w:tabs>
              <w:tab w:val="right" w:leader="dot" w:pos="8787"/>
            </w:tabs>
            <w:rPr>
              <w:rFonts w:hint="eastAsia" w:ascii="Times New Roman" w:hAnsi="Times New Roman" w:eastAsia="宋体" w:cs="Times New Roman"/>
              <w:b w:val="0"/>
              <w:bCs w:val="0"/>
              <w:highlight w:val="none"/>
              <w:lang w:val="en-US" w:eastAsia="zh-CN"/>
            </w:rPr>
          </w:pPr>
          <w:r>
            <w:rPr>
              <w:rFonts w:hint="default" w:ascii="Times New Roman" w:hAnsi="Times New Roman" w:cs="Times New Roman"/>
              <w:b w:val="0"/>
              <w:bCs w:val="0"/>
              <w:highlight w:val="none"/>
            </w:rPr>
            <w:fldChar w:fldCharType="begin"/>
          </w:r>
          <w:r>
            <w:rPr>
              <w:rFonts w:hint="default" w:ascii="Times New Roman" w:hAnsi="Times New Roman" w:cs="Times New Roman"/>
              <w:b w:val="0"/>
              <w:bCs w:val="0"/>
              <w:highlight w:val="none"/>
            </w:rPr>
            <w:instrText xml:space="preserve"> HYPERLINK \l _Toc2630 </w:instrText>
          </w:r>
          <w:r>
            <w:rPr>
              <w:rFonts w:hint="default" w:ascii="Times New Roman" w:hAnsi="Times New Roman" w:cs="Times New Roman"/>
              <w:b w:val="0"/>
              <w:bCs w:val="0"/>
              <w:highlight w:val="none"/>
            </w:rPr>
            <w:fldChar w:fldCharType="separate"/>
          </w:r>
          <w:r>
            <w:rPr>
              <w:rFonts w:hint="default" w:ascii="Times New Roman" w:hAnsi="Times New Roman" w:cs="Times New Roman" w:eastAsiaTheme="minorEastAsia"/>
              <w:b w:val="0"/>
              <w:bCs w:val="0"/>
              <w:szCs w:val="21"/>
              <w:highlight w:val="none"/>
            </w:rPr>
            <w:t>八、纪律和监督</w:t>
          </w:r>
          <w:r>
            <w:rPr>
              <w:rFonts w:hint="default" w:ascii="Times New Roman" w:hAnsi="Times New Roman" w:cs="Times New Roman"/>
              <w:b w:val="0"/>
              <w:bCs w:val="0"/>
              <w:highlight w:val="none"/>
            </w:rPr>
            <w:tab/>
          </w:r>
          <w:r>
            <w:rPr>
              <w:rFonts w:hint="eastAsia" w:cs="Times New Roman"/>
              <w:b w:val="0"/>
              <w:bCs w:val="0"/>
              <w:highlight w:val="none"/>
              <w:lang w:val="en-US" w:eastAsia="zh-CN"/>
            </w:rPr>
            <w:t>1</w:t>
          </w:r>
          <w:r>
            <w:rPr>
              <w:rFonts w:hint="default" w:ascii="Times New Roman" w:hAnsi="Times New Roman" w:cs="Times New Roman"/>
              <w:b w:val="0"/>
              <w:bCs w:val="0"/>
              <w:highlight w:val="none"/>
            </w:rPr>
            <w:fldChar w:fldCharType="end"/>
          </w:r>
          <w:r>
            <w:rPr>
              <w:rFonts w:hint="eastAsia" w:cs="Times New Roman"/>
              <w:b w:val="0"/>
              <w:bCs w:val="0"/>
              <w:highlight w:val="none"/>
              <w:lang w:val="en-US" w:eastAsia="zh-CN"/>
            </w:rPr>
            <w:t>7</w:t>
          </w:r>
        </w:p>
        <w:p w14:paraId="786EF12D">
          <w:pPr>
            <w:pStyle w:val="388"/>
            <w:shd w:val="clear"/>
            <w:tabs>
              <w:tab w:val="right" w:leader="dot" w:pos="8787"/>
            </w:tabs>
            <w:rPr>
              <w:rFonts w:hint="eastAsia" w:ascii="Times New Roman" w:hAnsi="Times New Roman" w:eastAsia="宋体" w:cs="Times New Roman"/>
              <w:b w:val="0"/>
              <w:bCs w:val="0"/>
              <w:highlight w:val="none"/>
              <w:lang w:val="en-US" w:eastAsia="zh-CN"/>
            </w:rPr>
          </w:pPr>
          <w:r>
            <w:rPr>
              <w:rFonts w:hint="default" w:ascii="Times New Roman" w:hAnsi="Times New Roman" w:cs="Times New Roman"/>
              <w:b w:val="0"/>
              <w:bCs w:val="0"/>
              <w:highlight w:val="none"/>
            </w:rPr>
            <w:fldChar w:fldCharType="begin"/>
          </w:r>
          <w:r>
            <w:rPr>
              <w:rFonts w:hint="default" w:ascii="Times New Roman" w:hAnsi="Times New Roman" w:cs="Times New Roman"/>
              <w:b w:val="0"/>
              <w:bCs w:val="0"/>
              <w:highlight w:val="none"/>
            </w:rPr>
            <w:instrText xml:space="preserve"> HYPERLINK \l _Toc10787 </w:instrText>
          </w:r>
          <w:r>
            <w:rPr>
              <w:rFonts w:hint="default" w:ascii="Times New Roman" w:hAnsi="Times New Roman" w:cs="Times New Roman"/>
              <w:b w:val="0"/>
              <w:bCs w:val="0"/>
              <w:highlight w:val="none"/>
            </w:rPr>
            <w:fldChar w:fldCharType="separate"/>
          </w:r>
          <w:r>
            <w:rPr>
              <w:rFonts w:hint="default" w:ascii="Times New Roman" w:hAnsi="Times New Roman" w:cs="Times New Roman" w:eastAsiaTheme="minorEastAsia"/>
              <w:b w:val="0"/>
              <w:bCs w:val="0"/>
              <w:szCs w:val="21"/>
              <w:highlight w:val="none"/>
            </w:rPr>
            <w:t>九、解释权</w:t>
          </w:r>
          <w:r>
            <w:rPr>
              <w:rFonts w:hint="default" w:ascii="Times New Roman" w:hAnsi="Times New Roman" w:cs="Times New Roman"/>
              <w:b w:val="0"/>
              <w:bCs w:val="0"/>
              <w:highlight w:val="none"/>
            </w:rPr>
            <w:tab/>
          </w:r>
          <w:r>
            <w:rPr>
              <w:rFonts w:hint="eastAsia" w:cs="Times New Roman"/>
              <w:b w:val="0"/>
              <w:bCs w:val="0"/>
              <w:highlight w:val="none"/>
              <w:lang w:val="en-US" w:eastAsia="zh-CN"/>
            </w:rPr>
            <w:t>1</w:t>
          </w:r>
          <w:r>
            <w:rPr>
              <w:rFonts w:hint="default" w:ascii="Times New Roman" w:hAnsi="Times New Roman" w:cs="Times New Roman"/>
              <w:b w:val="0"/>
              <w:bCs w:val="0"/>
              <w:highlight w:val="none"/>
            </w:rPr>
            <w:fldChar w:fldCharType="end"/>
          </w:r>
          <w:r>
            <w:rPr>
              <w:rFonts w:hint="eastAsia" w:cs="Times New Roman"/>
              <w:b w:val="0"/>
              <w:bCs w:val="0"/>
              <w:highlight w:val="none"/>
              <w:lang w:val="en-US" w:eastAsia="zh-CN"/>
            </w:rPr>
            <w:t>8</w:t>
          </w:r>
        </w:p>
        <w:p w14:paraId="310FAA69">
          <w:pPr>
            <w:pStyle w:val="388"/>
            <w:shd w:val="clear"/>
            <w:tabs>
              <w:tab w:val="right" w:leader="dot" w:pos="8787"/>
            </w:tabs>
            <w:rPr>
              <w:rFonts w:hint="eastAsia" w:ascii="Times New Roman" w:hAnsi="Times New Roman" w:eastAsia="宋体" w:cs="Times New Roman"/>
              <w:b w:val="0"/>
              <w:bCs w:val="0"/>
              <w:highlight w:val="none"/>
              <w:lang w:val="en-US" w:eastAsia="zh-CN"/>
            </w:rPr>
          </w:pPr>
          <w:r>
            <w:rPr>
              <w:rFonts w:hint="default" w:ascii="Times New Roman" w:hAnsi="Times New Roman" w:cs="Times New Roman"/>
              <w:b w:val="0"/>
              <w:bCs w:val="0"/>
              <w:highlight w:val="none"/>
            </w:rPr>
            <w:fldChar w:fldCharType="begin"/>
          </w:r>
          <w:r>
            <w:rPr>
              <w:rFonts w:hint="default" w:ascii="Times New Roman" w:hAnsi="Times New Roman" w:cs="Times New Roman"/>
              <w:b w:val="0"/>
              <w:bCs w:val="0"/>
              <w:highlight w:val="none"/>
            </w:rPr>
            <w:instrText xml:space="preserve"> HYPERLINK \l _Toc157 </w:instrText>
          </w:r>
          <w:r>
            <w:rPr>
              <w:rFonts w:hint="default" w:ascii="Times New Roman" w:hAnsi="Times New Roman" w:cs="Times New Roman"/>
              <w:b w:val="0"/>
              <w:bCs w:val="0"/>
              <w:highlight w:val="none"/>
            </w:rPr>
            <w:fldChar w:fldCharType="separate"/>
          </w:r>
          <w:r>
            <w:rPr>
              <w:rFonts w:hint="default" w:ascii="Times New Roman" w:hAnsi="Times New Roman" w:cs="Times New Roman" w:eastAsiaTheme="minorEastAsia"/>
              <w:b w:val="0"/>
              <w:bCs w:val="0"/>
              <w:szCs w:val="21"/>
              <w:highlight w:val="none"/>
            </w:rPr>
            <w:t>十、采购人补充的其他内容</w:t>
          </w:r>
          <w:r>
            <w:rPr>
              <w:rFonts w:hint="default" w:ascii="Times New Roman" w:hAnsi="Times New Roman" w:cs="Times New Roman"/>
              <w:b w:val="0"/>
              <w:bCs w:val="0"/>
              <w:highlight w:val="none"/>
            </w:rPr>
            <w:tab/>
          </w:r>
          <w:r>
            <w:rPr>
              <w:rFonts w:hint="eastAsia" w:cs="Times New Roman"/>
              <w:b w:val="0"/>
              <w:bCs w:val="0"/>
              <w:highlight w:val="none"/>
              <w:lang w:val="en-US" w:eastAsia="zh-CN"/>
            </w:rPr>
            <w:t>1</w:t>
          </w:r>
          <w:r>
            <w:rPr>
              <w:rFonts w:hint="default" w:ascii="Times New Roman" w:hAnsi="Times New Roman" w:cs="Times New Roman"/>
              <w:b w:val="0"/>
              <w:bCs w:val="0"/>
              <w:highlight w:val="none"/>
            </w:rPr>
            <w:fldChar w:fldCharType="end"/>
          </w:r>
          <w:r>
            <w:rPr>
              <w:rFonts w:hint="eastAsia" w:cs="Times New Roman"/>
              <w:b w:val="0"/>
              <w:bCs w:val="0"/>
              <w:highlight w:val="none"/>
              <w:lang w:val="en-US" w:eastAsia="zh-CN"/>
            </w:rPr>
            <w:t>8</w:t>
          </w:r>
        </w:p>
        <w:p w14:paraId="6759F972">
          <w:pPr>
            <w:pStyle w:val="387"/>
            <w:shd w:val="clear"/>
            <w:tabs>
              <w:tab w:val="right" w:leader="dot" w:pos="8787"/>
            </w:tabs>
            <w:rPr>
              <w:rFonts w:hint="eastAsia" w:ascii="Times New Roman" w:hAnsi="Times New Roman" w:eastAsia="宋体" w:cs="Times New Roman"/>
              <w:b w:val="0"/>
              <w:bCs w:val="0"/>
              <w:highlight w:val="none"/>
              <w:lang w:val="en-US" w:eastAsia="zh-CN"/>
            </w:rPr>
          </w:pPr>
          <w:r>
            <w:rPr>
              <w:rFonts w:hint="default" w:ascii="Times New Roman" w:hAnsi="Times New Roman" w:cs="Times New Roman"/>
              <w:b/>
              <w:bCs/>
              <w:highlight w:val="none"/>
            </w:rPr>
            <w:fldChar w:fldCharType="begin"/>
          </w:r>
          <w:r>
            <w:rPr>
              <w:rFonts w:hint="default" w:ascii="Times New Roman" w:hAnsi="Times New Roman" w:cs="Times New Roman"/>
              <w:b/>
              <w:bCs/>
              <w:highlight w:val="none"/>
            </w:rPr>
            <w:instrText xml:space="preserve"> HYPERLINK \l _Toc22959 </w:instrText>
          </w:r>
          <w:r>
            <w:rPr>
              <w:rFonts w:hint="default" w:ascii="Times New Roman" w:hAnsi="Times New Roman" w:cs="Times New Roman"/>
              <w:b/>
              <w:bCs/>
              <w:highlight w:val="none"/>
            </w:rPr>
            <w:fldChar w:fldCharType="separate"/>
          </w:r>
          <w:r>
            <w:rPr>
              <w:rFonts w:hint="default" w:ascii="Times New Roman" w:hAnsi="Times New Roman" w:cs="Times New Roman"/>
              <w:b/>
              <w:bCs/>
              <w:highlight w:val="none"/>
            </w:rPr>
            <w:t>第三章 评审办法</w:t>
          </w:r>
          <w:r>
            <w:rPr>
              <w:rFonts w:hint="default" w:ascii="Times New Roman" w:hAnsi="Times New Roman" w:cs="Times New Roman"/>
              <w:b/>
              <w:bCs/>
              <w:highlight w:val="none"/>
            </w:rPr>
            <w:tab/>
          </w:r>
          <w:r>
            <w:rPr>
              <w:rFonts w:hint="eastAsia" w:cs="Times New Roman"/>
              <w:b/>
              <w:bCs/>
              <w:highlight w:val="none"/>
              <w:lang w:val="en-US" w:eastAsia="zh-CN"/>
            </w:rPr>
            <w:t>1</w:t>
          </w:r>
          <w:r>
            <w:rPr>
              <w:rFonts w:hint="default" w:ascii="Times New Roman" w:hAnsi="Times New Roman" w:cs="Times New Roman"/>
              <w:b/>
              <w:bCs/>
              <w:highlight w:val="none"/>
            </w:rPr>
            <w:fldChar w:fldCharType="end"/>
          </w:r>
          <w:r>
            <w:rPr>
              <w:rFonts w:hint="eastAsia" w:cs="Times New Roman"/>
              <w:b/>
              <w:bCs/>
              <w:highlight w:val="none"/>
              <w:lang w:val="en-US" w:eastAsia="zh-CN"/>
            </w:rPr>
            <w:t>9</w:t>
          </w:r>
        </w:p>
        <w:p w14:paraId="701E1F5F">
          <w:pPr>
            <w:pStyle w:val="388"/>
            <w:shd w:val="clear"/>
            <w:tabs>
              <w:tab w:val="right" w:leader="dot" w:pos="8787"/>
            </w:tabs>
            <w:rPr>
              <w:rFonts w:hint="eastAsia" w:ascii="Times New Roman" w:hAnsi="Times New Roman" w:eastAsia="宋体" w:cs="Times New Roman"/>
              <w:b w:val="0"/>
              <w:bCs w:val="0"/>
              <w:highlight w:val="none"/>
              <w:lang w:val="en-US" w:eastAsia="zh-CN"/>
            </w:rPr>
          </w:pPr>
          <w:r>
            <w:rPr>
              <w:rFonts w:hint="default" w:ascii="Times New Roman" w:hAnsi="Times New Roman" w:cs="Times New Roman"/>
              <w:b w:val="0"/>
              <w:bCs w:val="0"/>
              <w:highlight w:val="none"/>
            </w:rPr>
            <w:fldChar w:fldCharType="begin"/>
          </w:r>
          <w:r>
            <w:rPr>
              <w:rFonts w:hint="default" w:ascii="Times New Roman" w:hAnsi="Times New Roman" w:cs="Times New Roman"/>
              <w:b w:val="0"/>
              <w:bCs w:val="0"/>
              <w:highlight w:val="none"/>
            </w:rPr>
            <w:instrText xml:space="preserve"> HYPERLINK \l _Toc31978 </w:instrText>
          </w:r>
          <w:r>
            <w:rPr>
              <w:rFonts w:hint="default" w:ascii="Times New Roman" w:hAnsi="Times New Roman" w:cs="Times New Roman"/>
              <w:b w:val="0"/>
              <w:bCs w:val="0"/>
              <w:highlight w:val="none"/>
            </w:rPr>
            <w:fldChar w:fldCharType="separate"/>
          </w:r>
          <w:r>
            <w:rPr>
              <w:rFonts w:hint="default" w:ascii="Times New Roman" w:hAnsi="Times New Roman" w:cs="Times New Roman" w:eastAsiaTheme="minorEastAsia"/>
              <w:b w:val="0"/>
              <w:bCs w:val="0"/>
              <w:szCs w:val="21"/>
              <w:highlight w:val="none"/>
            </w:rPr>
            <w:t>一、评审方法</w:t>
          </w:r>
          <w:r>
            <w:rPr>
              <w:rFonts w:hint="default" w:ascii="Times New Roman" w:hAnsi="Times New Roman" w:cs="Times New Roman"/>
              <w:b w:val="0"/>
              <w:bCs w:val="0"/>
              <w:highlight w:val="none"/>
            </w:rPr>
            <w:tab/>
          </w:r>
          <w:r>
            <w:rPr>
              <w:rFonts w:hint="eastAsia" w:cs="Times New Roman"/>
              <w:b w:val="0"/>
              <w:bCs w:val="0"/>
              <w:highlight w:val="none"/>
              <w:lang w:val="en-US" w:eastAsia="zh-CN"/>
            </w:rPr>
            <w:t>1</w:t>
          </w:r>
          <w:r>
            <w:rPr>
              <w:rFonts w:hint="default" w:ascii="Times New Roman" w:hAnsi="Times New Roman" w:cs="Times New Roman"/>
              <w:b w:val="0"/>
              <w:bCs w:val="0"/>
              <w:highlight w:val="none"/>
            </w:rPr>
            <w:fldChar w:fldCharType="end"/>
          </w:r>
          <w:r>
            <w:rPr>
              <w:rFonts w:hint="eastAsia" w:cs="Times New Roman"/>
              <w:b w:val="0"/>
              <w:bCs w:val="0"/>
              <w:highlight w:val="none"/>
              <w:lang w:val="en-US" w:eastAsia="zh-CN"/>
            </w:rPr>
            <w:t>9</w:t>
          </w:r>
        </w:p>
        <w:p w14:paraId="27309F50">
          <w:pPr>
            <w:pStyle w:val="388"/>
            <w:shd w:val="clear"/>
            <w:tabs>
              <w:tab w:val="right" w:leader="dot" w:pos="8787"/>
            </w:tabs>
            <w:rPr>
              <w:rFonts w:hint="eastAsia" w:ascii="Times New Roman" w:hAnsi="Times New Roman" w:eastAsia="宋体" w:cs="Times New Roman"/>
              <w:b w:val="0"/>
              <w:bCs w:val="0"/>
              <w:highlight w:val="none"/>
              <w:lang w:val="en-US" w:eastAsia="zh-CN"/>
            </w:rPr>
          </w:pPr>
          <w:r>
            <w:rPr>
              <w:rFonts w:hint="default" w:ascii="Times New Roman" w:hAnsi="Times New Roman" w:cs="Times New Roman"/>
              <w:b w:val="0"/>
              <w:bCs w:val="0"/>
              <w:highlight w:val="none"/>
            </w:rPr>
            <w:fldChar w:fldCharType="begin"/>
          </w:r>
          <w:r>
            <w:rPr>
              <w:rFonts w:hint="default" w:ascii="Times New Roman" w:hAnsi="Times New Roman" w:cs="Times New Roman"/>
              <w:b w:val="0"/>
              <w:bCs w:val="0"/>
              <w:highlight w:val="none"/>
            </w:rPr>
            <w:instrText xml:space="preserve"> HYPERLINK \l _Toc31770 </w:instrText>
          </w:r>
          <w:r>
            <w:rPr>
              <w:rFonts w:hint="default" w:ascii="Times New Roman" w:hAnsi="Times New Roman" w:cs="Times New Roman"/>
              <w:b w:val="0"/>
              <w:bCs w:val="0"/>
              <w:highlight w:val="none"/>
            </w:rPr>
            <w:fldChar w:fldCharType="separate"/>
          </w:r>
          <w:r>
            <w:rPr>
              <w:rFonts w:hint="default" w:ascii="Times New Roman" w:hAnsi="Times New Roman" w:cs="Times New Roman" w:eastAsiaTheme="minorEastAsia"/>
              <w:b w:val="0"/>
              <w:bCs w:val="0"/>
              <w:szCs w:val="21"/>
              <w:highlight w:val="none"/>
            </w:rPr>
            <w:t>二、评审标准</w:t>
          </w:r>
          <w:r>
            <w:rPr>
              <w:rFonts w:hint="default" w:ascii="Times New Roman" w:hAnsi="Times New Roman" w:cs="Times New Roman"/>
              <w:b w:val="0"/>
              <w:bCs w:val="0"/>
              <w:highlight w:val="none"/>
            </w:rPr>
            <w:tab/>
          </w:r>
          <w:r>
            <w:rPr>
              <w:rFonts w:hint="eastAsia" w:cs="Times New Roman"/>
              <w:b w:val="0"/>
              <w:bCs w:val="0"/>
              <w:highlight w:val="none"/>
              <w:lang w:val="en-US" w:eastAsia="zh-CN"/>
            </w:rPr>
            <w:t>1</w:t>
          </w:r>
          <w:r>
            <w:rPr>
              <w:rFonts w:hint="default" w:ascii="Times New Roman" w:hAnsi="Times New Roman" w:cs="Times New Roman"/>
              <w:b w:val="0"/>
              <w:bCs w:val="0"/>
              <w:highlight w:val="none"/>
            </w:rPr>
            <w:fldChar w:fldCharType="end"/>
          </w:r>
          <w:r>
            <w:rPr>
              <w:rFonts w:hint="eastAsia" w:cs="Times New Roman"/>
              <w:b w:val="0"/>
              <w:bCs w:val="0"/>
              <w:highlight w:val="none"/>
              <w:lang w:val="en-US" w:eastAsia="zh-CN"/>
            </w:rPr>
            <w:t>9</w:t>
          </w:r>
        </w:p>
        <w:p w14:paraId="7A602DEA">
          <w:pPr>
            <w:pStyle w:val="388"/>
            <w:shd w:val="clear"/>
            <w:tabs>
              <w:tab w:val="right" w:leader="dot" w:pos="8787"/>
            </w:tabs>
            <w:rPr>
              <w:rFonts w:hint="eastAsia" w:ascii="Times New Roman" w:hAnsi="Times New Roman" w:eastAsia="宋体" w:cs="Times New Roman"/>
              <w:b w:val="0"/>
              <w:bCs w:val="0"/>
              <w:highlight w:val="none"/>
              <w:lang w:val="en-US" w:eastAsia="zh-CN"/>
            </w:rPr>
          </w:pPr>
          <w:r>
            <w:rPr>
              <w:rFonts w:hint="default" w:ascii="Times New Roman" w:hAnsi="Times New Roman" w:cs="Times New Roman"/>
              <w:b w:val="0"/>
              <w:bCs w:val="0"/>
              <w:highlight w:val="none"/>
            </w:rPr>
            <w:fldChar w:fldCharType="begin"/>
          </w:r>
          <w:r>
            <w:rPr>
              <w:rFonts w:hint="default" w:ascii="Times New Roman" w:hAnsi="Times New Roman" w:cs="Times New Roman"/>
              <w:b w:val="0"/>
              <w:bCs w:val="0"/>
              <w:highlight w:val="none"/>
            </w:rPr>
            <w:instrText xml:space="preserve"> HYPERLINK \l _Toc10067 </w:instrText>
          </w:r>
          <w:r>
            <w:rPr>
              <w:rFonts w:hint="default" w:ascii="Times New Roman" w:hAnsi="Times New Roman" w:cs="Times New Roman"/>
              <w:b w:val="0"/>
              <w:bCs w:val="0"/>
              <w:highlight w:val="none"/>
            </w:rPr>
            <w:fldChar w:fldCharType="separate"/>
          </w:r>
          <w:r>
            <w:rPr>
              <w:rFonts w:hint="default" w:ascii="Times New Roman" w:hAnsi="Times New Roman" w:cs="Times New Roman" w:eastAsiaTheme="minorEastAsia"/>
              <w:b w:val="0"/>
              <w:bCs w:val="0"/>
              <w:szCs w:val="21"/>
              <w:highlight w:val="none"/>
            </w:rPr>
            <w:t>三、评审程序</w:t>
          </w:r>
          <w:r>
            <w:rPr>
              <w:rFonts w:hint="default" w:ascii="Times New Roman" w:hAnsi="Times New Roman" w:cs="Times New Roman"/>
              <w:b w:val="0"/>
              <w:bCs w:val="0"/>
              <w:highlight w:val="none"/>
            </w:rPr>
            <w:tab/>
          </w:r>
          <w:r>
            <w:rPr>
              <w:rFonts w:hint="eastAsia" w:cs="Times New Roman"/>
              <w:b w:val="0"/>
              <w:bCs w:val="0"/>
              <w:highlight w:val="none"/>
              <w:lang w:val="en-US" w:eastAsia="zh-CN"/>
            </w:rPr>
            <w:t>1</w:t>
          </w:r>
          <w:r>
            <w:rPr>
              <w:rFonts w:hint="default" w:ascii="Times New Roman" w:hAnsi="Times New Roman" w:cs="Times New Roman"/>
              <w:b w:val="0"/>
              <w:bCs w:val="0"/>
              <w:highlight w:val="none"/>
            </w:rPr>
            <w:fldChar w:fldCharType="end"/>
          </w:r>
          <w:r>
            <w:rPr>
              <w:rFonts w:hint="eastAsia" w:cs="Times New Roman"/>
              <w:b w:val="0"/>
              <w:bCs w:val="0"/>
              <w:highlight w:val="none"/>
              <w:lang w:val="en-US" w:eastAsia="zh-CN"/>
            </w:rPr>
            <w:t>9</w:t>
          </w:r>
        </w:p>
        <w:p w14:paraId="5C74B1E5">
          <w:pPr>
            <w:pStyle w:val="387"/>
            <w:shd w:val="clear"/>
            <w:tabs>
              <w:tab w:val="right" w:leader="dot" w:pos="8787"/>
            </w:tabs>
            <w:rPr>
              <w:rFonts w:hint="default" w:ascii="Times New Roman" w:hAnsi="Times New Roman" w:cs="Times New Roman"/>
              <w:b w:val="0"/>
              <w:bCs w:val="0"/>
              <w:highlight w:val="none"/>
            </w:rPr>
          </w:pPr>
          <w:r>
            <w:rPr>
              <w:rFonts w:hint="default" w:ascii="Times New Roman" w:hAnsi="Times New Roman" w:cs="Times New Roman"/>
              <w:b/>
              <w:bCs/>
              <w:highlight w:val="none"/>
            </w:rPr>
            <w:fldChar w:fldCharType="begin"/>
          </w:r>
          <w:r>
            <w:rPr>
              <w:rFonts w:hint="default" w:ascii="Times New Roman" w:hAnsi="Times New Roman" w:cs="Times New Roman"/>
              <w:b/>
              <w:bCs/>
              <w:highlight w:val="none"/>
            </w:rPr>
            <w:instrText xml:space="preserve"> HYPERLINK \l _Toc16636 </w:instrText>
          </w:r>
          <w:r>
            <w:rPr>
              <w:rFonts w:hint="default" w:ascii="Times New Roman" w:hAnsi="Times New Roman" w:cs="Times New Roman"/>
              <w:b/>
              <w:bCs/>
              <w:highlight w:val="none"/>
            </w:rPr>
            <w:fldChar w:fldCharType="separate"/>
          </w:r>
          <w:r>
            <w:rPr>
              <w:rFonts w:hint="default" w:ascii="Times New Roman" w:hAnsi="Times New Roman" w:cs="Times New Roman"/>
              <w:b/>
              <w:bCs/>
              <w:szCs w:val="48"/>
              <w:highlight w:val="none"/>
            </w:rPr>
            <w:t>第四章 合同条款及格式</w:t>
          </w:r>
          <w:r>
            <w:rPr>
              <w:rFonts w:hint="default" w:ascii="Times New Roman" w:hAnsi="Times New Roman" w:cs="Times New Roman"/>
              <w:b/>
              <w:bCs/>
              <w:highlight w:val="none"/>
            </w:rPr>
            <w:tab/>
          </w:r>
          <w:r>
            <w:rPr>
              <w:rFonts w:hint="default" w:ascii="Times New Roman" w:hAnsi="Times New Roman" w:cs="Times New Roman"/>
              <w:b/>
              <w:bCs/>
              <w:highlight w:val="none"/>
            </w:rPr>
            <w:fldChar w:fldCharType="begin"/>
          </w:r>
          <w:r>
            <w:rPr>
              <w:rFonts w:hint="default" w:ascii="Times New Roman" w:hAnsi="Times New Roman" w:cs="Times New Roman"/>
              <w:b/>
              <w:bCs/>
              <w:highlight w:val="none"/>
            </w:rPr>
            <w:instrText xml:space="preserve"> PAGEREF _Toc16636 \h </w:instrText>
          </w:r>
          <w:r>
            <w:rPr>
              <w:rFonts w:hint="default" w:ascii="Times New Roman" w:hAnsi="Times New Roman" w:cs="Times New Roman"/>
              <w:b/>
              <w:bCs/>
              <w:highlight w:val="none"/>
            </w:rPr>
            <w:fldChar w:fldCharType="separate"/>
          </w:r>
          <w:r>
            <w:rPr>
              <w:rFonts w:hint="default" w:ascii="Times New Roman" w:hAnsi="Times New Roman" w:cs="Times New Roman"/>
              <w:b/>
              <w:bCs/>
              <w:highlight w:val="none"/>
            </w:rPr>
            <w:t>22</w:t>
          </w:r>
          <w:r>
            <w:rPr>
              <w:rFonts w:hint="default" w:ascii="Times New Roman" w:hAnsi="Times New Roman" w:cs="Times New Roman"/>
              <w:b/>
              <w:bCs/>
              <w:highlight w:val="none"/>
            </w:rPr>
            <w:fldChar w:fldCharType="end"/>
          </w:r>
          <w:r>
            <w:rPr>
              <w:rFonts w:hint="default" w:ascii="Times New Roman" w:hAnsi="Times New Roman" w:cs="Times New Roman"/>
              <w:b/>
              <w:bCs/>
              <w:highlight w:val="none"/>
            </w:rPr>
            <w:fldChar w:fldCharType="end"/>
          </w:r>
        </w:p>
        <w:p w14:paraId="1706AB4D">
          <w:pPr>
            <w:pStyle w:val="387"/>
            <w:shd w:val="clear"/>
            <w:tabs>
              <w:tab w:val="right" w:leader="dot" w:pos="8787"/>
            </w:tabs>
            <w:rPr>
              <w:rFonts w:hint="default" w:ascii="Times New Roman" w:hAnsi="Times New Roman" w:eastAsia="宋体" w:cs="Times New Roman"/>
              <w:b/>
              <w:bCs/>
              <w:highlight w:val="none"/>
              <w:lang w:val="en-US" w:eastAsia="zh-CN"/>
            </w:rPr>
          </w:pPr>
          <w:r>
            <w:rPr>
              <w:rFonts w:hint="default" w:ascii="Times New Roman" w:hAnsi="Times New Roman" w:cs="Times New Roman"/>
              <w:b/>
              <w:bCs/>
              <w:highlight w:val="none"/>
            </w:rPr>
            <w:fldChar w:fldCharType="begin"/>
          </w:r>
          <w:r>
            <w:rPr>
              <w:rFonts w:hint="default" w:ascii="Times New Roman" w:hAnsi="Times New Roman" w:cs="Times New Roman"/>
              <w:b/>
              <w:bCs/>
              <w:highlight w:val="none"/>
            </w:rPr>
            <w:instrText xml:space="preserve"> HYPERLINK \l _Toc16636 </w:instrText>
          </w:r>
          <w:r>
            <w:rPr>
              <w:rFonts w:hint="default" w:ascii="Times New Roman" w:hAnsi="Times New Roman" w:cs="Times New Roman"/>
              <w:b/>
              <w:bCs/>
              <w:highlight w:val="none"/>
            </w:rPr>
            <w:fldChar w:fldCharType="separate"/>
          </w:r>
          <w:r>
            <w:rPr>
              <w:rFonts w:hint="default" w:ascii="Times New Roman" w:hAnsi="Times New Roman" w:cs="Times New Roman"/>
              <w:b/>
              <w:bCs/>
              <w:szCs w:val="48"/>
              <w:highlight w:val="none"/>
            </w:rPr>
            <w:t>第</w:t>
          </w:r>
          <w:r>
            <w:rPr>
              <w:rFonts w:hint="eastAsia" w:ascii="Times New Roman" w:hAnsi="Times New Roman" w:cs="Times New Roman"/>
              <w:b/>
              <w:bCs/>
              <w:szCs w:val="48"/>
              <w:highlight w:val="none"/>
              <w:lang w:eastAsia="zh-CN"/>
            </w:rPr>
            <w:t>五</w:t>
          </w:r>
          <w:r>
            <w:rPr>
              <w:rFonts w:hint="default" w:ascii="Times New Roman" w:hAnsi="Times New Roman" w:cs="Times New Roman"/>
              <w:b/>
              <w:bCs/>
              <w:szCs w:val="48"/>
              <w:highlight w:val="none"/>
            </w:rPr>
            <w:t xml:space="preserve">章 </w:t>
          </w:r>
          <w:r>
            <w:rPr>
              <w:rFonts w:hint="eastAsia" w:ascii="Times New Roman" w:hAnsi="Times New Roman" w:cs="Times New Roman"/>
              <w:b/>
              <w:bCs/>
              <w:szCs w:val="48"/>
              <w:highlight w:val="none"/>
              <w:lang w:eastAsia="zh-CN"/>
            </w:rPr>
            <w:t>采购清单</w:t>
          </w:r>
          <w:r>
            <w:rPr>
              <w:rFonts w:hint="default" w:ascii="Times New Roman" w:hAnsi="Times New Roman" w:cs="Times New Roman"/>
              <w:b/>
              <w:bCs/>
              <w:highlight w:val="none"/>
            </w:rPr>
            <w:tab/>
          </w:r>
          <w:r>
            <w:rPr>
              <w:rFonts w:hint="default" w:ascii="Times New Roman" w:hAnsi="Times New Roman" w:cs="Times New Roman"/>
              <w:b/>
              <w:bCs/>
              <w:highlight w:val="none"/>
            </w:rPr>
            <w:fldChar w:fldCharType="end"/>
          </w:r>
          <w:r>
            <w:rPr>
              <w:rFonts w:hint="eastAsia" w:cs="Times New Roman"/>
              <w:b/>
              <w:bCs/>
              <w:highlight w:val="none"/>
              <w:lang w:val="en-US" w:eastAsia="zh-CN"/>
            </w:rPr>
            <w:t>50</w:t>
          </w:r>
        </w:p>
        <w:p w14:paraId="31FACC54">
          <w:pPr>
            <w:pStyle w:val="387"/>
            <w:shd w:val="clear"/>
            <w:tabs>
              <w:tab w:val="right" w:leader="dot" w:pos="8787"/>
            </w:tabs>
            <w:rPr>
              <w:rFonts w:hint="eastAsia" w:ascii="Times New Roman" w:hAnsi="Times New Roman" w:eastAsia="宋体" w:cs="Times New Roman"/>
              <w:b/>
              <w:bCs/>
              <w:highlight w:val="none"/>
              <w:lang w:val="en-US" w:eastAsia="zh-CN"/>
            </w:rPr>
          </w:pPr>
          <w:r>
            <w:rPr>
              <w:rFonts w:hint="default" w:ascii="Times New Roman" w:hAnsi="Times New Roman" w:cs="Times New Roman"/>
              <w:b/>
              <w:bCs/>
              <w:highlight w:val="none"/>
            </w:rPr>
            <w:fldChar w:fldCharType="begin"/>
          </w:r>
          <w:r>
            <w:rPr>
              <w:rFonts w:hint="default" w:ascii="Times New Roman" w:hAnsi="Times New Roman" w:cs="Times New Roman"/>
              <w:b/>
              <w:bCs/>
              <w:highlight w:val="none"/>
            </w:rPr>
            <w:instrText xml:space="preserve"> HYPERLINK \l _Toc5801 </w:instrText>
          </w:r>
          <w:r>
            <w:rPr>
              <w:rFonts w:hint="default" w:ascii="Times New Roman" w:hAnsi="Times New Roman" w:cs="Times New Roman"/>
              <w:b/>
              <w:bCs/>
              <w:highlight w:val="none"/>
            </w:rPr>
            <w:fldChar w:fldCharType="separate"/>
          </w:r>
          <w:r>
            <w:rPr>
              <w:rFonts w:hint="default" w:ascii="Times New Roman" w:hAnsi="Times New Roman" w:cs="Times New Roman"/>
              <w:b/>
              <w:bCs/>
              <w:szCs w:val="36"/>
              <w:highlight w:val="none"/>
              <w:lang w:eastAsia="zh-CN"/>
            </w:rPr>
            <w:t>第</w:t>
          </w:r>
          <w:r>
            <w:rPr>
              <w:rFonts w:hint="eastAsia" w:cs="Times New Roman"/>
              <w:b/>
              <w:bCs/>
              <w:szCs w:val="36"/>
              <w:highlight w:val="none"/>
              <w:lang w:eastAsia="zh-CN"/>
            </w:rPr>
            <w:t>六</w:t>
          </w:r>
          <w:r>
            <w:rPr>
              <w:rFonts w:hint="default" w:ascii="Times New Roman" w:hAnsi="Times New Roman" w:cs="Times New Roman"/>
              <w:b/>
              <w:bCs/>
              <w:szCs w:val="36"/>
              <w:highlight w:val="none"/>
              <w:lang w:eastAsia="zh-CN"/>
            </w:rPr>
            <w:t>章</w:t>
          </w:r>
          <w:r>
            <w:rPr>
              <w:rFonts w:hint="default" w:ascii="Times New Roman" w:hAnsi="Times New Roman" w:cs="Times New Roman"/>
              <w:b/>
              <w:bCs/>
              <w:szCs w:val="36"/>
              <w:highlight w:val="none"/>
              <w:lang w:val="en-US" w:eastAsia="zh-CN"/>
            </w:rPr>
            <w:t xml:space="preserve"> </w:t>
          </w:r>
          <w:r>
            <w:rPr>
              <w:rFonts w:hint="default" w:ascii="Times New Roman" w:hAnsi="Times New Roman" w:cs="Times New Roman"/>
              <w:b/>
              <w:bCs/>
              <w:szCs w:val="36"/>
              <w:highlight w:val="none"/>
            </w:rPr>
            <w:t>响应文件格式</w:t>
          </w:r>
          <w:r>
            <w:rPr>
              <w:rFonts w:hint="default" w:ascii="Times New Roman" w:hAnsi="Times New Roman" w:cs="Times New Roman"/>
              <w:b/>
              <w:bCs/>
              <w:highlight w:val="none"/>
            </w:rPr>
            <w:tab/>
          </w:r>
          <w:r>
            <w:rPr>
              <w:rFonts w:hint="eastAsia" w:cs="Times New Roman"/>
              <w:b/>
              <w:bCs/>
              <w:highlight w:val="none"/>
              <w:lang w:val="en-US" w:eastAsia="zh-CN"/>
            </w:rPr>
            <w:t>5</w:t>
          </w:r>
          <w:r>
            <w:rPr>
              <w:rFonts w:hint="default" w:ascii="Times New Roman" w:hAnsi="Times New Roman" w:cs="Times New Roman"/>
              <w:b/>
              <w:bCs/>
              <w:highlight w:val="none"/>
            </w:rPr>
            <w:fldChar w:fldCharType="end"/>
          </w:r>
          <w:r>
            <w:rPr>
              <w:rFonts w:hint="eastAsia" w:cs="Times New Roman"/>
              <w:b/>
              <w:bCs/>
              <w:highlight w:val="none"/>
              <w:lang w:val="en-US" w:eastAsia="zh-CN"/>
            </w:rPr>
            <w:t>1</w:t>
          </w:r>
        </w:p>
        <w:p w14:paraId="72DDB6B1">
          <w:pPr>
            <w:pStyle w:val="388"/>
            <w:shd w:val="clear"/>
            <w:tabs>
              <w:tab w:val="right" w:leader="dot" w:pos="8787"/>
            </w:tabs>
            <w:rPr>
              <w:rFonts w:hint="eastAsia" w:ascii="Times New Roman" w:hAnsi="Times New Roman" w:eastAsia="宋体" w:cs="Times New Roman"/>
              <w:b w:val="0"/>
              <w:bCs w:val="0"/>
              <w:highlight w:val="none"/>
              <w:lang w:val="en-US" w:eastAsia="zh-CN"/>
            </w:rPr>
          </w:pPr>
          <w:r>
            <w:rPr>
              <w:rFonts w:hint="default" w:ascii="Times New Roman" w:hAnsi="Times New Roman" w:cs="Times New Roman"/>
              <w:b w:val="0"/>
              <w:bCs w:val="0"/>
              <w:highlight w:val="none"/>
            </w:rPr>
            <w:fldChar w:fldCharType="begin"/>
          </w:r>
          <w:r>
            <w:rPr>
              <w:rFonts w:hint="default" w:ascii="Times New Roman" w:hAnsi="Times New Roman" w:cs="Times New Roman"/>
              <w:b w:val="0"/>
              <w:bCs w:val="0"/>
              <w:highlight w:val="none"/>
            </w:rPr>
            <w:instrText xml:space="preserve"> HYPERLINK \l _Toc26750 </w:instrText>
          </w:r>
          <w:r>
            <w:rPr>
              <w:rFonts w:hint="default" w:ascii="Times New Roman" w:hAnsi="Times New Roman" w:cs="Times New Roman"/>
              <w:b w:val="0"/>
              <w:bCs w:val="0"/>
              <w:highlight w:val="none"/>
            </w:rPr>
            <w:fldChar w:fldCharType="separate"/>
          </w:r>
          <w:r>
            <w:rPr>
              <w:rFonts w:hint="default" w:ascii="Times New Roman" w:hAnsi="Times New Roman" w:cs="Times New Roman"/>
              <w:b w:val="0"/>
              <w:bCs w:val="0"/>
              <w:highlight w:val="none"/>
            </w:rPr>
            <w:t>一、响应函</w:t>
          </w:r>
          <w:r>
            <w:rPr>
              <w:rFonts w:hint="default" w:ascii="Times New Roman" w:hAnsi="Times New Roman" w:cs="Times New Roman"/>
              <w:b w:val="0"/>
              <w:bCs w:val="0"/>
              <w:highlight w:val="none"/>
            </w:rPr>
            <w:tab/>
          </w:r>
          <w:r>
            <w:rPr>
              <w:rFonts w:hint="eastAsia" w:cs="Times New Roman"/>
              <w:b w:val="0"/>
              <w:bCs w:val="0"/>
              <w:highlight w:val="none"/>
              <w:lang w:val="en-US" w:eastAsia="zh-CN"/>
            </w:rPr>
            <w:t>5</w:t>
          </w:r>
          <w:r>
            <w:rPr>
              <w:rFonts w:hint="default" w:ascii="Times New Roman" w:hAnsi="Times New Roman" w:cs="Times New Roman"/>
              <w:b w:val="0"/>
              <w:bCs w:val="0"/>
              <w:highlight w:val="none"/>
            </w:rPr>
            <w:fldChar w:fldCharType="end"/>
          </w:r>
          <w:r>
            <w:rPr>
              <w:rFonts w:hint="eastAsia" w:cs="Times New Roman"/>
              <w:b w:val="0"/>
              <w:bCs w:val="0"/>
              <w:highlight w:val="none"/>
              <w:lang w:val="en-US" w:eastAsia="zh-CN"/>
            </w:rPr>
            <w:t>3</w:t>
          </w:r>
        </w:p>
        <w:p w14:paraId="3184C3E4">
          <w:pPr>
            <w:pStyle w:val="388"/>
            <w:shd w:val="clear"/>
            <w:tabs>
              <w:tab w:val="right" w:leader="dot" w:pos="8787"/>
            </w:tabs>
            <w:rPr>
              <w:rFonts w:hint="eastAsia" w:ascii="Times New Roman" w:hAnsi="Times New Roman" w:eastAsia="宋体" w:cs="Times New Roman"/>
              <w:b w:val="0"/>
              <w:bCs w:val="0"/>
              <w:highlight w:val="none"/>
              <w:lang w:val="en-US" w:eastAsia="zh-CN"/>
            </w:rPr>
          </w:pPr>
          <w:r>
            <w:rPr>
              <w:rFonts w:hint="default" w:ascii="Times New Roman" w:hAnsi="Times New Roman" w:cs="Times New Roman"/>
              <w:b w:val="0"/>
              <w:bCs w:val="0"/>
              <w:highlight w:val="none"/>
            </w:rPr>
            <w:fldChar w:fldCharType="begin"/>
          </w:r>
          <w:r>
            <w:rPr>
              <w:rFonts w:hint="default" w:ascii="Times New Roman" w:hAnsi="Times New Roman" w:cs="Times New Roman"/>
              <w:b w:val="0"/>
              <w:bCs w:val="0"/>
              <w:highlight w:val="none"/>
            </w:rPr>
            <w:instrText xml:space="preserve"> HYPERLINK \l _Toc31036 </w:instrText>
          </w:r>
          <w:r>
            <w:rPr>
              <w:rFonts w:hint="default" w:ascii="Times New Roman" w:hAnsi="Times New Roman" w:cs="Times New Roman"/>
              <w:b w:val="0"/>
              <w:bCs w:val="0"/>
              <w:highlight w:val="none"/>
            </w:rPr>
            <w:fldChar w:fldCharType="separate"/>
          </w:r>
          <w:r>
            <w:rPr>
              <w:rFonts w:hint="default" w:ascii="Times New Roman" w:hAnsi="Times New Roman" w:cs="Times New Roman"/>
              <w:b w:val="0"/>
              <w:bCs w:val="0"/>
              <w:highlight w:val="none"/>
            </w:rPr>
            <w:t>二、法定代表人身份证明</w:t>
          </w:r>
          <w:r>
            <w:rPr>
              <w:rFonts w:hint="default" w:ascii="Times New Roman" w:hAnsi="Times New Roman" w:cs="Times New Roman"/>
              <w:b w:val="0"/>
              <w:bCs w:val="0"/>
              <w:highlight w:val="none"/>
            </w:rPr>
            <w:tab/>
          </w:r>
          <w:r>
            <w:rPr>
              <w:rFonts w:hint="eastAsia" w:cs="Times New Roman"/>
              <w:b w:val="0"/>
              <w:bCs w:val="0"/>
              <w:highlight w:val="none"/>
              <w:lang w:val="en-US" w:eastAsia="zh-CN"/>
            </w:rPr>
            <w:t>5</w:t>
          </w:r>
          <w:r>
            <w:rPr>
              <w:rFonts w:hint="default" w:ascii="Times New Roman" w:hAnsi="Times New Roman" w:cs="Times New Roman"/>
              <w:b w:val="0"/>
              <w:bCs w:val="0"/>
              <w:highlight w:val="none"/>
            </w:rPr>
            <w:fldChar w:fldCharType="end"/>
          </w:r>
          <w:r>
            <w:rPr>
              <w:rFonts w:hint="eastAsia" w:cs="Times New Roman"/>
              <w:b w:val="0"/>
              <w:bCs w:val="0"/>
              <w:highlight w:val="none"/>
              <w:lang w:val="en-US" w:eastAsia="zh-CN"/>
            </w:rPr>
            <w:t>4</w:t>
          </w:r>
        </w:p>
        <w:p w14:paraId="36BDDCC5">
          <w:pPr>
            <w:pStyle w:val="388"/>
            <w:shd w:val="clear"/>
            <w:tabs>
              <w:tab w:val="right" w:leader="dot" w:pos="8787"/>
            </w:tabs>
            <w:rPr>
              <w:rFonts w:hint="eastAsia" w:ascii="Times New Roman" w:hAnsi="Times New Roman" w:eastAsia="宋体" w:cs="Times New Roman"/>
              <w:b w:val="0"/>
              <w:bCs w:val="0"/>
              <w:highlight w:val="none"/>
              <w:lang w:val="en-US" w:eastAsia="zh-CN"/>
            </w:rPr>
          </w:pPr>
          <w:r>
            <w:rPr>
              <w:rFonts w:hint="default" w:ascii="Times New Roman" w:hAnsi="Times New Roman" w:cs="Times New Roman"/>
              <w:b w:val="0"/>
              <w:bCs w:val="0"/>
              <w:highlight w:val="none"/>
            </w:rPr>
            <w:fldChar w:fldCharType="begin"/>
          </w:r>
          <w:r>
            <w:rPr>
              <w:rFonts w:hint="default" w:ascii="Times New Roman" w:hAnsi="Times New Roman" w:cs="Times New Roman"/>
              <w:b w:val="0"/>
              <w:bCs w:val="0"/>
              <w:highlight w:val="none"/>
            </w:rPr>
            <w:instrText xml:space="preserve"> HYPERLINK \l _Toc28707 </w:instrText>
          </w:r>
          <w:r>
            <w:rPr>
              <w:rFonts w:hint="default" w:ascii="Times New Roman" w:hAnsi="Times New Roman" w:cs="Times New Roman"/>
              <w:b w:val="0"/>
              <w:bCs w:val="0"/>
              <w:highlight w:val="none"/>
            </w:rPr>
            <w:fldChar w:fldCharType="separate"/>
          </w:r>
          <w:r>
            <w:rPr>
              <w:rFonts w:hint="default" w:ascii="Times New Roman" w:hAnsi="Times New Roman" w:cs="Times New Roman"/>
              <w:b w:val="0"/>
              <w:bCs w:val="0"/>
              <w:highlight w:val="none"/>
            </w:rPr>
            <w:t>三、法定代表人授权委托书</w:t>
          </w:r>
          <w:r>
            <w:rPr>
              <w:rFonts w:hint="default" w:ascii="Times New Roman" w:hAnsi="Times New Roman" w:cs="Times New Roman"/>
              <w:b w:val="0"/>
              <w:bCs w:val="0"/>
              <w:highlight w:val="none"/>
            </w:rPr>
            <w:tab/>
          </w:r>
          <w:r>
            <w:rPr>
              <w:rFonts w:hint="eastAsia" w:cs="Times New Roman"/>
              <w:b w:val="0"/>
              <w:bCs w:val="0"/>
              <w:highlight w:val="none"/>
              <w:lang w:val="en-US" w:eastAsia="zh-CN"/>
            </w:rPr>
            <w:t>5</w:t>
          </w:r>
          <w:r>
            <w:rPr>
              <w:rFonts w:hint="default" w:ascii="Times New Roman" w:hAnsi="Times New Roman" w:cs="Times New Roman"/>
              <w:b w:val="0"/>
              <w:bCs w:val="0"/>
              <w:highlight w:val="none"/>
            </w:rPr>
            <w:fldChar w:fldCharType="end"/>
          </w:r>
          <w:r>
            <w:rPr>
              <w:rFonts w:hint="eastAsia" w:cs="Times New Roman"/>
              <w:b w:val="0"/>
              <w:bCs w:val="0"/>
              <w:highlight w:val="none"/>
              <w:lang w:val="en-US" w:eastAsia="zh-CN"/>
            </w:rPr>
            <w:t>5</w:t>
          </w:r>
        </w:p>
        <w:p w14:paraId="7C2D1DFD">
          <w:pPr>
            <w:pStyle w:val="388"/>
            <w:shd w:val="clear"/>
            <w:tabs>
              <w:tab w:val="right" w:leader="dot" w:pos="8787"/>
            </w:tabs>
            <w:rPr>
              <w:rFonts w:hint="eastAsia" w:ascii="Times New Roman" w:hAnsi="Times New Roman" w:eastAsia="宋体" w:cs="Times New Roman"/>
              <w:b w:val="0"/>
              <w:bCs w:val="0"/>
              <w:highlight w:val="none"/>
              <w:lang w:val="en-US" w:eastAsia="zh-CN"/>
            </w:rPr>
          </w:pPr>
          <w:r>
            <w:rPr>
              <w:rFonts w:hint="default" w:ascii="Times New Roman" w:hAnsi="Times New Roman" w:cs="Times New Roman"/>
              <w:b w:val="0"/>
              <w:bCs w:val="0"/>
              <w:highlight w:val="none"/>
            </w:rPr>
            <w:fldChar w:fldCharType="begin"/>
          </w:r>
          <w:r>
            <w:rPr>
              <w:rFonts w:hint="default" w:ascii="Times New Roman" w:hAnsi="Times New Roman" w:cs="Times New Roman"/>
              <w:b w:val="0"/>
              <w:bCs w:val="0"/>
              <w:highlight w:val="none"/>
            </w:rPr>
            <w:instrText xml:space="preserve"> HYPERLINK \l _Toc26231 </w:instrText>
          </w:r>
          <w:r>
            <w:rPr>
              <w:rFonts w:hint="default" w:ascii="Times New Roman" w:hAnsi="Times New Roman" w:cs="Times New Roman"/>
              <w:b w:val="0"/>
              <w:bCs w:val="0"/>
              <w:highlight w:val="none"/>
            </w:rPr>
            <w:fldChar w:fldCharType="separate"/>
          </w:r>
          <w:r>
            <w:rPr>
              <w:rFonts w:hint="default" w:ascii="Times New Roman" w:hAnsi="Times New Roman" w:cs="Times New Roman"/>
              <w:b w:val="0"/>
              <w:bCs w:val="0"/>
              <w:highlight w:val="none"/>
              <w:lang w:eastAsia="zh-CN"/>
            </w:rPr>
            <w:t>四、</w:t>
          </w:r>
          <w:r>
            <w:rPr>
              <w:rFonts w:hint="default" w:ascii="Times New Roman" w:hAnsi="Times New Roman" w:cs="Times New Roman"/>
              <w:b w:val="0"/>
              <w:bCs w:val="0"/>
              <w:highlight w:val="none"/>
            </w:rPr>
            <w:t>供应商承诺书</w:t>
          </w:r>
          <w:r>
            <w:rPr>
              <w:rFonts w:hint="default" w:ascii="Times New Roman" w:hAnsi="Times New Roman" w:cs="Times New Roman"/>
              <w:b w:val="0"/>
              <w:bCs w:val="0"/>
              <w:highlight w:val="none"/>
            </w:rPr>
            <w:tab/>
          </w:r>
          <w:r>
            <w:rPr>
              <w:rFonts w:hint="eastAsia" w:cs="Times New Roman"/>
              <w:b w:val="0"/>
              <w:bCs w:val="0"/>
              <w:highlight w:val="none"/>
              <w:lang w:val="en-US" w:eastAsia="zh-CN"/>
            </w:rPr>
            <w:t>5</w:t>
          </w:r>
          <w:r>
            <w:rPr>
              <w:rFonts w:hint="default" w:ascii="Times New Roman" w:hAnsi="Times New Roman" w:cs="Times New Roman"/>
              <w:b w:val="0"/>
              <w:bCs w:val="0"/>
              <w:highlight w:val="none"/>
            </w:rPr>
            <w:fldChar w:fldCharType="end"/>
          </w:r>
          <w:r>
            <w:rPr>
              <w:rFonts w:hint="eastAsia" w:cs="Times New Roman"/>
              <w:b w:val="0"/>
              <w:bCs w:val="0"/>
              <w:highlight w:val="none"/>
              <w:lang w:val="en-US" w:eastAsia="zh-CN"/>
            </w:rPr>
            <w:t>6</w:t>
          </w:r>
        </w:p>
        <w:p w14:paraId="0C4855A7">
          <w:pPr>
            <w:pStyle w:val="388"/>
            <w:shd w:val="clear"/>
            <w:tabs>
              <w:tab w:val="right" w:leader="dot" w:pos="8787"/>
            </w:tabs>
            <w:rPr>
              <w:rFonts w:hint="eastAsia" w:ascii="Times New Roman" w:hAnsi="Times New Roman" w:eastAsia="宋体" w:cs="Times New Roman"/>
              <w:b w:val="0"/>
              <w:bCs w:val="0"/>
              <w:highlight w:val="none"/>
              <w:lang w:val="en-US" w:eastAsia="zh-CN"/>
            </w:rPr>
          </w:pPr>
          <w:r>
            <w:rPr>
              <w:rFonts w:hint="eastAsia" w:cs="Times New Roman"/>
              <w:b w:val="0"/>
              <w:bCs w:val="0"/>
              <w:highlight w:val="none"/>
              <w:lang w:eastAsia="zh-CN"/>
            </w:rPr>
            <w:t>五</w:t>
          </w:r>
          <w:r>
            <w:rPr>
              <w:rFonts w:hint="default" w:ascii="Times New Roman" w:hAnsi="Times New Roman" w:cs="Times New Roman"/>
              <w:b w:val="0"/>
              <w:bCs w:val="0"/>
              <w:highlight w:val="none"/>
            </w:rPr>
            <w:fldChar w:fldCharType="begin"/>
          </w:r>
          <w:r>
            <w:rPr>
              <w:rFonts w:hint="default" w:ascii="Times New Roman" w:hAnsi="Times New Roman" w:cs="Times New Roman"/>
              <w:b w:val="0"/>
              <w:bCs w:val="0"/>
              <w:highlight w:val="none"/>
            </w:rPr>
            <w:instrText xml:space="preserve"> HYPERLINK \l _Toc23648 </w:instrText>
          </w:r>
          <w:r>
            <w:rPr>
              <w:rFonts w:hint="default" w:ascii="Times New Roman" w:hAnsi="Times New Roman" w:cs="Times New Roman"/>
              <w:b w:val="0"/>
              <w:bCs w:val="0"/>
              <w:highlight w:val="none"/>
            </w:rPr>
            <w:fldChar w:fldCharType="separate"/>
          </w:r>
          <w:r>
            <w:rPr>
              <w:rFonts w:hint="default" w:ascii="Times New Roman" w:hAnsi="Times New Roman" w:cs="Times New Roman"/>
              <w:b w:val="0"/>
              <w:bCs w:val="0"/>
              <w:szCs w:val="32"/>
              <w:highlight w:val="none"/>
            </w:rPr>
            <w:t>、供应商基本情况表</w:t>
          </w:r>
          <w:r>
            <w:rPr>
              <w:rFonts w:hint="default" w:ascii="Times New Roman" w:hAnsi="Times New Roman" w:cs="Times New Roman"/>
              <w:b w:val="0"/>
              <w:bCs w:val="0"/>
              <w:highlight w:val="none"/>
            </w:rPr>
            <w:tab/>
          </w:r>
          <w:r>
            <w:rPr>
              <w:rFonts w:hint="eastAsia" w:cs="Times New Roman"/>
              <w:b w:val="0"/>
              <w:bCs w:val="0"/>
              <w:highlight w:val="none"/>
              <w:lang w:val="en-US" w:eastAsia="zh-CN"/>
            </w:rPr>
            <w:t>5</w:t>
          </w:r>
          <w:r>
            <w:rPr>
              <w:rFonts w:hint="default" w:ascii="Times New Roman" w:hAnsi="Times New Roman" w:cs="Times New Roman"/>
              <w:b w:val="0"/>
              <w:bCs w:val="0"/>
              <w:highlight w:val="none"/>
            </w:rPr>
            <w:fldChar w:fldCharType="end"/>
          </w:r>
          <w:r>
            <w:rPr>
              <w:rFonts w:hint="eastAsia" w:cs="Times New Roman"/>
              <w:b w:val="0"/>
              <w:bCs w:val="0"/>
              <w:highlight w:val="none"/>
              <w:lang w:val="en-US" w:eastAsia="zh-CN"/>
            </w:rPr>
            <w:t>7</w:t>
          </w:r>
        </w:p>
        <w:p w14:paraId="05408F8F">
          <w:pPr>
            <w:pStyle w:val="388"/>
            <w:shd w:val="clear"/>
            <w:tabs>
              <w:tab w:val="right" w:leader="dot" w:pos="8787"/>
            </w:tabs>
            <w:rPr>
              <w:rFonts w:hint="default" w:cs="Times New Roman"/>
              <w:b w:val="0"/>
              <w:bCs w:val="0"/>
              <w:highlight w:val="none"/>
              <w:lang w:val="en-US" w:eastAsia="zh-CN"/>
            </w:rPr>
          </w:pPr>
          <w:r>
            <w:rPr>
              <w:rFonts w:hint="eastAsia" w:cs="Times New Roman"/>
              <w:b w:val="0"/>
              <w:bCs w:val="0"/>
              <w:highlight w:val="none"/>
              <w:lang w:eastAsia="zh-CN"/>
            </w:rPr>
            <w:t>六、</w:t>
          </w:r>
          <w:r>
            <w:rPr>
              <w:rFonts w:hint="eastAsia" w:eastAsiaTheme="minorEastAsia"/>
              <w:color w:val="000000" w:themeColor="text1"/>
              <w:szCs w:val="21"/>
              <w:highlight w:val="none"/>
            </w:rPr>
            <w:t>项目负责人简历表</w:t>
          </w:r>
          <w:r>
            <w:rPr>
              <w:rFonts w:hint="default" w:ascii="Times New Roman" w:hAnsi="Times New Roman" w:cs="Times New Roman"/>
              <w:b w:val="0"/>
              <w:bCs w:val="0"/>
              <w:highlight w:val="none"/>
            </w:rPr>
            <w:tab/>
          </w:r>
          <w:r>
            <w:rPr>
              <w:rFonts w:hint="eastAsia" w:cs="Times New Roman"/>
              <w:b w:val="0"/>
              <w:bCs w:val="0"/>
              <w:highlight w:val="none"/>
              <w:lang w:val="en-US" w:eastAsia="zh-CN"/>
            </w:rPr>
            <w:t>58</w:t>
          </w:r>
        </w:p>
        <w:p w14:paraId="440F9F70">
          <w:pPr>
            <w:pStyle w:val="388"/>
            <w:shd w:val="clear"/>
            <w:tabs>
              <w:tab w:val="right" w:leader="dot" w:pos="8787"/>
            </w:tabs>
            <w:rPr>
              <w:rFonts w:hint="default" w:cs="Times New Roman"/>
              <w:b w:val="0"/>
              <w:bCs w:val="0"/>
              <w:highlight w:val="none"/>
              <w:lang w:val="en-US" w:eastAsia="zh-CN"/>
            </w:rPr>
          </w:pPr>
          <w:r>
            <w:rPr>
              <w:rFonts w:hint="eastAsia" w:cs="Times New Roman"/>
              <w:b w:val="0"/>
              <w:bCs w:val="0"/>
              <w:highlight w:val="none"/>
              <w:lang w:eastAsia="zh-CN"/>
            </w:rPr>
            <w:t>七</w:t>
          </w:r>
          <w:r>
            <w:rPr>
              <w:rFonts w:hint="default" w:ascii="Times New Roman" w:hAnsi="Times New Roman" w:cs="Times New Roman"/>
              <w:b w:val="0"/>
              <w:bCs w:val="0"/>
              <w:highlight w:val="none"/>
            </w:rPr>
            <w:t>、</w:t>
          </w:r>
          <w:r>
            <w:rPr>
              <w:rFonts w:hint="default" w:ascii="Times New Roman" w:hAnsi="Times New Roman" w:cs="Times New Roman"/>
              <w:b w:val="0"/>
              <w:bCs w:val="0"/>
              <w:highlight w:val="none"/>
            </w:rPr>
            <w:fldChar w:fldCharType="begin"/>
          </w:r>
          <w:r>
            <w:rPr>
              <w:rFonts w:hint="default" w:ascii="Times New Roman" w:hAnsi="Times New Roman" w:cs="Times New Roman"/>
              <w:b w:val="0"/>
              <w:bCs w:val="0"/>
              <w:highlight w:val="none"/>
            </w:rPr>
            <w:instrText xml:space="preserve"> HYPERLINK \l _Toc13004 </w:instrText>
          </w:r>
          <w:r>
            <w:rPr>
              <w:rFonts w:hint="default" w:ascii="Times New Roman" w:hAnsi="Times New Roman" w:cs="Times New Roman"/>
              <w:b w:val="0"/>
              <w:bCs w:val="0"/>
              <w:highlight w:val="none"/>
            </w:rPr>
            <w:fldChar w:fldCharType="separate"/>
          </w:r>
          <w:r>
            <w:rPr>
              <w:rFonts w:hint="eastAsia" w:cs="Times New Roman"/>
              <w:b w:val="0"/>
              <w:bCs w:val="0"/>
              <w:highlight w:val="none"/>
              <w:lang w:eastAsia="zh-CN"/>
            </w:rPr>
            <w:t>保证金缴纳银行电子回执</w:t>
          </w:r>
          <w:r>
            <w:rPr>
              <w:rFonts w:hint="default" w:ascii="Times New Roman" w:hAnsi="Times New Roman" w:cs="Times New Roman"/>
              <w:b w:val="0"/>
              <w:bCs w:val="0"/>
              <w:highlight w:val="none"/>
            </w:rPr>
            <w:tab/>
          </w:r>
          <w:r>
            <w:rPr>
              <w:rFonts w:hint="default" w:ascii="Times New Roman" w:hAnsi="Times New Roman" w:cs="Times New Roman"/>
              <w:b w:val="0"/>
              <w:bCs w:val="0"/>
              <w:highlight w:val="none"/>
            </w:rPr>
            <w:fldChar w:fldCharType="end"/>
          </w:r>
          <w:r>
            <w:rPr>
              <w:rFonts w:hint="default" w:ascii="Times New Roman" w:hAnsi="Times New Roman" w:cs="Times New Roman"/>
              <w:b w:val="0"/>
              <w:bCs w:val="0"/>
              <w:highlight w:val="none"/>
            </w:rPr>
            <w:fldChar w:fldCharType="end"/>
          </w:r>
          <w:r>
            <w:rPr>
              <w:rFonts w:hint="eastAsia" w:cs="Times New Roman"/>
              <w:b w:val="0"/>
              <w:bCs w:val="0"/>
              <w:highlight w:val="none"/>
              <w:lang w:val="en-US" w:eastAsia="zh-CN"/>
            </w:rPr>
            <w:t>59</w:t>
          </w:r>
        </w:p>
        <w:p w14:paraId="439E47BA">
          <w:pPr>
            <w:pStyle w:val="388"/>
            <w:shd w:val="clear"/>
            <w:tabs>
              <w:tab w:val="right" w:leader="dot" w:pos="8787"/>
            </w:tabs>
            <w:rPr>
              <w:rFonts w:hint="default" w:ascii="Times New Roman" w:hAnsi="Times New Roman" w:eastAsia="宋体" w:cs="Times New Roman"/>
              <w:b w:val="0"/>
              <w:bCs w:val="0"/>
              <w:highlight w:val="none"/>
              <w:lang w:val="en-US" w:eastAsia="zh-CN"/>
            </w:rPr>
            <w:sectPr>
              <w:footerReference r:id="rId5" w:type="default"/>
              <w:pgSz w:w="11905" w:h="16838"/>
              <w:pgMar w:top="1247" w:right="1247" w:bottom="1247" w:left="1247" w:header="720" w:footer="720" w:gutter="0"/>
              <w:pgBorders>
                <w:top w:val="none" w:sz="0" w:space="0"/>
                <w:left w:val="none" w:sz="0" w:space="0"/>
                <w:bottom w:val="none" w:sz="0" w:space="0"/>
                <w:right w:val="none" w:sz="0" w:space="0"/>
              </w:pgBorders>
              <w:pgNumType w:fmt="decimal"/>
              <w:cols w:space="0" w:num="1"/>
              <w:rtlGutter w:val="0"/>
              <w:docGrid w:type="lines" w:linePitch="326" w:charSpace="0"/>
            </w:sectPr>
          </w:pPr>
        </w:p>
        <w:p w14:paraId="260E283C">
          <w:pPr>
            <w:pStyle w:val="388"/>
            <w:shd w:val="clear"/>
            <w:tabs>
              <w:tab w:val="right" w:leader="dot" w:pos="8787"/>
            </w:tabs>
            <w:ind w:left="420" w:leftChars="200"/>
          </w:pPr>
          <w:bookmarkStart w:id="11" w:name="_Toc894"/>
        </w:p>
      </w:sdtContent>
    </w:sdt>
    <w:p w14:paraId="2101D978">
      <w:pPr>
        <w:pStyle w:val="3"/>
        <w:keepNext w:val="0"/>
        <w:keepLines w:val="0"/>
        <w:pageBreakBefore w:val="0"/>
        <w:widowControl w:val="0"/>
        <w:shd w:val="clear"/>
        <w:kinsoku/>
        <w:wordWrap/>
        <w:overflowPunct/>
        <w:topLinePunct w:val="0"/>
        <w:autoSpaceDE w:val="0"/>
        <w:autoSpaceDN w:val="0"/>
        <w:bidi w:val="0"/>
        <w:adjustRightInd w:val="0"/>
        <w:snapToGrid w:val="0"/>
        <w:spacing w:before="0" w:after="200" w:line="400" w:lineRule="atLeast"/>
        <w:ind w:firstLine="0" w:firstLineChars="0"/>
        <w:jc w:val="center"/>
        <w:textAlignment w:val="auto"/>
        <w:rPr>
          <w:rFonts w:hint="eastAsia" w:ascii="Times New Roman" w:hAnsi="Times New Roman" w:eastAsiaTheme="majorEastAsia"/>
          <w:bCs/>
          <w:color w:val="000000" w:themeColor="text1"/>
          <w:kern w:val="2"/>
          <w:szCs w:val="36"/>
          <w:highlight w:val="none"/>
          <w:lang w:eastAsia="zh-CN"/>
        </w:rPr>
      </w:pPr>
      <w:r>
        <w:rPr>
          <w:rFonts w:ascii="Times New Roman" w:hAnsiTheme="majorEastAsia" w:eastAsiaTheme="majorEastAsia"/>
          <w:bCs/>
          <w:color w:val="000000" w:themeColor="text1"/>
          <w:kern w:val="2"/>
          <w:szCs w:val="36"/>
          <w:highlight w:val="none"/>
        </w:rPr>
        <w:t>第一章</w:t>
      </w:r>
      <w:r>
        <w:rPr>
          <w:rFonts w:hint="eastAsia" w:ascii="Times New Roman" w:hAnsiTheme="majorEastAsia" w:eastAsiaTheme="majorEastAsia"/>
          <w:bCs/>
          <w:color w:val="000000" w:themeColor="text1"/>
          <w:kern w:val="2"/>
          <w:szCs w:val="36"/>
          <w:highlight w:val="none"/>
          <w:lang w:val="en-US" w:eastAsia="zh-CN"/>
        </w:rPr>
        <w:t xml:space="preserve">  </w:t>
      </w:r>
      <w:r>
        <w:rPr>
          <w:rFonts w:ascii="Times New Roman" w:hAnsiTheme="majorEastAsia" w:eastAsiaTheme="majorEastAsia"/>
          <w:bCs/>
          <w:color w:val="000000" w:themeColor="text1"/>
          <w:kern w:val="2"/>
          <w:szCs w:val="36"/>
          <w:highlight w:val="none"/>
        </w:rPr>
        <w:t>竞争性谈判公告</w:t>
      </w:r>
      <w:bookmarkEnd w:id="2"/>
      <w:bookmarkEnd w:id="10"/>
      <w:bookmarkEnd w:id="11"/>
    </w:p>
    <w:p w14:paraId="34540222">
      <w:pPr>
        <w:shd w:val="clear"/>
        <w:wordWrap w:val="0"/>
        <w:spacing w:line="360" w:lineRule="exact"/>
        <w:ind w:firstLine="420"/>
        <w:jc w:val="left"/>
        <w:rPr>
          <w:rFonts w:eastAsiaTheme="minorEastAsia"/>
          <w:color w:val="000000" w:themeColor="text1"/>
          <w:szCs w:val="21"/>
          <w:highlight w:val="none"/>
        </w:rPr>
      </w:pPr>
      <w:bookmarkStart w:id="12" w:name="_Toc398107833"/>
      <w:r>
        <w:rPr>
          <w:rFonts w:hAnsiTheme="minorEastAsia" w:eastAsiaTheme="minorEastAsia"/>
          <w:color w:val="000000" w:themeColor="text1"/>
          <w:szCs w:val="21"/>
          <w:highlight w:val="none"/>
        </w:rPr>
        <w:t>采购人</w:t>
      </w:r>
      <w:r>
        <w:rPr>
          <w:rFonts w:hint="eastAsia" w:hAnsiTheme="minorEastAsia" w:eastAsiaTheme="minorEastAsia"/>
          <w:color w:val="000000" w:themeColor="text1"/>
          <w:szCs w:val="21"/>
          <w:highlight w:val="none"/>
          <w:u w:val="single"/>
        </w:rPr>
        <w:t xml:space="preserve"> </w:t>
      </w:r>
      <w:r>
        <w:rPr>
          <w:rFonts w:hint="eastAsia" w:hAnsiTheme="minorEastAsia" w:eastAsiaTheme="minorEastAsia"/>
          <w:color w:val="000000" w:themeColor="text1"/>
          <w:szCs w:val="21"/>
          <w:highlight w:val="none"/>
          <w:u w:val="single"/>
          <w:lang w:eastAsia="zh-CN"/>
        </w:rPr>
        <w:t>连云港徐圩城建工程有限公司</w:t>
      </w:r>
      <w:r>
        <w:rPr>
          <w:rFonts w:hint="eastAsia" w:hAnsiTheme="minorEastAsia" w:eastAsiaTheme="minorEastAsia"/>
          <w:color w:val="000000" w:themeColor="text1"/>
          <w:szCs w:val="21"/>
          <w:highlight w:val="none"/>
          <w:u w:val="single"/>
        </w:rPr>
        <w:t xml:space="preserve"> </w:t>
      </w:r>
      <w:r>
        <w:rPr>
          <w:rFonts w:hAnsiTheme="minorEastAsia" w:eastAsiaTheme="minorEastAsia"/>
          <w:color w:val="000000" w:themeColor="text1"/>
          <w:szCs w:val="21"/>
          <w:highlight w:val="none"/>
        </w:rPr>
        <w:t>对</w:t>
      </w:r>
      <w:r>
        <w:rPr>
          <w:rFonts w:hint="eastAsia" w:hAnsiTheme="minorEastAsia" w:eastAsiaTheme="minorEastAsia"/>
          <w:color w:val="000000" w:themeColor="text1"/>
          <w:szCs w:val="21"/>
          <w:highlight w:val="none"/>
          <w:u w:val="single"/>
        </w:rPr>
        <w:t xml:space="preserve"> </w:t>
      </w:r>
      <w:r>
        <w:rPr>
          <w:rFonts w:hint="eastAsia" w:hAnsiTheme="minorEastAsia" w:eastAsiaTheme="minorEastAsia"/>
          <w:color w:val="000000" w:themeColor="text1"/>
          <w:szCs w:val="21"/>
          <w:highlight w:val="none"/>
          <w:u w:val="single"/>
          <w:lang w:eastAsia="zh-CN"/>
        </w:rPr>
        <w:t>物流集散道路工程EPC项目-道路工程劳务</w:t>
      </w:r>
      <w:r>
        <w:rPr>
          <w:rFonts w:hint="eastAsia" w:hAnsiTheme="minorEastAsia" w:eastAsiaTheme="minorEastAsia"/>
          <w:color w:val="000000" w:themeColor="text1"/>
          <w:szCs w:val="21"/>
          <w:highlight w:val="none"/>
        </w:rPr>
        <w:t>进行竞争性谈判采购。现欢迎符合相关条件的供应商参加谈判</w:t>
      </w:r>
      <w:r>
        <w:rPr>
          <w:rFonts w:hAnsiTheme="minorEastAsia" w:eastAsiaTheme="minorEastAsia"/>
          <w:color w:val="000000" w:themeColor="text1"/>
          <w:szCs w:val="21"/>
          <w:highlight w:val="none"/>
        </w:rPr>
        <w:t>。</w:t>
      </w:r>
    </w:p>
    <w:p w14:paraId="2E136BCA">
      <w:pPr>
        <w:shd w:val="clear"/>
        <w:adjustRightInd w:val="0"/>
        <w:spacing w:line="360" w:lineRule="exact"/>
        <w:ind w:firstLine="422"/>
        <w:jc w:val="left"/>
        <w:outlineLvl w:val="1"/>
        <w:rPr>
          <w:rFonts w:eastAsiaTheme="minorEastAsia"/>
          <w:b/>
          <w:color w:val="000000" w:themeColor="text1"/>
          <w:szCs w:val="21"/>
          <w:highlight w:val="none"/>
        </w:rPr>
      </w:pPr>
      <w:bookmarkStart w:id="13" w:name="_Toc16410"/>
      <w:r>
        <w:rPr>
          <w:rFonts w:eastAsiaTheme="minorEastAsia"/>
          <w:b/>
          <w:color w:val="000000" w:themeColor="text1"/>
          <w:szCs w:val="21"/>
          <w:highlight w:val="none"/>
        </w:rPr>
        <w:t>1.</w:t>
      </w:r>
      <w:r>
        <w:rPr>
          <w:rFonts w:hAnsiTheme="minorEastAsia" w:eastAsiaTheme="minorEastAsia"/>
          <w:b/>
          <w:color w:val="000000" w:themeColor="text1"/>
          <w:szCs w:val="21"/>
          <w:highlight w:val="none"/>
        </w:rPr>
        <w:t>采购项目名称及编号</w:t>
      </w:r>
      <w:bookmarkEnd w:id="13"/>
    </w:p>
    <w:p w14:paraId="394E866A">
      <w:pPr>
        <w:shd w:val="clear"/>
        <w:adjustRightInd w:val="0"/>
        <w:spacing w:line="360" w:lineRule="exact"/>
        <w:ind w:firstLine="420"/>
        <w:jc w:val="left"/>
        <w:rPr>
          <w:rFonts w:eastAsiaTheme="minorEastAsia"/>
          <w:color w:val="000000" w:themeColor="text1"/>
          <w:szCs w:val="21"/>
          <w:highlight w:val="none"/>
          <w:u w:val="none"/>
        </w:rPr>
      </w:pPr>
      <w:r>
        <w:rPr>
          <w:rFonts w:eastAsiaTheme="minorEastAsia"/>
          <w:bCs/>
          <w:color w:val="000000" w:themeColor="text1"/>
          <w:szCs w:val="21"/>
          <w:highlight w:val="none"/>
        </w:rPr>
        <w:t>1.1</w:t>
      </w:r>
      <w:r>
        <w:rPr>
          <w:rFonts w:hAnsiTheme="minorEastAsia" w:eastAsiaTheme="minorEastAsia"/>
          <w:bCs/>
          <w:color w:val="000000" w:themeColor="text1"/>
          <w:szCs w:val="21"/>
          <w:highlight w:val="none"/>
        </w:rPr>
        <w:t>项目名称：</w:t>
      </w:r>
      <w:r>
        <w:rPr>
          <w:rFonts w:hint="eastAsia" w:hAnsiTheme="minorEastAsia" w:eastAsiaTheme="minorEastAsia"/>
          <w:color w:val="000000" w:themeColor="text1"/>
          <w:szCs w:val="21"/>
          <w:highlight w:val="none"/>
          <w:u w:val="single"/>
          <w:lang w:eastAsia="zh-CN"/>
        </w:rPr>
        <w:t>物流集散道路工程EPC项目-道路工程劳务</w:t>
      </w:r>
      <w:r>
        <w:rPr>
          <w:rFonts w:hint="eastAsia" w:hAnsiTheme="minorEastAsia" w:eastAsiaTheme="minorEastAsia"/>
          <w:color w:val="000000" w:themeColor="text1"/>
          <w:szCs w:val="21"/>
          <w:highlight w:val="none"/>
          <w:u w:val="none"/>
          <w:lang w:eastAsia="zh-CN"/>
        </w:rPr>
        <w:t>；</w:t>
      </w:r>
    </w:p>
    <w:p w14:paraId="08379396">
      <w:pPr>
        <w:shd w:val="clear"/>
        <w:adjustRightInd w:val="0"/>
        <w:spacing w:line="360" w:lineRule="exact"/>
        <w:ind w:firstLine="420"/>
        <w:jc w:val="left"/>
        <w:rPr>
          <w:rFonts w:hint="eastAsia" w:eastAsiaTheme="minorEastAsia"/>
          <w:color w:val="000000" w:themeColor="text1"/>
          <w:szCs w:val="21"/>
          <w:highlight w:val="none"/>
          <w:u w:val="single"/>
          <w:lang w:val="en-US" w:eastAsia="zh-CN"/>
        </w:rPr>
      </w:pPr>
      <w:r>
        <w:rPr>
          <w:rFonts w:eastAsiaTheme="minorEastAsia"/>
          <w:color w:val="000000" w:themeColor="text1"/>
          <w:szCs w:val="21"/>
          <w:highlight w:val="none"/>
        </w:rPr>
        <w:t>1.2</w:t>
      </w:r>
      <w:r>
        <w:rPr>
          <w:rFonts w:hAnsiTheme="minorEastAsia" w:eastAsiaTheme="minorEastAsia"/>
          <w:color w:val="000000" w:themeColor="text1"/>
          <w:szCs w:val="21"/>
          <w:highlight w:val="none"/>
        </w:rPr>
        <w:t>项目编号：</w:t>
      </w:r>
      <w:r>
        <w:rPr>
          <w:rFonts w:hint="eastAsia" w:hAnsiTheme="minorEastAsia" w:eastAsiaTheme="minorEastAsia"/>
          <w:color w:val="000000" w:themeColor="text1"/>
          <w:szCs w:val="21"/>
          <w:highlight w:val="none"/>
          <w:u w:val="single"/>
          <w:lang w:val="en-US" w:eastAsia="zh-CN"/>
        </w:rPr>
        <w:t xml:space="preserve">   /  </w:t>
      </w:r>
      <w:r>
        <w:rPr>
          <w:rFonts w:hint="eastAsia" w:hAnsiTheme="minorEastAsia" w:eastAsiaTheme="minorEastAsia"/>
          <w:color w:val="000000" w:themeColor="text1"/>
          <w:szCs w:val="21"/>
          <w:highlight w:val="none"/>
          <w:u w:val="none"/>
          <w:lang w:eastAsia="zh-CN"/>
        </w:rPr>
        <w:t>。</w:t>
      </w:r>
    </w:p>
    <w:p w14:paraId="752A2CDF">
      <w:pPr>
        <w:shd w:val="clear"/>
        <w:adjustRightInd w:val="0"/>
        <w:spacing w:line="360" w:lineRule="exact"/>
        <w:ind w:firstLine="422"/>
        <w:jc w:val="left"/>
        <w:outlineLvl w:val="1"/>
        <w:rPr>
          <w:rFonts w:eastAsiaTheme="minorEastAsia"/>
          <w:b/>
          <w:color w:val="000000" w:themeColor="text1"/>
          <w:szCs w:val="21"/>
          <w:highlight w:val="none"/>
        </w:rPr>
      </w:pPr>
      <w:bookmarkStart w:id="14" w:name="_Toc24141"/>
      <w:r>
        <w:rPr>
          <w:rFonts w:eastAsiaTheme="minorEastAsia"/>
          <w:b/>
          <w:color w:val="000000" w:themeColor="text1"/>
          <w:szCs w:val="21"/>
          <w:highlight w:val="none"/>
        </w:rPr>
        <w:t>2.</w:t>
      </w:r>
      <w:r>
        <w:rPr>
          <w:rFonts w:hAnsiTheme="minorEastAsia" w:eastAsiaTheme="minorEastAsia"/>
          <w:b/>
          <w:color w:val="000000" w:themeColor="text1"/>
          <w:szCs w:val="21"/>
          <w:highlight w:val="none"/>
        </w:rPr>
        <w:t>项目概况</w:t>
      </w:r>
      <w:bookmarkEnd w:id="14"/>
    </w:p>
    <w:p w14:paraId="3159AB20">
      <w:pPr>
        <w:shd w:val="clear"/>
        <w:adjustRightInd w:val="0"/>
        <w:snapToGrid w:val="0"/>
        <w:spacing w:line="360" w:lineRule="exact"/>
        <w:ind w:firstLine="420"/>
        <w:jc w:val="left"/>
        <w:rPr>
          <w:rFonts w:eastAsiaTheme="minorEastAsia"/>
          <w:color w:val="000000" w:themeColor="text1"/>
          <w:szCs w:val="21"/>
          <w:highlight w:val="none"/>
        </w:rPr>
      </w:pPr>
      <w:r>
        <w:rPr>
          <w:rFonts w:eastAsiaTheme="minorEastAsia"/>
          <w:color w:val="000000" w:themeColor="text1"/>
          <w:szCs w:val="21"/>
          <w:highlight w:val="none"/>
        </w:rPr>
        <w:t>2.1</w:t>
      </w:r>
      <w:r>
        <w:rPr>
          <w:rFonts w:hAnsiTheme="minorEastAsia" w:eastAsiaTheme="minorEastAsia"/>
          <w:color w:val="000000" w:themeColor="text1"/>
          <w:szCs w:val="21"/>
          <w:highlight w:val="none"/>
        </w:rPr>
        <w:t>项目地点：</w:t>
      </w:r>
      <w:r>
        <w:rPr>
          <w:rFonts w:hint="eastAsia" w:hAnsiTheme="minorEastAsia" w:eastAsiaTheme="minorEastAsia"/>
          <w:color w:val="000000" w:themeColor="text1"/>
          <w:szCs w:val="21"/>
          <w:highlight w:val="none"/>
          <w:u w:val="single"/>
        </w:rPr>
        <w:t>连云港市徐圩新区</w:t>
      </w:r>
      <w:r>
        <w:rPr>
          <w:rFonts w:hAnsiTheme="minorEastAsia" w:eastAsiaTheme="minorEastAsia"/>
          <w:color w:val="000000" w:themeColor="text1"/>
          <w:szCs w:val="21"/>
          <w:highlight w:val="none"/>
        </w:rPr>
        <w:t>；</w:t>
      </w:r>
    </w:p>
    <w:p w14:paraId="4C620CDC">
      <w:pPr>
        <w:shd w:val="clear"/>
        <w:adjustRightInd w:val="0"/>
        <w:snapToGrid w:val="0"/>
        <w:spacing w:line="360" w:lineRule="exact"/>
        <w:ind w:firstLine="420"/>
        <w:jc w:val="left"/>
        <w:rPr>
          <w:rFonts w:eastAsiaTheme="minorEastAsia"/>
          <w:color w:val="000000" w:themeColor="text1"/>
          <w:szCs w:val="21"/>
          <w:highlight w:val="none"/>
        </w:rPr>
      </w:pPr>
      <w:r>
        <w:rPr>
          <w:rFonts w:eastAsiaTheme="minorEastAsia"/>
          <w:color w:val="000000" w:themeColor="text1"/>
          <w:szCs w:val="21"/>
          <w:highlight w:val="none"/>
        </w:rPr>
        <w:t>2.2</w:t>
      </w:r>
      <w:r>
        <w:rPr>
          <w:rFonts w:hAnsiTheme="minorEastAsia" w:eastAsiaTheme="minorEastAsia"/>
          <w:color w:val="000000" w:themeColor="text1"/>
          <w:szCs w:val="21"/>
          <w:highlight w:val="none"/>
        </w:rPr>
        <w:t>建设规模：</w:t>
      </w:r>
      <w:r>
        <w:rPr>
          <w:rFonts w:hint="eastAsia" w:hAnsiTheme="minorEastAsia" w:eastAsiaTheme="minorEastAsia"/>
          <w:color w:val="000000" w:themeColor="text1"/>
          <w:szCs w:val="21"/>
          <w:highlight w:val="none"/>
          <w:u w:val="single"/>
        </w:rPr>
        <w:t xml:space="preserve">       </w:t>
      </w:r>
      <w:r>
        <w:rPr>
          <w:rFonts w:hint="eastAsia" w:hAnsiTheme="minorEastAsia" w:eastAsiaTheme="minorEastAsia"/>
          <w:color w:val="000000" w:themeColor="text1"/>
          <w:szCs w:val="21"/>
          <w:highlight w:val="none"/>
          <w:u w:val="single"/>
          <w:lang w:val="en-US" w:eastAsia="zh-CN"/>
        </w:rPr>
        <w:t>/</w:t>
      </w:r>
      <w:r>
        <w:rPr>
          <w:rFonts w:hint="eastAsia" w:hAnsiTheme="minorEastAsia" w:eastAsiaTheme="minorEastAsia"/>
          <w:color w:val="000000" w:themeColor="text1"/>
          <w:szCs w:val="21"/>
          <w:highlight w:val="none"/>
          <w:u w:val="single"/>
        </w:rPr>
        <w:t xml:space="preserve">        </w:t>
      </w:r>
      <w:r>
        <w:rPr>
          <w:rFonts w:hAnsiTheme="minorEastAsia" w:eastAsiaTheme="minorEastAsia"/>
          <w:color w:val="000000" w:themeColor="text1"/>
          <w:szCs w:val="21"/>
          <w:highlight w:val="none"/>
        </w:rPr>
        <w:t>；</w:t>
      </w:r>
    </w:p>
    <w:p w14:paraId="00409892">
      <w:pPr>
        <w:pStyle w:val="18"/>
        <w:shd w:val="clear"/>
        <w:spacing w:after="0" w:line="360" w:lineRule="exact"/>
        <w:ind w:firstLine="420"/>
        <w:jc w:val="left"/>
        <w:rPr>
          <w:rFonts w:hint="eastAsia" w:hAnsiTheme="minorEastAsia" w:eastAsiaTheme="minorEastAsia"/>
          <w:b/>
          <w:bCs/>
          <w:color w:val="auto"/>
          <w:szCs w:val="21"/>
          <w:highlight w:val="none"/>
          <w:lang w:eastAsia="zh-CN"/>
        </w:rPr>
      </w:pPr>
      <w:r>
        <w:rPr>
          <w:rFonts w:eastAsiaTheme="minorEastAsia"/>
          <w:b w:val="0"/>
          <w:bCs w:val="0"/>
          <w:color w:val="auto"/>
          <w:szCs w:val="21"/>
          <w:highlight w:val="none"/>
        </w:rPr>
        <w:t>2.3</w:t>
      </w:r>
      <w:r>
        <w:rPr>
          <w:rFonts w:hAnsiTheme="minorEastAsia" w:eastAsiaTheme="minorEastAsia"/>
          <w:b w:val="0"/>
          <w:bCs w:val="0"/>
          <w:color w:val="auto"/>
          <w:szCs w:val="21"/>
          <w:highlight w:val="none"/>
        </w:rPr>
        <w:t>工期要求：</w:t>
      </w:r>
      <w:r>
        <w:rPr>
          <w:rFonts w:hint="eastAsia" w:hAnsiTheme="minorEastAsia" w:eastAsiaTheme="minorEastAsia"/>
          <w:b/>
          <w:bCs/>
          <w:color w:val="auto"/>
          <w:szCs w:val="21"/>
          <w:highlight w:val="none"/>
          <w:u w:val="single"/>
          <w:lang w:val="en-US" w:eastAsia="zh-CN"/>
        </w:rPr>
        <w:t>120</w:t>
      </w:r>
      <w:r>
        <w:rPr>
          <w:rFonts w:hint="eastAsia" w:eastAsiaTheme="minorEastAsia"/>
          <w:b/>
          <w:bCs/>
          <w:color w:val="auto"/>
          <w:szCs w:val="21"/>
          <w:highlight w:val="none"/>
          <w:u w:val="single"/>
        </w:rPr>
        <w:t>日历天</w:t>
      </w:r>
      <w:r>
        <w:rPr>
          <w:rFonts w:hint="eastAsia" w:eastAsiaTheme="minorEastAsia"/>
          <w:b w:val="0"/>
          <w:bCs w:val="0"/>
          <w:color w:val="auto"/>
          <w:szCs w:val="21"/>
          <w:highlight w:val="none"/>
          <w:u w:val="none"/>
          <w:lang w:eastAsia="zh-CN"/>
        </w:rPr>
        <w:t>，实际开始时间以采购人通知为准</w:t>
      </w:r>
      <w:r>
        <w:rPr>
          <w:rFonts w:hint="eastAsia" w:hAnsiTheme="minorEastAsia" w:eastAsiaTheme="minorEastAsia"/>
          <w:b w:val="0"/>
          <w:bCs w:val="0"/>
          <w:color w:val="auto"/>
          <w:szCs w:val="21"/>
          <w:highlight w:val="none"/>
          <w:lang w:eastAsia="zh-CN"/>
        </w:rPr>
        <w:t>；</w:t>
      </w:r>
    </w:p>
    <w:p w14:paraId="264A497C">
      <w:pPr>
        <w:pStyle w:val="18"/>
        <w:shd w:val="clear"/>
        <w:spacing w:after="0" w:line="360" w:lineRule="exact"/>
        <w:ind w:firstLine="420"/>
        <w:jc w:val="left"/>
        <w:rPr>
          <w:rFonts w:hint="eastAsia" w:hAnsiTheme="minorEastAsia" w:eastAsiaTheme="minorEastAsia"/>
          <w:b/>
          <w:bCs/>
          <w:color w:val="auto"/>
          <w:szCs w:val="21"/>
          <w:highlight w:val="none"/>
          <w:lang w:eastAsia="zh-CN"/>
        </w:rPr>
      </w:pPr>
      <w:r>
        <w:rPr>
          <w:rFonts w:eastAsiaTheme="minorEastAsia"/>
          <w:b/>
          <w:bCs/>
          <w:color w:val="auto"/>
          <w:szCs w:val="21"/>
          <w:highlight w:val="none"/>
        </w:rPr>
        <w:t>2.4</w:t>
      </w:r>
      <w:r>
        <w:rPr>
          <w:rFonts w:hint="eastAsia" w:hAnsiTheme="minorEastAsia" w:eastAsiaTheme="minorEastAsia"/>
          <w:b/>
          <w:bCs/>
          <w:color w:val="auto"/>
          <w:szCs w:val="21"/>
          <w:highlight w:val="none"/>
        </w:rPr>
        <w:t>采购</w:t>
      </w:r>
      <w:r>
        <w:rPr>
          <w:rFonts w:hAnsiTheme="minorEastAsia" w:eastAsiaTheme="minorEastAsia"/>
          <w:b/>
          <w:bCs/>
          <w:color w:val="auto"/>
          <w:szCs w:val="21"/>
          <w:highlight w:val="none"/>
        </w:rPr>
        <w:t>控制价：</w:t>
      </w:r>
      <w:r>
        <w:rPr>
          <w:rFonts w:hint="eastAsia" w:hAnsiTheme="minorEastAsia" w:eastAsiaTheme="minorEastAsia"/>
          <w:b/>
          <w:bCs/>
          <w:color w:val="auto"/>
          <w:szCs w:val="21"/>
          <w:highlight w:val="none"/>
          <w:u w:val="single"/>
          <w:lang w:val="en-US" w:eastAsia="zh-CN"/>
        </w:rPr>
        <w:t xml:space="preserve"> 192.49828</w:t>
      </w:r>
      <w:r>
        <w:rPr>
          <w:rFonts w:hint="eastAsia" w:hAnsiTheme="minorEastAsia" w:eastAsiaTheme="minorEastAsia"/>
          <w:b/>
          <w:bCs/>
          <w:color w:val="auto"/>
          <w:szCs w:val="21"/>
          <w:highlight w:val="yellow"/>
          <w:u w:val="single"/>
          <w:lang w:val="en-US" w:eastAsia="zh-CN"/>
        </w:rPr>
        <w:t xml:space="preserve"> 万元</w:t>
      </w:r>
      <w:r>
        <w:rPr>
          <w:rFonts w:hint="eastAsia" w:hAnsiTheme="minorEastAsia" w:eastAsiaTheme="minorEastAsia"/>
          <w:b/>
          <w:bCs/>
          <w:color w:val="auto"/>
          <w:szCs w:val="21"/>
          <w:highlight w:val="none"/>
        </w:rPr>
        <w:t>，</w:t>
      </w:r>
      <w:r>
        <w:rPr>
          <w:rFonts w:hAnsiTheme="minorEastAsia" w:eastAsiaTheme="minorEastAsia"/>
          <w:b/>
          <w:bCs/>
          <w:color w:val="000000" w:themeColor="text1"/>
          <w:szCs w:val="21"/>
        </w:rPr>
        <w:t>报价超过控制价</w:t>
      </w:r>
      <w:r>
        <w:rPr>
          <w:rFonts w:hAnsiTheme="minorEastAsia" w:eastAsiaTheme="minorEastAsia"/>
          <w:b/>
          <w:bCs/>
          <w:color w:val="000000" w:themeColor="text1"/>
          <w:szCs w:val="21"/>
          <w:highlight w:val="none"/>
        </w:rPr>
        <w:t>做无效</w:t>
      </w:r>
      <w:r>
        <w:rPr>
          <w:rFonts w:hint="eastAsia" w:hAnsiTheme="minorEastAsia" w:eastAsiaTheme="minorEastAsia"/>
          <w:b/>
          <w:bCs/>
          <w:color w:val="000000" w:themeColor="text1"/>
          <w:szCs w:val="21"/>
          <w:highlight w:val="none"/>
          <w:lang w:val="en-US" w:eastAsia="zh-CN"/>
        </w:rPr>
        <w:t>响应</w:t>
      </w:r>
      <w:r>
        <w:rPr>
          <w:rFonts w:hAnsiTheme="minorEastAsia" w:eastAsiaTheme="minorEastAsia"/>
          <w:b/>
          <w:bCs/>
          <w:color w:val="000000" w:themeColor="text1"/>
          <w:szCs w:val="21"/>
        </w:rPr>
        <w:t>处理</w:t>
      </w:r>
      <w:r>
        <w:rPr>
          <w:rFonts w:hint="eastAsia" w:hAnsiTheme="minorEastAsia" w:eastAsiaTheme="minorEastAsia"/>
          <w:b/>
          <w:bCs/>
          <w:color w:val="000000" w:themeColor="text1"/>
          <w:szCs w:val="21"/>
          <w:lang w:eastAsia="zh-CN"/>
        </w:rPr>
        <w:t>，控制价明细详见附件清单。供应商在报价时，只需填报项目的下浮率，评委以该下浮率作为报价评审依据。合同签订时，执行该下浮率，即综合单价按照采购人发布的采购控制价中的单价*（1-下浮率）</w:t>
      </w:r>
      <w:r>
        <w:rPr>
          <w:rFonts w:hint="eastAsia" w:hAnsiTheme="minorEastAsia" w:eastAsiaTheme="minorEastAsia"/>
          <w:b/>
          <w:bCs/>
          <w:color w:val="auto"/>
          <w:szCs w:val="21"/>
          <w:highlight w:val="none"/>
          <w:lang w:eastAsia="zh-CN"/>
        </w:rPr>
        <w:t>；</w:t>
      </w:r>
    </w:p>
    <w:p w14:paraId="100A8EC7">
      <w:pPr>
        <w:pStyle w:val="18"/>
        <w:shd w:val="clear"/>
        <w:spacing w:after="0" w:line="360" w:lineRule="exact"/>
        <w:ind w:firstLine="420"/>
        <w:jc w:val="left"/>
        <w:rPr>
          <w:rFonts w:eastAsiaTheme="minorEastAsia"/>
          <w:color w:val="auto"/>
          <w:szCs w:val="21"/>
          <w:highlight w:val="none"/>
        </w:rPr>
      </w:pPr>
      <w:r>
        <w:rPr>
          <w:rFonts w:eastAsiaTheme="minorEastAsia"/>
          <w:color w:val="000000" w:themeColor="text1"/>
          <w:szCs w:val="21"/>
          <w:highlight w:val="none"/>
        </w:rPr>
        <w:t>2.5</w:t>
      </w:r>
      <w:r>
        <w:rPr>
          <w:rFonts w:hAnsiTheme="minorEastAsia" w:eastAsiaTheme="minorEastAsia"/>
          <w:color w:val="000000" w:themeColor="text1"/>
          <w:szCs w:val="21"/>
          <w:highlight w:val="none"/>
        </w:rPr>
        <w:t>质量要求：</w:t>
      </w:r>
      <w:r>
        <w:rPr>
          <w:rFonts w:hint="eastAsia" w:hAnsiTheme="minorEastAsia" w:eastAsiaTheme="minorEastAsia"/>
          <w:color w:val="0000FF"/>
          <w:szCs w:val="21"/>
          <w:highlight w:val="none"/>
          <w:u w:val="single"/>
        </w:rPr>
        <w:t xml:space="preserve"> </w:t>
      </w:r>
      <w:r>
        <w:rPr>
          <w:rFonts w:hint="eastAsia" w:hAnsiTheme="minorEastAsia" w:eastAsiaTheme="minorEastAsia"/>
          <w:color w:val="auto"/>
          <w:szCs w:val="21"/>
          <w:highlight w:val="none"/>
          <w:u w:val="single"/>
        </w:rPr>
        <w:t xml:space="preserve">验收合格，符合现行国家有关工程质量验收规范和标准的要求 </w:t>
      </w:r>
      <w:r>
        <w:rPr>
          <w:rFonts w:hint="eastAsia" w:hAnsiTheme="minorEastAsia" w:eastAsiaTheme="minorEastAsia"/>
          <w:color w:val="auto"/>
          <w:szCs w:val="21"/>
          <w:highlight w:val="none"/>
        </w:rPr>
        <w:t>；</w:t>
      </w:r>
    </w:p>
    <w:p w14:paraId="5F3BCE93">
      <w:pPr>
        <w:shd w:val="clear"/>
        <w:adjustRightInd w:val="0"/>
        <w:snapToGrid w:val="0"/>
        <w:spacing w:line="360" w:lineRule="exact"/>
        <w:ind w:firstLine="420"/>
        <w:jc w:val="left"/>
        <w:rPr>
          <w:rFonts w:hint="default" w:hAnsiTheme="minorEastAsia" w:eastAsiaTheme="minorEastAsia"/>
          <w:color w:val="000000" w:themeColor="text1"/>
          <w:szCs w:val="21"/>
          <w:highlight w:val="yellow"/>
          <w:lang w:val="en-US" w:eastAsia="zh-CN"/>
        </w:rPr>
      </w:pPr>
      <w:r>
        <w:rPr>
          <w:rFonts w:eastAsiaTheme="minorEastAsia"/>
          <w:color w:val="auto"/>
          <w:szCs w:val="21"/>
          <w:highlight w:val="none"/>
        </w:rPr>
        <w:t>2.</w:t>
      </w:r>
      <w:r>
        <w:rPr>
          <w:rFonts w:hint="eastAsia" w:eastAsiaTheme="minorEastAsia"/>
          <w:color w:val="auto"/>
          <w:szCs w:val="21"/>
          <w:highlight w:val="none"/>
        </w:rPr>
        <w:t>6</w:t>
      </w:r>
      <w:r>
        <w:rPr>
          <w:rFonts w:hAnsiTheme="minorEastAsia" w:eastAsiaTheme="minorEastAsia"/>
          <w:color w:val="auto"/>
          <w:szCs w:val="21"/>
          <w:highlight w:val="none"/>
        </w:rPr>
        <w:t>采购范围：</w:t>
      </w:r>
      <w:r>
        <w:rPr>
          <w:rFonts w:hint="eastAsia" w:hAnsiTheme="minorEastAsia" w:eastAsiaTheme="minorEastAsia"/>
          <w:color w:val="auto"/>
          <w:szCs w:val="21"/>
          <w:highlight w:val="none"/>
          <w:u w:val="single"/>
        </w:rPr>
        <w:t xml:space="preserve"> </w:t>
      </w:r>
      <w:r>
        <w:rPr>
          <w:rFonts w:hint="eastAsia" w:hAnsiTheme="minorEastAsia" w:eastAsiaTheme="minorEastAsia"/>
          <w:color w:val="000000" w:themeColor="text1"/>
          <w:szCs w:val="21"/>
          <w:highlight w:val="none"/>
          <w:u w:val="single"/>
          <w:lang w:eastAsia="zh-CN"/>
        </w:rPr>
        <w:t>物流集散道路工程EPC项目-道路工程劳务，</w:t>
      </w:r>
      <w:r>
        <w:rPr>
          <w:rFonts w:hint="eastAsia" w:hAnsiTheme="minorEastAsia" w:eastAsiaTheme="minorEastAsia"/>
          <w:color w:val="000000" w:themeColor="text1"/>
          <w:szCs w:val="21"/>
          <w:highlight w:val="none"/>
          <w:u w:val="single"/>
          <w:lang w:val="en-US" w:eastAsia="zh-CN"/>
        </w:rPr>
        <w:t>包括道路工程劳务、排水工程劳务、消防工程劳务等，</w:t>
      </w:r>
      <w:r>
        <w:rPr>
          <w:rFonts w:hint="eastAsia" w:hAnsiTheme="minorEastAsia" w:eastAsiaTheme="minorEastAsia"/>
          <w:color w:val="000000" w:themeColor="text1"/>
          <w:szCs w:val="21"/>
          <w:highlight w:val="none"/>
          <w:u w:val="single"/>
          <w:lang w:eastAsia="zh-CN"/>
        </w:rPr>
        <w:t>具体详见工程量清单。</w:t>
      </w:r>
      <w:r>
        <w:rPr>
          <w:rFonts w:hint="eastAsia" w:hAnsiTheme="minorEastAsia" w:eastAsiaTheme="minorEastAsia"/>
          <w:color w:val="000000" w:themeColor="text1"/>
          <w:szCs w:val="21"/>
          <w:highlight w:val="none"/>
        </w:rPr>
        <w:t xml:space="preserve">     </w:t>
      </w:r>
    </w:p>
    <w:p w14:paraId="2B908FE3">
      <w:pPr>
        <w:shd w:val="clear"/>
        <w:adjustRightInd w:val="0"/>
        <w:snapToGrid w:val="0"/>
        <w:spacing w:line="360" w:lineRule="exact"/>
        <w:ind w:firstLine="422"/>
        <w:jc w:val="left"/>
        <w:outlineLvl w:val="1"/>
        <w:rPr>
          <w:rFonts w:eastAsiaTheme="minorEastAsia"/>
          <w:b/>
          <w:color w:val="000000" w:themeColor="text1"/>
          <w:szCs w:val="21"/>
          <w:highlight w:val="none"/>
        </w:rPr>
      </w:pPr>
      <w:bookmarkStart w:id="15" w:name="_Toc13457"/>
      <w:r>
        <w:rPr>
          <w:rFonts w:eastAsiaTheme="minorEastAsia"/>
          <w:b/>
          <w:color w:val="000000" w:themeColor="text1"/>
          <w:szCs w:val="21"/>
          <w:highlight w:val="none"/>
        </w:rPr>
        <w:t>3.</w:t>
      </w:r>
      <w:r>
        <w:rPr>
          <w:rFonts w:hAnsiTheme="minorEastAsia" w:eastAsiaTheme="minorEastAsia"/>
          <w:b/>
          <w:color w:val="000000" w:themeColor="text1"/>
          <w:szCs w:val="21"/>
          <w:highlight w:val="none"/>
        </w:rPr>
        <w:t>资格条件</w:t>
      </w:r>
      <w:bookmarkEnd w:id="15"/>
    </w:p>
    <w:p w14:paraId="0830A61C">
      <w:pPr>
        <w:pStyle w:val="18"/>
        <w:shd w:val="clear"/>
        <w:adjustRightInd w:val="0"/>
        <w:snapToGrid w:val="0"/>
        <w:spacing w:after="0" w:line="360" w:lineRule="exact"/>
        <w:ind w:firstLine="420"/>
        <w:jc w:val="left"/>
        <w:rPr>
          <w:rFonts w:eastAsiaTheme="minorEastAsia"/>
          <w:color w:val="000000" w:themeColor="text1"/>
          <w:szCs w:val="21"/>
          <w:highlight w:val="none"/>
        </w:rPr>
      </w:pPr>
      <w:r>
        <w:rPr>
          <w:rFonts w:hAnsiTheme="minorEastAsia" w:eastAsiaTheme="minorEastAsia"/>
          <w:color w:val="000000" w:themeColor="text1"/>
          <w:szCs w:val="21"/>
          <w:highlight w:val="none"/>
        </w:rPr>
        <w:t>本工程采用</w:t>
      </w:r>
      <w:r>
        <w:rPr>
          <w:rFonts w:hAnsiTheme="minorEastAsia" w:eastAsiaTheme="minorEastAsia"/>
          <w:b/>
          <w:bCs/>
          <w:color w:val="000000" w:themeColor="text1"/>
          <w:szCs w:val="21"/>
          <w:highlight w:val="none"/>
        </w:rPr>
        <w:t>资格后审</w:t>
      </w:r>
      <w:r>
        <w:rPr>
          <w:rFonts w:hAnsiTheme="minorEastAsia" w:eastAsiaTheme="minorEastAsia"/>
          <w:color w:val="000000" w:themeColor="text1"/>
          <w:szCs w:val="21"/>
          <w:highlight w:val="none"/>
        </w:rPr>
        <w:t>方式，以下条件属于资格审查合格条件：</w:t>
      </w:r>
    </w:p>
    <w:p w14:paraId="177ED6B8">
      <w:pPr>
        <w:pStyle w:val="18"/>
        <w:shd w:val="clear"/>
        <w:adjustRightInd w:val="0"/>
        <w:snapToGrid w:val="0"/>
        <w:spacing w:after="0" w:line="360" w:lineRule="exact"/>
        <w:ind w:firstLine="420"/>
        <w:jc w:val="left"/>
        <w:rPr>
          <w:rFonts w:hAnsiTheme="minorEastAsia" w:eastAsiaTheme="minorEastAsia"/>
          <w:color w:val="000000" w:themeColor="text1"/>
          <w:szCs w:val="21"/>
        </w:rPr>
      </w:pPr>
      <w:r>
        <w:rPr>
          <w:rFonts w:eastAsiaTheme="minorEastAsia"/>
          <w:color w:val="000000" w:themeColor="text1"/>
          <w:szCs w:val="21"/>
        </w:rPr>
        <w:t>3.1</w:t>
      </w:r>
      <w:r>
        <w:rPr>
          <w:rFonts w:hAnsiTheme="minorEastAsia" w:eastAsiaTheme="minorEastAsia"/>
          <w:color w:val="000000" w:themeColor="text1"/>
          <w:szCs w:val="21"/>
        </w:rPr>
        <w:t>供应商</w:t>
      </w:r>
      <w:r>
        <w:rPr>
          <w:rFonts w:hint="eastAsia" w:hAnsiTheme="minorEastAsia" w:eastAsiaTheme="minorEastAsia"/>
          <w:color w:val="000000" w:themeColor="text1"/>
          <w:szCs w:val="21"/>
        </w:rPr>
        <w:t>是具有独立订立合同的能力且能独立承担民事责任的法人或者其他组织</w:t>
      </w:r>
      <w:r>
        <w:rPr>
          <w:rFonts w:hAnsiTheme="minorEastAsia" w:eastAsiaTheme="minorEastAsia"/>
          <w:color w:val="000000" w:themeColor="text1"/>
          <w:szCs w:val="21"/>
        </w:rPr>
        <w:t>；</w:t>
      </w:r>
    </w:p>
    <w:p w14:paraId="438B47DE">
      <w:pPr>
        <w:pStyle w:val="18"/>
        <w:adjustRightInd w:val="0"/>
        <w:spacing w:after="0" w:line="360" w:lineRule="exact"/>
        <w:ind w:firstLine="420"/>
        <w:jc w:val="left"/>
        <w:rPr>
          <w:rFonts w:eastAsiaTheme="minorEastAsia"/>
          <w:color w:val="000000" w:themeColor="text1"/>
          <w:szCs w:val="21"/>
          <w:highlight w:val="none"/>
        </w:rPr>
      </w:pPr>
      <w:r>
        <w:rPr>
          <w:rFonts w:hint="eastAsia" w:eastAsiaTheme="minorEastAsia"/>
          <w:color w:val="000000" w:themeColor="text1"/>
          <w:szCs w:val="21"/>
          <w:highlight w:val="none"/>
          <w:lang w:val="en-US" w:eastAsia="zh-CN"/>
        </w:rPr>
        <w:t>3.2</w:t>
      </w:r>
      <w:r>
        <w:rPr>
          <w:rFonts w:hint="eastAsia"/>
          <w:b/>
          <w:bCs/>
          <w:color w:val="000000"/>
          <w:highlight w:val="yellow"/>
          <w:lang w:val="en-US" w:eastAsia="zh-CN"/>
        </w:rPr>
        <w:t>供应商须是城建公司专属供应商库内劳务分包类别下的市政工程专业供应商单位（由采购人在评审时核实）；</w:t>
      </w:r>
    </w:p>
    <w:p w14:paraId="7BE0F95A">
      <w:pPr>
        <w:shd w:val="clear"/>
        <w:spacing w:line="360" w:lineRule="exact"/>
        <w:ind w:firstLine="420"/>
        <w:jc w:val="left"/>
        <w:rPr>
          <w:rFonts w:hint="eastAsia"/>
          <w:kern w:val="0"/>
          <w:szCs w:val="21"/>
          <w:highlight w:val="none"/>
          <w:lang w:val="en-US" w:eastAsia="zh-CN"/>
        </w:rPr>
      </w:pPr>
      <w:r>
        <w:rPr>
          <w:rFonts w:hint="eastAsia"/>
          <w:kern w:val="0"/>
          <w:szCs w:val="21"/>
          <w:highlight w:val="none"/>
          <w:lang w:val="en-US" w:eastAsia="zh-CN"/>
        </w:rPr>
        <w:t>3.3</w:t>
      </w:r>
      <w:r>
        <w:rPr>
          <w:rFonts w:eastAsiaTheme="minorEastAsia"/>
          <w:b/>
          <w:bCs/>
          <w:color w:val="000000" w:themeColor="text1"/>
          <w:szCs w:val="21"/>
          <w:highlight w:val="yellow"/>
        </w:rPr>
        <w:t>供应商</w:t>
      </w:r>
      <w:r>
        <w:rPr>
          <w:rFonts w:hint="eastAsia" w:ascii="Times New Roman" w:hAnsi="Times New Roman" w:eastAsia="宋体" w:cs="Times New Roman"/>
          <w:b/>
          <w:bCs/>
          <w:kern w:val="0"/>
          <w:sz w:val="21"/>
          <w:szCs w:val="21"/>
          <w:highlight w:val="yellow"/>
          <w:lang w:val="en-US" w:eastAsia="zh-CN" w:bidi="ar-SA"/>
        </w:rPr>
        <w:t>资质要求：</w:t>
      </w:r>
      <w:r>
        <w:rPr>
          <w:rFonts w:hint="eastAsia" w:ascii="Times New Roman" w:hAnsi="Times New Roman" w:eastAsia="宋体" w:cs="Times New Roman"/>
          <w:kern w:val="0"/>
          <w:sz w:val="21"/>
          <w:szCs w:val="21"/>
          <w:highlight w:val="yellow"/>
          <w:lang w:val="en-US" w:eastAsia="zh-CN" w:bidi="ar-SA"/>
        </w:rPr>
        <w:t>建设行政主管部门核发的</w:t>
      </w:r>
      <w:r>
        <w:rPr>
          <w:rFonts w:hint="eastAsia" w:ascii="Times New Roman" w:hAnsi="Times New Roman" w:eastAsia="宋体" w:cs="Times New Roman"/>
          <w:b/>
          <w:bCs/>
          <w:kern w:val="0"/>
          <w:sz w:val="21"/>
          <w:szCs w:val="21"/>
          <w:highlight w:val="yellow"/>
          <w:lang w:val="en-US" w:eastAsia="zh-CN" w:bidi="ar-SA"/>
        </w:rPr>
        <w:t>施工劳务资质（不分等级）</w:t>
      </w:r>
      <w:r>
        <w:rPr>
          <w:rFonts w:hint="eastAsia" w:ascii="Times New Roman" w:hAnsi="Times New Roman" w:eastAsia="宋体" w:cs="Times New Roman"/>
          <w:kern w:val="0"/>
          <w:sz w:val="21"/>
          <w:szCs w:val="21"/>
          <w:highlight w:val="yellow"/>
          <w:lang w:val="en-US" w:eastAsia="zh-CN" w:bidi="ar-SA"/>
        </w:rPr>
        <w:t>，同时具备</w:t>
      </w:r>
      <w:r>
        <w:rPr>
          <w:rFonts w:hint="eastAsia" w:ascii="Times New Roman" w:hAnsi="Times New Roman" w:eastAsia="宋体" w:cs="Times New Roman"/>
          <w:b/>
          <w:bCs/>
          <w:kern w:val="0"/>
          <w:sz w:val="21"/>
          <w:szCs w:val="21"/>
          <w:highlight w:val="yellow"/>
          <w:lang w:val="en-US" w:eastAsia="zh-CN" w:bidi="ar-SA"/>
        </w:rPr>
        <w:t>安全生产许可证</w:t>
      </w:r>
      <w:r>
        <w:rPr>
          <w:rFonts w:hint="eastAsia" w:ascii="Times New Roman" w:hAnsi="Times New Roman" w:eastAsia="宋体" w:cs="Times New Roman"/>
          <w:kern w:val="0"/>
          <w:sz w:val="21"/>
          <w:szCs w:val="21"/>
          <w:highlight w:val="yellow"/>
          <w:lang w:val="en-US" w:eastAsia="zh-CN" w:bidi="ar-SA"/>
        </w:rPr>
        <w:t>（在有效期内）</w:t>
      </w:r>
      <w:r>
        <w:rPr>
          <w:rFonts w:hint="eastAsia" w:ascii="Times New Roman" w:hAnsi="Times New Roman" w:eastAsia="宋体" w:cs="Times New Roman"/>
          <w:kern w:val="0"/>
          <w:sz w:val="21"/>
          <w:szCs w:val="21"/>
          <w:highlight w:val="none"/>
          <w:lang w:val="en-US" w:eastAsia="zh-CN" w:bidi="ar-SA"/>
        </w:rPr>
        <w:t>；</w:t>
      </w:r>
    </w:p>
    <w:p w14:paraId="5734D0CD">
      <w:pPr>
        <w:shd w:val="clear"/>
        <w:spacing w:line="360" w:lineRule="exact"/>
        <w:ind w:firstLine="420"/>
        <w:jc w:val="left"/>
        <w:rPr>
          <w:kern w:val="0"/>
          <w:szCs w:val="21"/>
          <w:highlight w:val="none"/>
        </w:rPr>
      </w:pPr>
      <w:r>
        <w:rPr>
          <w:rFonts w:hint="eastAsia"/>
          <w:kern w:val="0"/>
          <w:szCs w:val="21"/>
          <w:highlight w:val="none"/>
          <w:lang w:val="en-US" w:eastAsia="zh-CN"/>
        </w:rPr>
        <w:t>3.4</w:t>
      </w:r>
      <w:r>
        <w:rPr>
          <w:kern w:val="0"/>
          <w:szCs w:val="21"/>
          <w:highlight w:val="none"/>
        </w:rPr>
        <w:t>信誉要求：</w:t>
      </w:r>
    </w:p>
    <w:p w14:paraId="62E5027D">
      <w:pPr>
        <w:pStyle w:val="18"/>
        <w:shd w:val="clear"/>
        <w:spacing w:after="0" w:line="360" w:lineRule="exact"/>
        <w:ind w:firstLine="420"/>
        <w:jc w:val="left"/>
        <w:rPr>
          <w:rFonts w:hint="eastAsia" w:eastAsiaTheme="minorEastAsia"/>
          <w:color w:val="000000" w:themeColor="text1"/>
          <w:szCs w:val="21"/>
        </w:rPr>
      </w:pPr>
      <w:r>
        <w:rPr>
          <w:rFonts w:hint="eastAsia" w:eastAsiaTheme="minorEastAsia"/>
          <w:color w:val="000000" w:themeColor="text1"/>
          <w:szCs w:val="21"/>
        </w:rPr>
        <w:t>3.</w:t>
      </w:r>
      <w:r>
        <w:rPr>
          <w:rFonts w:hint="eastAsia" w:eastAsiaTheme="minorEastAsia"/>
          <w:color w:val="000000" w:themeColor="text1"/>
          <w:szCs w:val="21"/>
          <w:lang w:val="en-US" w:eastAsia="zh-CN"/>
        </w:rPr>
        <w:t>4</w:t>
      </w:r>
      <w:r>
        <w:rPr>
          <w:rFonts w:hint="eastAsia" w:eastAsiaTheme="minorEastAsia"/>
          <w:color w:val="000000" w:themeColor="text1"/>
          <w:szCs w:val="21"/>
        </w:rPr>
        <w:t>.1未被有关部门限制在采购项目所在地承接项目的；</w:t>
      </w:r>
    </w:p>
    <w:p w14:paraId="5E9831A6">
      <w:pPr>
        <w:pStyle w:val="18"/>
        <w:shd w:val="clear"/>
        <w:spacing w:after="0" w:line="360" w:lineRule="exact"/>
        <w:ind w:firstLine="420"/>
        <w:jc w:val="left"/>
        <w:rPr>
          <w:rFonts w:hint="eastAsia" w:eastAsiaTheme="minorEastAsia"/>
          <w:color w:val="000000" w:themeColor="text1"/>
          <w:szCs w:val="21"/>
        </w:rPr>
      </w:pPr>
      <w:r>
        <w:rPr>
          <w:rFonts w:hint="eastAsia" w:eastAsiaTheme="minorEastAsia"/>
          <w:color w:val="000000" w:themeColor="text1"/>
          <w:szCs w:val="21"/>
        </w:rPr>
        <w:t>3.</w:t>
      </w:r>
      <w:r>
        <w:rPr>
          <w:rFonts w:hint="eastAsia" w:eastAsiaTheme="minorEastAsia"/>
          <w:color w:val="000000" w:themeColor="text1"/>
          <w:szCs w:val="21"/>
          <w:lang w:val="en-US" w:eastAsia="zh-CN"/>
        </w:rPr>
        <w:t>4.2</w:t>
      </w:r>
      <w:r>
        <w:rPr>
          <w:rFonts w:hint="eastAsia" w:eastAsiaTheme="minorEastAsia"/>
          <w:color w:val="000000" w:themeColor="text1"/>
          <w:szCs w:val="21"/>
        </w:rPr>
        <w:t>供应商未被列为失信被执行人。在评审阶段，供应商正被列为失信被执行人的，评审委员会不得推荐该供应商为成交候选人；在成交候选人公示至发出成交通知书的期间，公示的成交候选人正被列为失信被执行人的，采购人将取消其成交资格，并重新确定成交供应商。失信被执行人名单以“信用中国</w:t>
      </w:r>
      <w:r>
        <w:rPr>
          <w:rFonts w:hint="eastAsia" w:eastAsiaTheme="minorEastAsia"/>
          <w:color w:val="000000" w:themeColor="text1"/>
          <w:szCs w:val="21"/>
          <w:lang w:eastAsia="zh-CN"/>
        </w:rPr>
        <w:t>”</w:t>
      </w:r>
      <w:r>
        <w:rPr>
          <w:rFonts w:hint="eastAsia" w:eastAsiaTheme="minorEastAsia"/>
          <w:color w:val="000000" w:themeColor="text1"/>
          <w:szCs w:val="21"/>
        </w:rPr>
        <w:t>www.creditchina.gov.cn公布为准，惩戒期限自网站上公布的失信被执行人信息中载明的发布时间开始，直至撤销或更正信息中载明的发布时间的期间。</w:t>
      </w:r>
    </w:p>
    <w:p w14:paraId="2ECCDE74">
      <w:pPr>
        <w:pStyle w:val="18"/>
        <w:shd w:val="clear"/>
        <w:spacing w:after="0" w:line="360" w:lineRule="exact"/>
        <w:ind w:firstLine="420"/>
        <w:jc w:val="left"/>
        <w:rPr>
          <w:rFonts w:hint="eastAsia" w:eastAsiaTheme="minorEastAsia"/>
          <w:b/>
          <w:bCs/>
          <w:color w:val="000000" w:themeColor="text1"/>
          <w:szCs w:val="21"/>
        </w:rPr>
      </w:pPr>
      <w:r>
        <w:rPr>
          <w:rFonts w:hint="eastAsia" w:eastAsiaTheme="minorEastAsia"/>
          <w:b/>
          <w:bCs/>
          <w:color w:val="000000" w:themeColor="text1"/>
          <w:szCs w:val="21"/>
        </w:rPr>
        <w:t>注：以上信誉要求内容由各供应商按照谈判文件附件承诺书要求进行承诺，并承担作出虚假承诺的一切后果。</w:t>
      </w:r>
    </w:p>
    <w:p w14:paraId="031DDCE8">
      <w:pPr>
        <w:pStyle w:val="18"/>
        <w:shd w:val="clear"/>
        <w:spacing w:after="0" w:line="360" w:lineRule="exact"/>
        <w:ind w:firstLine="420"/>
        <w:jc w:val="left"/>
        <w:rPr>
          <w:rFonts w:hint="eastAsia" w:eastAsiaTheme="minorEastAsia"/>
          <w:color w:val="000000" w:themeColor="text1"/>
          <w:szCs w:val="21"/>
        </w:rPr>
      </w:pPr>
      <w:r>
        <w:rPr>
          <w:rFonts w:hint="eastAsia" w:eastAsiaTheme="minorEastAsia"/>
          <w:color w:val="000000" w:themeColor="text1"/>
          <w:szCs w:val="21"/>
        </w:rPr>
        <w:t>3.</w:t>
      </w:r>
      <w:r>
        <w:rPr>
          <w:rFonts w:hint="eastAsia" w:eastAsiaTheme="minorEastAsia"/>
          <w:color w:val="000000" w:themeColor="text1"/>
          <w:szCs w:val="21"/>
          <w:lang w:val="en-US" w:eastAsia="zh-CN"/>
        </w:rPr>
        <w:t>5</w:t>
      </w:r>
      <w:r>
        <w:rPr>
          <w:rFonts w:hint="eastAsia" w:eastAsiaTheme="minorEastAsia"/>
          <w:color w:val="000000" w:themeColor="text1"/>
          <w:szCs w:val="21"/>
        </w:rPr>
        <w:t>供应商不得存在下列情形之一：</w:t>
      </w:r>
    </w:p>
    <w:p w14:paraId="2204C692">
      <w:pPr>
        <w:spacing w:line="360" w:lineRule="exact"/>
        <w:ind w:firstLine="420"/>
        <w:rPr>
          <w:rFonts w:eastAsiaTheme="minorEastAsia"/>
          <w:color w:val="000000" w:themeColor="text1"/>
          <w:szCs w:val="21"/>
          <w:highlight w:val="none"/>
        </w:rPr>
      </w:pPr>
      <w:r>
        <w:rPr>
          <w:rFonts w:eastAsiaTheme="minorEastAsia"/>
          <w:color w:val="000000" w:themeColor="text1"/>
          <w:szCs w:val="21"/>
          <w:highlight w:val="none"/>
        </w:rPr>
        <w:t>（1）为采购人不具有独立法人资格的附属机构（单位）；</w:t>
      </w:r>
    </w:p>
    <w:p w14:paraId="619DAD80">
      <w:pPr>
        <w:spacing w:line="360" w:lineRule="exact"/>
        <w:ind w:firstLine="420"/>
        <w:rPr>
          <w:rFonts w:eastAsiaTheme="minorEastAsia"/>
          <w:color w:val="000000" w:themeColor="text1"/>
          <w:szCs w:val="21"/>
          <w:highlight w:val="none"/>
        </w:rPr>
      </w:pPr>
      <w:r>
        <w:rPr>
          <w:rFonts w:eastAsiaTheme="minorEastAsia"/>
          <w:color w:val="000000" w:themeColor="text1"/>
          <w:szCs w:val="21"/>
          <w:highlight w:val="none"/>
        </w:rPr>
        <w:t>（2）为本项目的监理人、代建人、项目管理人，以及为本项目提供采购代理、设计服务的；</w:t>
      </w:r>
    </w:p>
    <w:p w14:paraId="798E3FB3">
      <w:pPr>
        <w:spacing w:line="360" w:lineRule="exact"/>
        <w:ind w:firstLine="420"/>
        <w:rPr>
          <w:rFonts w:eastAsiaTheme="minorEastAsia"/>
          <w:color w:val="000000" w:themeColor="text1"/>
          <w:szCs w:val="21"/>
          <w:highlight w:val="none"/>
        </w:rPr>
      </w:pPr>
      <w:r>
        <w:rPr>
          <w:rFonts w:eastAsiaTheme="minorEastAsia"/>
          <w:color w:val="000000" w:themeColor="text1"/>
          <w:szCs w:val="21"/>
          <w:highlight w:val="none"/>
        </w:rPr>
        <w:t>（3）与本项目的监理人、代建人、采购代理机构同为一个法定代表人的，或者相互控股、参股的；</w:t>
      </w:r>
    </w:p>
    <w:p w14:paraId="01C0D707">
      <w:pPr>
        <w:spacing w:line="360" w:lineRule="exact"/>
        <w:ind w:firstLine="420"/>
        <w:rPr>
          <w:rFonts w:eastAsiaTheme="minorEastAsia"/>
          <w:color w:val="000000" w:themeColor="text1"/>
          <w:szCs w:val="21"/>
          <w:highlight w:val="none"/>
        </w:rPr>
      </w:pPr>
      <w:r>
        <w:rPr>
          <w:rFonts w:eastAsiaTheme="minorEastAsia"/>
          <w:color w:val="000000" w:themeColor="text1"/>
          <w:szCs w:val="21"/>
          <w:highlight w:val="none"/>
        </w:rPr>
        <w:t>（4）与采购人存在利害关系可能影响采购公正性的；</w:t>
      </w:r>
    </w:p>
    <w:p w14:paraId="6ECEAAA1">
      <w:pPr>
        <w:spacing w:line="360" w:lineRule="exact"/>
        <w:ind w:firstLine="420"/>
        <w:rPr>
          <w:rFonts w:eastAsiaTheme="minorEastAsia"/>
          <w:color w:val="000000" w:themeColor="text1"/>
          <w:szCs w:val="21"/>
          <w:highlight w:val="none"/>
        </w:rPr>
      </w:pPr>
      <w:r>
        <w:rPr>
          <w:rFonts w:eastAsiaTheme="minorEastAsia"/>
          <w:color w:val="000000" w:themeColor="text1"/>
          <w:szCs w:val="21"/>
          <w:highlight w:val="none"/>
        </w:rPr>
        <w:t>（5）单位负责人为同一人或者存在控股、管理关系的不同单位；</w:t>
      </w:r>
    </w:p>
    <w:p w14:paraId="26ACD43E">
      <w:pPr>
        <w:spacing w:line="360" w:lineRule="exact"/>
        <w:ind w:firstLine="420"/>
        <w:rPr>
          <w:rFonts w:hint="eastAsia" w:eastAsiaTheme="minorEastAsia"/>
          <w:color w:val="000000" w:themeColor="text1"/>
          <w:szCs w:val="21"/>
          <w:highlight w:val="none"/>
          <w:lang w:eastAsia="zh-CN"/>
        </w:rPr>
      </w:pPr>
      <w:r>
        <w:rPr>
          <w:rFonts w:eastAsiaTheme="minorEastAsia"/>
          <w:color w:val="000000" w:themeColor="text1"/>
          <w:szCs w:val="21"/>
          <w:highlight w:val="none"/>
        </w:rPr>
        <w:t>（6）</w:t>
      </w:r>
      <w:r>
        <w:rPr>
          <w:rFonts w:hint="eastAsia" w:eastAsiaTheme="minorEastAsia"/>
          <w:color w:val="000000" w:themeColor="text1"/>
          <w:szCs w:val="21"/>
          <w:highlight w:val="none"/>
        </w:rPr>
        <w:t>存在同一人直接关联任职股东或高管（董事长、总经理、董事、监事）的</w:t>
      </w:r>
      <w:r>
        <w:rPr>
          <w:rFonts w:hint="eastAsia" w:eastAsiaTheme="minorEastAsia"/>
          <w:color w:val="000000" w:themeColor="text1"/>
          <w:szCs w:val="21"/>
          <w:highlight w:val="none"/>
          <w:lang w:eastAsia="zh-CN"/>
        </w:rPr>
        <w:t>；</w:t>
      </w:r>
    </w:p>
    <w:p w14:paraId="5F0497D7">
      <w:pPr>
        <w:spacing w:line="360" w:lineRule="exact"/>
        <w:ind w:firstLine="420"/>
        <w:rPr>
          <w:rFonts w:hint="eastAsia" w:eastAsiaTheme="minorEastAsia"/>
          <w:color w:val="000000" w:themeColor="text1"/>
          <w:szCs w:val="21"/>
          <w:highlight w:val="none"/>
        </w:rPr>
      </w:pPr>
      <w:r>
        <w:rPr>
          <w:rFonts w:eastAsiaTheme="minorEastAsia"/>
          <w:color w:val="000000" w:themeColor="text1"/>
          <w:szCs w:val="21"/>
          <w:highlight w:val="none"/>
        </w:rPr>
        <w:t>（</w:t>
      </w:r>
      <w:r>
        <w:rPr>
          <w:rFonts w:hint="eastAsia" w:eastAsiaTheme="minorEastAsia"/>
          <w:color w:val="000000" w:themeColor="text1"/>
          <w:szCs w:val="21"/>
          <w:highlight w:val="none"/>
          <w:lang w:val="en-US" w:eastAsia="zh-CN"/>
        </w:rPr>
        <w:t>7</w:t>
      </w:r>
      <w:r>
        <w:rPr>
          <w:rFonts w:eastAsiaTheme="minorEastAsia"/>
          <w:color w:val="000000" w:themeColor="text1"/>
          <w:szCs w:val="21"/>
          <w:highlight w:val="none"/>
        </w:rPr>
        <w:t>）</w:t>
      </w:r>
      <w:r>
        <w:rPr>
          <w:rFonts w:hint="eastAsia" w:eastAsiaTheme="minorEastAsia"/>
          <w:color w:val="000000" w:themeColor="text1"/>
          <w:szCs w:val="21"/>
          <w:highlight w:val="none"/>
        </w:rPr>
        <w:t>处于被责令停业，财产被接管，破产状态，以及投标（供应商）资格被取消或者被暂停且在暂停期内；</w:t>
      </w:r>
    </w:p>
    <w:p w14:paraId="1C14AB84">
      <w:pPr>
        <w:spacing w:line="360" w:lineRule="exact"/>
        <w:ind w:firstLine="420"/>
        <w:rPr>
          <w:rFonts w:eastAsiaTheme="minorEastAsia"/>
          <w:color w:val="000000" w:themeColor="text1"/>
          <w:szCs w:val="21"/>
          <w:highlight w:val="none"/>
        </w:rPr>
      </w:pPr>
      <w:r>
        <w:rPr>
          <w:rFonts w:hint="eastAsia" w:eastAsiaTheme="minorEastAsia"/>
          <w:color w:val="000000" w:themeColor="text1"/>
          <w:szCs w:val="21"/>
          <w:highlight w:val="none"/>
        </w:rPr>
        <w:t>（</w:t>
      </w:r>
      <w:r>
        <w:rPr>
          <w:rFonts w:hint="eastAsia" w:eastAsiaTheme="minorEastAsia"/>
          <w:color w:val="000000" w:themeColor="text1"/>
          <w:szCs w:val="21"/>
          <w:highlight w:val="none"/>
          <w:lang w:val="en-US" w:eastAsia="zh-CN"/>
        </w:rPr>
        <w:t>8</w:t>
      </w:r>
      <w:r>
        <w:rPr>
          <w:rFonts w:hint="eastAsia" w:eastAsiaTheme="minorEastAsia"/>
          <w:color w:val="000000" w:themeColor="text1"/>
          <w:szCs w:val="21"/>
          <w:highlight w:val="none"/>
        </w:rPr>
        <w:t>）处于财产被冻结，导致不具备履行本次谈判项目能力的</w:t>
      </w:r>
      <w:r>
        <w:rPr>
          <w:rFonts w:hint="eastAsia" w:eastAsiaTheme="minorEastAsia"/>
          <w:color w:val="000000" w:themeColor="text1"/>
          <w:szCs w:val="21"/>
          <w:highlight w:val="none"/>
          <w:lang w:eastAsia="zh-CN"/>
        </w:rPr>
        <w:t>；</w:t>
      </w:r>
    </w:p>
    <w:p w14:paraId="3445EEE5">
      <w:pPr>
        <w:pStyle w:val="18"/>
        <w:spacing w:after="0" w:line="360" w:lineRule="exact"/>
        <w:ind w:firstLine="420"/>
        <w:jc w:val="left"/>
        <w:rPr>
          <w:rFonts w:hint="eastAsia" w:eastAsiaTheme="minorEastAsia"/>
          <w:color w:val="000000" w:themeColor="text1"/>
          <w:szCs w:val="21"/>
          <w:highlight w:val="none"/>
          <w:lang w:eastAsia="zh-CN"/>
        </w:rPr>
      </w:pPr>
      <w:r>
        <w:rPr>
          <w:rFonts w:eastAsiaTheme="minorEastAsia"/>
          <w:color w:val="000000" w:themeColor="text1"/>
          <w:szCs w:val="21"/>
          <w:highlight w:val="none"/>
        </w:rPr>
        <w:t>（</w:t>
      </w:r>
      <w:r>
        <w:rPr>
          <w:rFonts w:hint="eastAsia" w:eastAsiaTheme="minorEastAsia"/>
          <w:color w:val="000000" w:themeColor="text1"/>
          <w:szCs w:val="21"/>
          <w:highlight w:val="none"/>
          <w:lang w:val="en-US" w:eastAsia="zh-CN"/>
        </w:rPr>
        <w:t>9</w:t>
      </w:r>
      <w:r>
        <w:rPr>
          <w:rFonts w:eastAsiaTheme="minorEastAsia"/>
          <w:color w:val="000000" w:themeColor="text1"/>
          <w:szCs w:val="21"/>
          <w:highlight w:val="none"/>
        </w:rPr>
        <w:t>）因拖欠工人工资或者发生质量安全事故被有关部门限制在采购项目所在地承接工程的</w:t>
      </w:r>
      <w:r>
        <w:rPr>
          <w:rFonts w:hint="eastAsia" w:eastAsiaTheme="minorEastAsia"/>
          <w:color w:val="000000" w:themeColor="text1"/>
          <w:szCs w:val="21"/>
          <w:highlight w:val="none"/>
          <w:lang w:eastAsia="zh-CN"/>
        </w:rPr>
        <w:t>；</w:t>
      </w:r>
    </w:p>
    <w:p w14:paraId="2EBA5506">
      <w:pPr>
        <w:pStyle w:val="18"/>
        <w:shd w:val="clear"/>
        <w:spacing w:after="0" w:line="360" w:lineRule="exact"/>
        <w:ind w:firstLine="420"/>
        <w:jc w:val="left"/>
        <w:rPr>
          <w:rFonts w:hint="eastAsia" w:ascii="Times New Roman" w:hAnsi="Times New Roman" w:eastAsiaTheme="minorEastAsia"/>
          <w:b/>
          <w:bCs/>
          <w:color w:val="000000" w:themeColor="text1"/>
          <w:szCs w:val="21"/>
          <w:highlight w:val="none"/>
        </w:rPr>
      </w:pPr>
      <w:r>
        <w:rPr>
          <w:rFonts w:hint="eastAsia" w:eastAsiaTheme="minorEastAsia"/>
          <w:color w:val="000000" w:themeColor="text1"/>
          <w:szCs w:val="21"/>
          <w:highlight w:val="none"/>
        </w:rPr>
        <w:t>（</w:t>
      </w:r>
      <w:r>
        <w:rPr>
          <w:rFonts w:hint="eastAsia" w:eastAsiaTheme="minorEastAsia"/>
          <w:color w:val="000000" w:themeColor="text1"/>
          <w:szCs w:val="21"/>
          <w:highlight w:val="none"/>
          <w:lang w:val="en-US" w:eastAsia="zh-CN"/>
        </w:rPr>
        <w:t>10</w:t>
      </w:r>
      <w:r>
        <w:rPr>
          <w:rFonts w:hint="eastAsia" w:eastAsiaTheme="minorEastAsia"/>
          <w:color w:val="000000" w:themeColor="text1"/>
          <w:szCs w:val="21"/>
          <w:highlight w:val="none"/>
        </w:rPr>
        <w:t>）法定代表人及拟投入项目负责人近5年有行贿行为的。</w:t>
      </w:r>
    </w:p>
    <w:p w14:paraId="6CE77246">
      <w:pPr>
        <w:pStyle w:val="18"/>
        <w:shd w:val="clear"/>
        <w:spacing w:after="0" w:line="360" w:lineRule="exact"/>
        <w:ind w:firstLine="420"/>
        <w:jc w:val="left"/>
        <w:rPr>
          <w:rFonts w:hint="eastAsia"/>
          <w:b w:val="0"/>
          <w:bCs w:val="0"/>
        </w:rPr>
      </w:pPr>
      <w:r>
        <w:rPr>
          <w:rFonts w:hint="eastAsia" w:ascii="Times New Roman" w:hAnsi="Times New Roman" w:eastAsiaTheme="minorEastAsia"/>
          <w:b w:val="0"/>
          <w:bCs w:val="0"/>
          <w:color w:val="000000" w:themeColor="text1"/>
          <w:szCs w:val="21"/>
          <w:highlight w:val="none"/>
        </w:rPr>
        <w:t>（</w:t>
      </w:r>
      <w:r>
        <w:rPr>
          <w:rFonts w:hint="eastAsia" w:eastAsiaTheme="minorEastAsia"/>
          <w:b w:val="0"/>
          <w:bCs w:val="0"/>
          <w:color w:val="000000" w:themeColor="text1"/>
          <w:szCs w:val="21"/>
          <w:highlight w:val="none"/>
          <w:lang w:val="en-US" w:eastAsia="zh-CN"/>
        </w:rPr>
        <w:t>11</w:t>
      </w:r>
      <w:r>
        <w:rPr>
          <w:rFonts w:hint="eastAsia" w:ascii="Times New Roman" w:hAnsi="Times New Roman" w:eastAsiaTheme="minorEastAsia"/>
          <w:b w:val="0"/>
          <w:bCs w:val="0"/>
          <w:color w:val="000000" w:themeColor="text1"/>
          <w:szCs w:val="21"/>
          <w:highlight w:val="none"/>
        </w:rPr>
        <w:t>）供应商存在无正当理由放弃谈判/磋商、成交资格、不应当存在的情形或者其他违法违规行为造成采购人重新采购的。</w:t>
      </w:r>
    </w:p>
    <w:p w14:paraId="1E66E39B">
      <w:pPr>
        <w:pStyle w:val="18"/>
        <w:shd w:val="clear"/>
        <w:spacing w:after="0" w:line="360" w:lineRule="exact"/>
        <w:ind w:firstLine="420"/>
        <w:jc w:val="left"/>
        <w:rPr>
          <w:rFonts w:hint="eastAsia" w:eastAsiaTheme="minorEastAsia"/>
          <w:color w:val="000000" w:themeColor="text1"/>
          <w:szCs w:val="21"/>
          <w:highlight w:val="none"/>
        </w:rPr>
      </w:pPr>
      <w:r>
        <w:rPr>
          <w:rFonts w:hint="eastAsia" w:eastAsiaTheme="minorEastAsia"/>
          <w:color w:val="000000" w:themeColor="text1"/>
          <w:szCs w:val="21"/>
        </w:rPr>
        <w:t>3.</w:t>
      </w:r>
      <w:r>
        <w:rPr>
          <w:rFonts w:hint="eastAsia" w:eastAsiaTheme="minorEastAsia"/>
          <w:color w:val="000000" w:themeColor="text1"/>
          <w:szCs w:val="21"/>
          <w:lang w:val="en-US" w:eastAsia="zh-CN"/>
        </w:rPr>
        <w:t>6</w:t>
      </w:r>
      <w:r>
        <w:rPr>
          <w:rFonts w:hint="eastAsia" w:eastAsiaTheme="minorEastAsia"/>
          <w:color w:val="000000" w:themeColor="text1"/>
          <w:szCs w:val="21"/>
        </w:rPr>
        <w:t>本项目不接受联合体参与谈判。</w:t>
      </w:r>
    </w:p>
    <w:p w14:paraId="4D64BE7C">
      <w:pPr>
        <w:shd w:val="clear"/>
        <w:spacing w:line="360" w:lineRule="exact"/>
        <w:ind w:firstLine="422"/>
        <w:jc w:val="left"/>
        <w:outlineLvl w:val="1"/>
        <w:rPr>
          <w:rFonts w:eastAsiaTheme="minorEastAsia"/>
          <w:b/>
          <w:color w:val="000000" w:themeColor="text1"/>
          <w:szCs w:val="21"/>
          <w:highlight w:val="none"/>
        </w:rPr>
      </w:pPr>
      <w:bookmarkStart w:id="16" w:name="_Toc22621"/>
      <w:r>
        <w:rPr>
          <w:rFonts w:eastAsiaTheme="minorEastAsia"/>
          <w:b/>
          <w:color w:val="000000" w:themeColor="text1"/>
          <w:szCs w:val="21"/>
          <w:highlight w:val="none"/>
        </w:rPr>
        <w:t>4.</w:t>
      </w:r>
      <w:r>
        <w:rPr>
          <w:rFonts w:hAnsiTheme="minorEastAsia" w:eastAsiaTheme="minorEastAsia"/>
          <w:b/>
          <w:color w:val="000000" w:themeColor="text1"/>
          <w:szCs w:val="21"/>
          <w:highlight w:val="none"/>
        </w:rPr>
        <w:t>谈判文件的获取</w:t>
      </w:r>
      <w:bookmarkEnd w:id="16"/>
    </w:p>
    <w:p w14:paraId="4F8415A2">
      <w:pPr>
        <w:shd w:val="clear"/>
        <w:spacing w:line="360" w:lineRule="exact"/>
        <w:ind w:firstLine="420"/>
        <w:jc w:val="left"/>
        <w:rPr>
          <w:rFonts w:eastAsiaTheme="minorEastAsia"/>
          <w:bCs/>
          <w:color w:val="000000" w:themeColor="text1"/>
          <w:szCs w:val="21"/>
          <w:highlight w:val="none"/>
        </w:rPr>
      </w:pPr>
      <w:r>
        <w:rPr>
          <w:rFonts w:eastAsiaTheme="minorEastAsia"/>
          <w:bCs/>
          <w:color w:val="000000" w:themeColor="text1"/>
          <w:szCs w:val="21"/>
          <w:highlight w:val="none"/>
        </w:rPr>
        <w:t>4.1</w:t>
      </w:r>
      <w:r>
        <w:rPr>
          <w:rFonts w:hAnsiTheme="minorEastAsia" w:eastAsiaTheme="minorEastAsia"/>
          <w:bCs/>
          <w:color w:val="000000" w:themeColor="text1"/>
          <w:szCs w:val="21"/>
          <w:highlight w:val="none"/>
        </w:rPr>
        <w:t>谈判文件的获取时间为：</w:t>
      </w:r>
      <w:r>
        <w:rPr>
          <w:rFonts w:hint="eastAsia" w:eastAsiaTheme="minorEastAsia"/>
          <w:b/>
          <w:bCs w:val="0"/>
          <w:color w:val="FF0000"/>
          <w:szCs w:val="21"/>
          <w:highlight w:val="none"/>
          <w:u w:val="single"/>
        </w:rPr>
        <w:t xml:space="preserve"> </w:t>
      </w:r>
      <w:r>
        <w:rPr>
          <w:rFonts w:hint="eastAsia" w:eastAsiaTheme="minorEastAsia"/>
          <w:b/>
          <w:bCs w:val="0"/>
          <w:color w:val="FF0000"/>
          <w:szCs w:val="21"/>
          <w:highlight w:val="none"/>
          <w:u w:val="single"/>
          <w:lang w:val="en-US" w:eastAsia="zh-CN"/>
        </w:rPr>
        <w:t>2026</w:t>
      </w:r>
      <w:r>
        <w:rPr>
          <w:rFonts w:eastAsiaTheme="minorEastAsia"/>
          <w:b/>
          <w:bCs w:val="0"/>
          <w:color w:val="FF0000"/>
          <w:szCs w:val="21"/>
          <w:highlight w:val="none"/>
          <w:u w:val="single"/>
        </w:rPr>
        <w:t xml:space="preserve"> </w:t>
      </w:r>
      <w:r>
        <w:rPr>
          <w:rFonts w:hAnsiTheme="minorEastAsia" w:eastAsiaTheme="minorEastAsia"/>
          <w:b/>
          <w:bCs w:val="0"/>
          <w:color w:val="FF0000"/>
          <w:szCs w:val="21"/>
          <w:highlight w:val="none"/>
        </w:rPr>
        <w:t>年</w:t>
      </w:r>
      <w:r>
        <w:rPr>
          <w:rFonts w:hint="eastAsia" w:hAnsiTheme="minorEastAsia" w:eastAsiaTheme="minorEastAsia"/>
          <w:b/>
          <w:bCs w:val="0"/>
          <w:color w:val="FF0000"/>
          <w:szCs w:val="21"/>
          <w:highlight w:val="none"/>
          <w:u w:val="single"/>
        </w:rPr>
        <w:t xml:space="preserve"> </w:t>
      </w:r>
      <w:r>
        <w:rPr>
          <w:rFonts w:hint="eastAsia" w:hAnsiTheme="minorEastAsia" w:eastAsiaTheme="minorEastAsia"/>
          <w:b/>
          <w:bCs w:val="0"/>
          <w:color w:val="FF0000"/>
          <w:szCs w:val="21"/>
          <w:highlight w:val="none"/>
          <w:u w:val="single"/>
          <w:lang w:val="en-US" w:eastAsia="zh-CN"/>
        </w:rPr>
        <w:t xml:space="preserve">10 </w:t>
      </w:r>
      <w:r>
        <w:rPr>
          <w:rFonts w:hAnsiTheme="minorEastAsia" w:eastAsiaTheme="minorEastAsia"/>
          <w:b/>
          <w:bCs w:val="0"/>
          <w:color w:val="FF0000"/>
          <w:szCs w:val="21"/>
          <w:highlight w:val="none"/>
        </w:rPr>
        <w:t>月</w:t>
      </w:r>
      <w:r>
        <w:rPr>
          <w:rFonts w:hint="eastAsia" w:hAnsiTheme="minorEastAsia" w:eastAsiaTheme="minorEastAsia"/>
          <w:b/>
          <w:bCs w:val="0"/>
          <w:color w:val="FF0000"/>
          <w:szCs w:val="21"/>
          <w:highlight w:val="none"/>
          <w:u w:val="single"/>
          <w:lang w:val="en-US" w:eastAsia="zh-CN"/>
        </w:rPr>
        <w:t xml:space="preserve"> 27  </w:t>
      </w:r>
      <w:r>
        <w:rPr>
          <w:rFonts w:hAnsiTheme="minorEastAsia" w:eastAsiaTheme="minorEastAsia"/>
          <w:b/>
          <w:bCs w:val="0"/>
          <w:color w:val="FF0000"/>
          <w:szCs w:val="21"/>
          <w:highlight w:val="none"/>
        </w:rPr>
        <w:t>日至</w:t>
      </w:r>
      <w:r>
        <w:rPr>
          <w:rFonts w:eastAsiaTheme="minorEastAsia"/>
          <w:b/>
          <w:bCs w:val="0"/>
          <w:color w:val="FF0000"/>
          <w:szCs w:val="21"/>
          <w:highlight w:val="none"/>
          <w:u w:val="single"/>
        </w:rPr>
        <w:t xml:space="preserve"> </w:t>
      </w:r>
      <w:r>
        <w:rPr>
          <w:rFonts w:hint="eastAsia" w:eastAsiaTheme="minorEastAsia"/>
          <w:b/>
          <w:bCs w:val="0"/>
          <w:color w:val="FF0000"/>
          <w:szCs w:val="21"/>
          <w:highlight w:val="none"/>
          <w:u w:val="single"/>
          <w:lang w:val="en-US" w:eastAsia="zh-CN"/>
        </w:rPr>
        <w:t>2026</w:t>
      </w:r>
      <w:r>
        <w:rPr>
          <w:rFonts w:eastAsiaTheme="minorEastAsia"/>
          <w:b/>
          <w:bCs w:val="0"/>
          <w:color w:val="FF0000"/>
          <w:szCs w:val="21"/>
          <w:highlight w:val="none"/>
          <w:u w:val="single"/>
        </w:rPr>
        <w:t xml:space="preserve"> </w:t>
      </w:r>
      <w:r>
        <w:rPr>
          <w:rFonts w:hAnsiTheme="minorEastAsia" w:eastAsiaTheme="minorEastAsia"/>
          <w:b/>
          <w:bCs w:val="0"/>
          <w:color w:val="FF0000"/>
          <w:szCs w:val="21"/>
          <w:highlight w:val="none"/>
        </w:rPr>
        <w:t>年</w:t>
      </w:r>
      <w:r>
        <w:rPr>
          <w:rFonts w:hint="eastAsia" w:eastAsiaTheme="minorEastAsia"/>
          <w:b/>
          <w:bCs w:val="0"/>
          <w:color w:val="FF0000"/>
          <w:szCs w:val="21"/>
          <w:highlight w:val="none"/>
          <w:u w:val="single"/>
          <w:lang w:val="en-US" w:eastAsia="zh-CN"/>
        </w:rPr>
        <w:t xml:space="preserve"> 10 </w:t>
      </w:r>
      <w:r>
        <w:rPr>
          <w:rFonts w:hAnsiTheme="minorEastAsia" w:eastAsiaTheme="minorEastAsia"/>
          <w:b/>
          <w:bCs w:val="0"/>
          <w:color w:val="FF0000"/>
          <w:szCs w:val="21"/>
          <w:highlight w:val="none"/>
        </w:rPr>
        <w:t>月</w:t>
      </w:r>
      <w:r>
        <w:rPr>
          <w:rFonts w:hint="eastAsia" w:hAnsiTheme="minorEastAsia" w:eastAsiaTheme="minorEastAsia"/>
          <w:b/>
          <w:bCs w:val="0"/>
          <w:color w:val="FF0000"/>
          <w:szCs w:val="21"/>
          <w:highlight w:val="none"/>
          <w:u w:val="single"/>
          <w:lang w:val="en-US" w:eastAsia="zh-CN"/>
        </w:rPr>
        <w:t xml:space="preserve"> 30  </w:t>
      </w:r>
      <w:r>
        <w:rPr>
          <w:rFonts w:hAnsiTheme="minorEastAsia" w:eastAsiaTheme="minorEastAsia"/>
          <w:b/>
          <w:bCs w:val="0"/>
          <w:color w:val="FF0000"/>
          <w:szCs w:val="21"/>
          <w:highlight w:val="none"/>
        </w:rPr>
        <w:t>日</w:t>
      </w:r>
      <w:r>
        <w:rPr>
          <w:rFonts w:hAnsiTheme="minorEastAsia" w:eastAsiaTheme="minorEastAsia"/>
          <w:bCs/>
          <w:color w:val="000000" w:themeColor="text1"/>
          <w:szCs w:val="21"/>
          <w:highlight w:val="none"/>
        </w:rPr>
        <w:t>；</w:t>
      </w:r>
    </w:p>
    <w:p w14:paraId="57E01D98">
      <w:pPr>
        <w:shd w:val="clear"/>
        <w:spacing w:line="360" w:lineRule="exact"/>
        <w:ind w:firstLine="420"/>
        <w:jc w:val="left"/>
        <w:rPr>
          <w:rFonts w:hAnsiTheme="minorEastAsia" w:eastAsiaTheme="minorEastAsia"/>
          <w:bCs/>
          <w:color w:val="000000" w:themeColor="text1"/>
          <w:szCs w:val="21"/>
          <w:highlight w:val="none"/>
        </w:rPr>
      </w:pPr>
      <w:bookmarkStart w:id="17" w:name="_Toc3482"/>
      <w:r>
        <w:rPr>
          <w:rFonts w:eastAsiaTheme="minorEastAsia"/>
          <w:bCs/>
          <w:color w:val="000000" w:themeColor="text1"/>
          <w:szCs w:val="21"/>
          <w:highlight w:val="none"/>
        </w:rPr>
        <w:t xml:space="preserve">4.2 </w:t>
      </w:r>
      <w:r>
        <w:rPr>
          <w:rFonts w:hAnsiTheme="minorEastAsia" w:eastAsiaTheme="minorEastAsia"/>
          <w:bCs/>
          <w:color w:val="000000" w:themeColor="text1"/>
          <w:szCs w:val="21"/>
          <w:highlight w:val="none"/>
        </w:rPr>
        <w:t>谈判文件获取方式：</w:t>
      </w:r>
      <w:r>
        <w:rPr>
          <w:rFonts w:hint="eastAsia" w:hAnsiTheme="minorEastAsia" w:eastAsiaTheme="minorEastAsia"/>
          <w:bCs/>
          <w:color w:val="000000" w:themeColor="text1"/>
          <w:szCs w:val="21"/>
          <w:highlight w:val="none"/>
        </w:rPr>
        <w:t>供应商登录“</w:t>
      </w:r>
      <w:r>
        <w:rPr>
          <w:rFonts w:hint="eastAsia" w:hAnsiTheme="minorEastAsia" w:eastAsiaTheme="minorEastAsia"/>
          <w:bCs/>
          <w:color w:val="000000" w:themeColor="text1"/>
          <w:szCs w:val="21"/>
          <w:highlight w:val="none"/>
          <w:lang w:eastAsia="zh-CN"/>
        </w:rPr>
        <w:t>方洋集团电子采购平台</w:t>
      </w:r>
      <w:r>
        <w:rPr>
          <w:rFonts w:hint="eastAsia" w:hAnsiTheme="minorEastAsia" w:eastAsiaTheme="minorEastAsia"/>
          <w:bCs/>
          <w:color w:val="000000" w:themeColor="text1"/>
          <w:szCs w:val="21"/>
          <w:highlight w:val="none"/>
        </w:rPr>
        <w:t>”（网址“https://cg.fygroup.com/ ”）获取，通过本次采购项目采购公告线上获取谈判文件后即视为报名成功，否则响应文件不予接收；</w:t>
      </w:r>
    </w:p>
    <w:p w14:paraId="2EA2BEA7">
      <w:pPr>
        <w:spacing w:line="360" w:lineRule="exact"/>
        <w:ind w:firstLine="420"/>
        <w:jc w:val="left"/>
        <w:rPr>
          <w:rFonts w:eastAsiaTheme="minorEastAsia"/>
          <w:bCs/>
          <w:color w:val="000000" w:themeColor="text1"/>
          <w:szCs w:val="21"/>
        </w:rPr>
      </w:pPr>
      <w:r>
        <w:rPr>
          <w:rFonts w:asciiTheme="minorEastAsia" w:hAnsiTheme="minorEastAsia" w:eastAsiaTheme="minorEastAsia"/>
          <w:bCs/>
          <w:color w:val="000000" w:themeColor="text1"/>
          <w:szCs w:val="21"/>
        </w:rPr>
        <w:t>★</w:t>
      </w:r>
      <w:r>
        <w:rPr>
          <w:rFonts w:eastAsiaTheme="minorEastAsia"/>
          <w:bCs/>
          <w:color w:val="000000" w:themeColor="text1"/>
          <w:szCs w:val="21"/>
        </w:rPr>
        <w:t>4.</w:t>
      </w:r>
      <w:r>
        <w:rPr>
          <w:rFonts w:hint="eastAsia" w:eastAsiaTheme="minorEastAsia"/>
          <w:bCs/>
          <w:color w:val="000000" w:themeColor="text1"/>
          <w:szCs w:val="21"/>
          <w:lang w:val="en-US" w:eastAsia="zh-CN"/>
        </w:rPr>
        <w:t>3</w:t>
      </w:r>
      <w:r>
        <w:rPr>
          <w:rFonts w:hAnsiTheme="minorEastAsia" w:eastAsiaTheme="minorEastAsia"/>
          <w:bCs/>
          <w:color w:val="000000" w:themeColor="text1"/>
          <w:szCs w:val="21"/>
        </w:rPr>
        <w:t>供应商应在谈判响应文件递交截止时间前随时查看</w:t>
      </w:r>
      <w:r>
        <w:rPr>
          <w:rFonts w:eastAsiaTheme="minorEastAsia"/>
          <w:bCs/>
          <w:color w:val="000000" w:themeColor="text1"/>
          <w:szCs w:val="21"/>
        </w:rPr>
        <w:t>“</w:t>
      </w:r>
      <w:r>
        <w:rPr>
          <w:rFonts w:hint="eastAsia" w:hAnsiTheme="minorEastAsia" w:eastAsiaTheme="minorEastAsia"/>
          <w:bCs/>
          <w:color w:val="000000" w:themeColor="text1"/>
          <w:szCs w:val="21"/>
          <w:lang w:eastAsia="zh-CN"/>
        </w:rPr>
        <w:t>方洋集团电子采购平台</w:t>
      </w:r>
      <w:r>
        <w:rPr>
          <w:rFonts w:eastAsiaTheme="minorEastAsia"/>
          <w:bCs/>
          <w:color w:val="000000" w:themeColor="text1"/>
          <w:szCs w:val="21"/>
        </w:rPr>
        <w:t>”</w:t>
      </w:r>
      <w:r>
        <w:rPr>
          <w:rFonts w:hAnsiTheme="minorEastAsia" w:eastAsiaTheme="minorEastAsia"/>
          <w:bCs/>
          <w:color w:val="000000" w:themeColor="text1"/>
          <w:szCs w:val="21"/>
        </w:rPr>
        <w:t>中有关该项目谈判文件的答疑和相关内容。否则，因此引起的后果由供应商自行承担。</w:t>
      </w:r>
    </w:p>
    <w:p w14:paraId="4F6189D8">
      <w:pPr>
        <w:spacing w:line="360" w:lineRule="exact"/>
        <w:ind w:firstLine="420"/>
        <w:jc w:val="left"/>
        <w:rPr>
          <w:rFonts w:eastAsiaTheme="minorEastAsia"/>
          <w:bCs/>
          <w:color w:val="000000" w:themeColor="text1"/>
          <w:szCs w:val="21"/>
          <w:highlight w:val="none"/>
          <w:u w:val="single"/>
        </w:rPr>
      </w:pPr>
      <w:r>
        <w:rPr>
          <w:rFonts w:hAnsiTheme="minorEastAsia" w:eastAsiaTheme="minorEastAsia"/>
          <w:bCs/>
          <w:color w:val="000000" w:themeColor="text1"/>
          <w:szCs w:val="21"/>
        </w:rPr>
        <w:t>注：初次在</w:t>
      </w:r>
      <w:r>
        <w:rPr>
          <w:rFonts w:hint="eastAsia" w:hAnsiTheme="minorEastAsia" w:eastAsiaTheme="minorEastAsia"/>
          <w:bCs/>
          <w:color w:val="000000" w:themeColor="text1"/>
          <w:szCs w:val="21"/>
        </w:rPr>
        <w:t>“</w:t>
      </w:r>
      <w:r>
        <w:rPr>
          <w:rFonts w:hint="eastAsia" w:hAnsiTheme="minorEastAsia" w:eastAsiaTheme="minorEastAsia"/>
          <w:bCs/>
          <w:color w:val="000000" w:themeColor="text1"/>
          <w:szCs w:val="21"/>
          <w:lang w:eastAsia="zh-CN"/>
        </w:rPr>
        <w:t>方洋集团电子采购平台</w:t>
      </w:r>
      <w:r>
        <w:rPr>
          <w:rFonts w:hint="eastAsia" w:hAnsiTheme="minorEastAsia" w:eastAsiaTheme="minorEastAsia"/>
          <w:bCs/>
          <w:color w:val="000000" w:themeColor="text1"/>
          <w:szCs w:val="21"/>
        </w:rPr>
        <w:t>”</w:t>
      </w:r>
      <w:r>
        <w:rPr>
          <w:rFonts w:hAnsiTheme="minorEastAsia" w:eastAsiaTheme="minorEastAsia"/>
          <w:bCs/>
          <w:color w:val="000000" w:themeColor="text1"/>
          <w:szCs w:val="21"/>
        </w:rPr>
        <w:t>注册的供应商请综合考虑注册和审核时间（</w:t>
      </w:r>
      <w:r>
        <w:rPr>
          <w:rFonts w:hAnsiTheme="minorEastAsia" w:eastAsiaTheme="minorEastAsia"/>
          <w:bCs/>
          <w:color w:val="000000" w:themeColor="text1"/>
          <w:szCs w:val="21"/>
          <w:highlight w:val="none"/>
        </w:rPr>
        <w:t>审核时间为</w:t>
      </w:r>
      <w:r>
        <w:rPr>
          <w:rFonts w:hint="eastAsia" w:eastAsiaTheme="minorEastAsia"/>
          <w:bCs/>
          <w:color w:val="000000" w:themeColor="text1"/>
          <w:szCs w:val="21"/>
          <w:highlight w:val="none"/>
          <w:lang w:val="en-US" w:eastAsia="zh-CN"/>
        </w:rPr>
        <w:t>2</w:t>
      </w:r>
      <w:r>
        <w:rPr>
          <w:rFonts w:hAnsiTheme="minorEastAsia" w:eastAsiaTheme="minorEastAsia"/>
          <w:bCs/>
          <w:color w:val="000000" w:themeColor="text1"/>
          <w:szCs w:val="21"/>
          <w:highlight w:val="none"/>
        </w:rPr>
        <w:t>个工作日内</w:t>
      </w:r>
      <w:r>
        <w:rPr>
          <w:rFonts w:hAnsiTheme="minorEastAsia" w:eastAsiaTheme="minorEastAsia"/>
          <w:bCs/>
          <w:color w:val="000000" w:themeColor="text1"/>
          <w:szCs w:val="21"/>
        </w:rPr>
        <w:t>），由此造成无法报名参与采购活动的，后果自行承担。</w:t>
      </w:r>
    </w:p>
    <w:p w14:paraId="66822793">
      <w:pPr>
        <w:shd w:val="clear"/>
        <w:spacing w:line="360" w:lineRule="exact"/>
        <w:ind w:firstLine="422"/>
        <w:jc w:val="left"/>
        <w:outlineLvl w:val="1"/>
        <w:rPr>
          <w:rFonts w:eastAsiaTheme="minorEastAsia"/>
          <w:b/>
          <w:color w:val="000000" w:themeColor="text1"/>
          <w:szCs w:val="21"/>
          <w:highlight w:val="none"/>
        </w:rPr>
      </w:pPr>
      <w:r>
        <w:rPr>
          <w:rFonts w:eastAsiaTheme="minorEastAsia"/>
          <w:b/>
          <w:color w:val="000000" w:themeColor="text1"/>
          <w:szCs w:val="21"/>
          <w:highlight w:val="none"/>
        </w:rPr>
        <w:t>5.</w:t>
      </w:r>
      <w:r>
        <w:rPr>
          <w:rFonts w:hAnsiTheme="minorEastAsia" w:eastAsiaTheme="minorEastAsia"/>
          <w:b/>
          <w:color w:val="000000" w:themeColor="text1"/>
          <w:szCs w:val="21"/>
          <w:highlight w:val="none"/>
        </w:rPr>
        <w:t>响应文件递交截止时间及谈判方式</w:t>
      </w:r>
      <w:bookmarkEnd w:id="17"/>
    </w:p>
    <w:p w14:paraId="43A2EB2B">
      <w:pPr>
        <w:spacing w:line="360" w:lineRule="exact"/>
        <w:ind w:firstLine="420"/>
        <w:jc w:val="left"/>
        <w:rPr>
          <w:rFonts w:eastAsiaTheme="minorEastAsia"/>
          <w:bCs/>
          <w:color w:val="000000" w:themeColor="text1"/>
          <w:szCs w:val="21"/>
          <w:highlight w:val="none"/>
        </w:rPr>
      </w:pPr>
      <w:r>
        <w:rPr>
          <w:rFonts w:eastAsiaTheme="minorEastAsia"/>
          <w:bCs/>
          <w:color w:val="000000" w:themeColor="text1"/>
          <w:szCs w:val="21"/>
          <w:highlight w:val="none"/>
        </w:rPr>
        <w:t xml:space="preserve">5.1 </w:t>
      </w:r>
      <w:r>
        <w:rPr>
          <w:rFonts w:hAnsiTheme="minorEastAsia" w:eastAsiaTheme="minorEastAsia"/>
          <w:bCs/>
          <w:color w:val="000000" w:themeColor="text1"/>
          <w:szCs w:val="21"/>
          <w:highlight w:val="none"/>
        </w:rPr>
        <w:t>响应文件递交截止时间为：</w:t>
      </w:r>
      <w:r>
        <w:rPr>
          <w:rFonts w:hint="eastAsia" w:eastAsiaTheme="minorEastAsia"/>
          <w:b/>
          <w:bCs w:val="0"/>
          <w:color w:val="FF0000"/>
          <w:szCs w:val="21"/>
          <w:highlight w:val="none"/>
          <w:u w:val="single"/>
        </w:rPr>
        <w:t xml:space="preserve"> </w:t>
      </w:r>
      <w:r>
        <w:rPr>
          <w:rFonts w:hint="eastAsia" w:eastAsiaTheme="minorEastAsia"/>
          <w:b/>
          <w:bCs w:val="0"/>
          <w:color w:val="FF0000"/>
          <w:szCs w:val="21"/>
          <w:highlight w:val="none"/>
          <w:u w:val="single"/>
          <w:lang w:val="en-US" w:eastAsia="zh-CN"/>
        </w:rPr>
        <w:t xml:space="preserve">2026 </w:t>
      </w:r>
      <w:r>
        <w:rPr>
          <w:rFonts w:hAnsiTheme="minorEastAsia" w:eastAsiaTheme="minorEastAsia"/>
          <w:b/>
          <w:bCs w:val="0"/>
          <w:color w:val="FF0000"/>
          <w:szCs w:val="21"/>
          <w:highlight w:val="none"/>
        </w:rPr>
        <w:t>年</w:t>
      </w:r>
      <w:r>
        <w:rPr>
          <w:rFonts w:hint="eastAsia" w:hAnsiTheme="minorEastAsia" w:eastAsiaTheme="minorEastAsia"/>
          <w:b/>
          <w:bCs w:val="0"/>
          <w:color w:val="FF0000"/>
          <w:szCs w:val="21"/>
          <w:highlight w:val="none"/>
          <w:u w:val="single"/>
        </w:rPr>
        <w:t xml:space="preserve"> </w:t>
      </w:r>
      <w:r>
        <w:rPr>
          <w:rFonts w:hint="eastAsia" w:hAnsiTheme="minorEastAsia" w:eastAsiaTheme="minorEastAsia"/>
          <w:b/>
          <w:bCs w:val="0"/>
          <w:color w:val="FF0000"/>
          <w:szCs w:val="21"/>
          <w:highlight w:val="none"/>
          <w:u w:val="single"/>
          <w:lang w:val="en-US" w:eastAsia="zh-CN"/>
        </w:rPr>
        <w:t>10</w:t>
      </w:r>
      <w:r>
        <w:rPr>
          <w:rFonts w:hint="eastAsia" w:eastAsiaTheme="minorEastAsia"/>
          <w:b/>
          <w:bCs w:val="0"/>
          <w:color w:val="FF0000"/>
          <w:szCs w:val="21"/>
          <w:highlight w:val="none"/>
          <w:u w:val="single"/>
        </w:rPr>
        <w:t xml:space="preserve"> </w:t>
      </w:r>
      <w:r>
        <w:rPr>
          <w:rFonts w:hAnsiTheme="minorEastAsia" w:eastAsiaTheme="minorEastAsia"/>
          <w:b/>
          <w:bCs w:val="0"/>
          <w:color w:val="FF0000"/>
          <w:szCs w:val="21"/>
          <w:highlight w:val="none"/>
        </w:rPr>
        <w:t>月</w:t>
      </w:r>
      <w:r>
        <w:rPr>
          <w:rFonts w:hint="eastAsia" w:hAnsiTheme="minorEastAsia" w:eastAsiaTheme="minorEastAsia"/>
          <w:b/>
          <w:bCs w:val="0"/>
          <w:color w:val="FF0000"/>
          <w:szCs w:val="21"/>
          <w:highlight w:val="none"/>
          <w:u w:val="single"/>
          <w:lang w:val="en-US" w:eastAsia="zh-CN"/>
        </w:rPr>
        <w:t xml:space="preserve">  30  </w:t>
      </w:r>
      <w:r>
        <w:rPr>
          <w:rFonts w:hAnsiTheme="minorEastAsia" w:eastAsiaTheme="minorEastAsia"/>
          <w:b/>
          <w:bCs w:val="0"/>
          <w:color w:val="FF0000"/>
          <w:szCs w:val="21"/>
          <w:highlight w:val="none"/>
        </w:rPr>
        <w:t>日</w:t>
      </w:r>
      <w:r>
        <w:rPr>
          <w:rFonts w:hint="eastAsia" w:hAnsiTheme="minorEastAsia" w:eastAsiaTheme="minorEastAsia"/>
          <w:b/>
          <w:bCs w:val="0"/>
          <w:color w:val="FF0000"/>
          <w:szCs w:val="21"/>
          <w:highlight w:val="none"/>
          <w:lang w:val="en-US" w:eastAsia="zh-CN"/>
        </w:rPr>
        <w:t>下</w:t>
      </w:r>
      <w:r>
        <w:rPr>
          <w:rFonts w:hint="eastAsia" w:hAnsiTheme="minorEastAsia" w:eastAsiaTheme="minorEastAsia"/>
          <w:b/>
          <w:bCs w:val="0"/>
          <w:color w:val="FF0000"/>
          <w:szCs w:val="21"/>
          <w:highlight w:val="none"/>
          <w:lang w:eastAsia="zh-CN"/>
        </w:rPr>
        <w:t>午</w:t>
      </w:r>
      <w:r>
        <w:rPr>
          <w:rFonts w:hint="eastAsia" w:hAnsiTheme="minorEastAsia" w:eastAsiaTheme="minorEastAsia"/>
          <w:b/>
          <w:bCs w:val="0"/>
          <w:color w:val="FF0000"/>
          <w:szCs w:val="21"/>
          <w:highlight w:val="none"/>
          <w:u w:val="single"/>
        </w:rPr>
        <w:t xml:space="preserve"> </w:t>
      </w:r>
      <w:r>
        <w:rPr>
          <w:rFonts w:hint="eastAsia" w:hAnsiTheme="minorEastAsia" w:eastAsiaTheme="minorEastAsia"/>
          <w:b/>
          <w:bCs w:val="0"/>
          <w:color w:val="FF0000"/>
          <w:szCs w:val="21"/>
          <w:highlight w:val="none"/>
          <w:u w:val="single"/>
          <w:lang w:val="en-US" w:eastAsia="zh-CN"/>
        </w:rPr>
        <w:t xml:space="preserve">15：30   </w:t>
      </w:r>
      <w:r>
        <w:rPr>
          <w:rFonts w:hint="eastAsia" w:hAnsiTheme="minorEastAsia" w:eastAsiaTheme="minorEastAsia"/>
          <w:b/>
          <w:bCs w:val="0"/>
          <w:color w:val="FF0000"/>
          <w:szCs w:val="21"/>
          <w:highlight w:val="none"/>
          <w:u w:val="single"/>
        </w:rPr>
        <w:t xml:space="preserve"> </w:t>
      </w:r>
      <w:r>
        <w:rPr>
          <w:rFonts w:hAnsiTheme="minorEastAsia" w:eastAsiaTheme="minorEastAsia"/>
          <w:bCs/>
          <w:color w:val="000000" w:themeColor="text1"/>
          <w:szCs w:val="21"/>
          <w:highlight w:val="none"/>
        </w:rPr>
        <w:t>；</w:t>
      </w:r>
    </w:p>
    <w:p w14:paraId="33B12555">
      <w:pPr>
        <w:pStyle w:val="107"/>
        <w:shd w:val="clear"/>
        <w:adjustRightInd w:val="0"/>
        <w:snapToGrid w:val="0"/>
        <w:spacing w:line="360" w:lineRule="exact"/>
        <w:jc w:val="left"/>
        <w:rPr>
          <w:rFonts w:hint="eastAsia" w:hAnsiTheme="minorEastAsia" w:eastAsiaTheme="minorEastAsia"/>
          <w:bCs/>
          <w:color w:val="000000" w:themeColor="text1"/>
          <w:sz w:val="21"/>
          <w:szCs w:val="21"/>
          <w:highlight w:val="none"/>
          <w:lang w:eastAsia="zh-CN"/>
        </w:rPr>
      </w:pPr>
      <w:r>
        <w:rPr>
          <w:rFonts w:eastAsiaTheme="minorEastAsia"/>
          <w:bCs/>
          <w:color w:val="000000" w:themeColor="text1"/>
          <w:sz w:val="21"/>
          <w:szCs w:val="21"/>
          <w:highlight w:val="none"/>
        </w:rPr>
        <w:t xml:space="preserve">5.2 </w:t>
      </w:r>
      <w:r>
        <w:rPr>
          <w:rFonts w:hAnsiTheme="minorEastAsia" w:eastAsiaTheme="minorEastAsia"/>
          <w:bCs/>
          <w:color w:val="000000" w:themeColor="text1"/>
          <w:sz w:val="21"/>
          <w:szCs w:val="21"/>
          <w:highlight w:val="none"/>
        </w:rPr>
        <w:t>本项目采用远程不见面线上开展谈判及评审。</w:t>
      </w:r>
      <w:r>
        <w:rPr>
          <w:rFonts w:hint="eastAsia" w:hAnsiTheme="minorEastAsia" w:eastAsiaTheme="minorEastAsia"/>
          <w:bCs/>
          <w:color w:val="000000" w:themeColor="text1"/>
          <w:sz w:val="21"/>
          <w:szCs w:val="21"/>
          <w:highlight w:val="none"/>
        </w:rPr>
        <w:t>具体要求详见谈判文件</w:t>
      </w:r>
      <w:r>
        <w:rPr>
          <w:rFonts w:hint="eastAsia" w:hAnsiTheme="minorEastAsia" w:eastAsiaTheme="minorEastAsia"/>
          <w:bCs/>
          <w:color w:val="000000" w:themeColor="text1"/>
          <w:sz w:val="21"/>
          <w:szCs w:val="21"/>
          <w:highlight w:val="none"/>
          <w:lang w:val="en-US" w:eastAsia="zh-CN"/>
        </w:rPr>
        <w:t>。</w:t>
      </w:r>
    </w:p>
    <w:p w14:paraId="1B632F81">
      <w:pPr>
        <w:shd w:val="clear"/>
        <w:spacing w:line="360" w:lineRule="exact"/>
        <w:ind w:firstLine="422"/>
        <w:jc w:val="left"/>
        <w:outlineLvl w:val="1"/>
        <w:rPr>
          <w:rFonts w:eastAsiaTheme="minorEastAsia"/>
          <w:b/>
          <w:color w:val="000000" w:themeColor="text1"/>
          <w:szCs w:val="21"/>
          <w:highlight w:val="none"/>
        </w:rPr>
      </w:pPr>
      <w:bookmarkStart w:id="18" w:name="_Toc3761"/>
      <w:r>
        <w:rPr>
          <w:rFonts w:hint="eastAsia" w:eastAsiaTheme="minorEastAsia"/>
          <w:b/>
          <w:color w:val="000000" w:themeColor="text1"/>
          <w:szCs w:val="21"/>
          <w:highlight w:val="none"/>
        </w:rPr>
        <w:t>6.</w:t>
      </w:r>
      <w:r>
        <w:rPr>
          <w:rFonts w:eastAsiaTheme="minorEastAsia"/>
          <w:b/>
          <w:color w:val="000000" w:themeColor="text1"/>
          <w:szCs w:val="21"/>
          <w:highlight w:val="none"/>
        </w:rPr>
        <w:t>评审入围条件及评审办法</w:t>
      </w:r>
      <w:bookmarkEnd w:id="18"/>
    </w:p>
    <w:p w14:paraId="13CC772F">
      <w:pPr>
        <w:pStyle w:val="107"/>
        <w:shd w:val="clear"/>
        <w:adjustRightInd w:val="0"/>
        <w:snapToGrid w:val="0"/>
        <w:spacing w:line="360" w:lineRule="exact"/>
        <w:jc w:val="left"/>
        <w:rPr>
          <w:color w:val="000000" w:themeColor="text1"/>
          <w:sz w:val="21"/>
          <w:szCs w:val="21"/>
          <w:highlight w:val="none"/>
        </w:rPr>
      </w:pPr>
      <w:r>
        <w:rPr>
          <w:rFonts w:hint="eastAsia"/>
          <w:sz w:val="21"/>
          <w:szCs w:val="21"/>
          <w:highlight w:val="none"/>
        </w:rPr>
        <w:t>6.1</w:t>
      </w:r>
      <w:r>
        <w:rPr>
          <w:rFonts w:hint="eastAsia" w:ascii="宋体" w:hAnsi="宋体" w:eastAsiaTheme="minorEastAsia"/>
          <w:sz w:val="21"/>
          <w:szCs w:val="21"/>
          <w:highlight w:val="none"/>
        </w:rPr>
        <w:t>评审</w:t>
      </w:r>
      <w:r>
        <w:rPr>
          <w:rFonts w:hint="eastAsia" w:ascii="宋体" w:hAnsi="宋体"/>
          <w:sz w:val="21"/>
          <w:szCs w:val="21"/>
          <w:highlight w:val="none"/>
        </w:rPr>
        <w:t xml:space="preserve">入围条件：供应商响应文件响应函中载明的报价高于采购人期望值的（采购人期望值=采购控制价* </w:t>
      </w:r>
      <w:r>
        <w:rPr>
          <w:rFonts w:hint="eastAsia" w:ascii="宋体" w:hAnsi="宋体"/>
          <w:sz w:val="21"/>
          <w:szCs w:val="21"/>
          <w:highlight w:val="none"/>
          <w:u w:val="single"/>
        </w:rPr>
        <w:t xml:space="preserve"> </w:t>
      </w:r>
      <w:r>
        <w:rPr>
          <w:rFonts w:hint="eastAsia" w:ascii="宋体" w:hAnsi="宋体"/>
          <w:sz w:val="21"/>
          <w:szCs w:val="21"/>
          <w:highlight w:val="none"/>
          <w:u w:val="single"/>
          <w:lang w:val="en-US" w:eastAsia="zh-CN"/>
        </w:rPr>
        <w:t xml:space="preserve">100 </w:t>
      </w:r>
      <w:r>
        <w:rPr>
          <w:rFonts w:hint="eastAsia" w:ascii="宋体" w:hAnsi="宋体"/>
          <w:sz w:val="21"/>
          <w:szCs w:val="21"/>
          <w:highlight w:val="none"/>
        </w:rPr>
        <w:t>%），不再进行后续评审。</w:t>
      </w:r>
    </w:p>
    <w:p w14:paraId="5BC8FFF0">
      <w:pPr>
        <w:pStyle w:val="107"/>
        <w:shd w:val="clear"/>
        <w:adjustRightInd w:val="0"/>
        <w:snapToGrid w:val="0"/>
        <w:spacing w:line="360" w:lineRule="exact"/>
        <w:jc w:val="left"/>
        <w:rPr>
          <w:rFonts w:eastAsiaTheme="minorEastAsia"/>
          <w:color w:val="000000" w:themeColor="text1"/>
          <w:sz w:val="21"/>
          <w:szCs w:val="21"/>
          <w:highlight w:val="none"/>
        </w:rPr>
      </w:pPr>
      <w:r>
        <w:rPr>
          <w:rFonts w:eastAsiaTheme="minorEastAsia"/>
          <w:color w:val="000000" w:themeColor="text1"/>
          <w:sz w:val="21"/>
          <w:szCs w:val="21"/>
          <w:highlight w:val="none"/>
        </w:rPr>
        <w:t>6.</w:t>
      </w:r>
      <w:r>
        <w:rPr>
          <w:rFonts w:hint="eastAsia" w:eastAsiaTheme="minorEastAsia"/>
          <w:color w:val="000000" w:themeColor="text1"/>
          <w:sz w:val="21"/>
          <w:szCs w:val="21"/>
          <w:highlight w:val="none"/>
        </w:rPr>
        <w:t>2</w:t>
      </w:r>
      <w:r>
        <w:rPr>
          <w:rFonts w:hAnsiTheme="minorEastAsia" w:eastAsiaTheme="minorEastAsia"/>
          <w:color w:val="000000" w:themeColor="text1"/>
          <w:sz w:val="21"/>
          <w:szCs w:val="21"/>
          <w:highlight w:val="none"/>
        </w:rPr>
        <w:t>评审办法：经评审的最低价法</w:t>
      </w:r>
      <w:r>
        <w:rPr>
          <w:rFonts w:hint="eastAsia" w:hAnsiTheme="minorEastAsia" w:eastAsiaTheme="minorEastAsia"/>
          <w:color w:val="000000" w:themeColor="text1"/>
          <w:sz w:val="21"/>
          <w:szCs w:val="21"/>
          <w:highlight w:val="none"/>
        </w:rPr>
        <w:t>，</w:t>
      </w:r>
      <w:r>
        <w:rPr>
          <w:rFonts w:hAnsiTheme="minorEastAsia" w:eastAsiaTheme="minorEastAsia"/>
          <w:color w:val="000000" w:themeColor="text1"/>
          <w:sz w:val="21"/>
          <w:szCs w:val="21"/>
          <w:highlight w:val="none"/>
        </w:rPr>
        <w:t>谈判评审小组对满足谈判文件实质要求的响应文件，按最终报价由低到高的顺序推荐成交候选人。</w:t>
      </w:r>
    </w:p>
    <w:p w14:paraId="7DFC7015">
      <w:pPr>
        <w:shd w:val="clear"/>
        <w:spacing w:line="360" w:lineRule="exact"/>
        <w:ind w:firstLine="422"/>
        <w:jc w:val="left"/>
        <w:outlineLvl w:val="1"/>
        <w:rPr>
          <w:rFonts w:eastAsiaTheme="minorEastAsia"/>
          <w:b/>
          <w:color w:val="000000" w:themeColor="text1"/>
          <w:szCs w:val="21"/>
          <w:highlight w:val="none"/>
        </w:rPr>
      </w:pPr>
      <w:bookmarkStart w:id="19" w:name="_Toc24822"/>
      <w:r>
        <w:rPr>
          <w:rFonts w:eastAsiaTheme="minorEastAsia"/>
          <w:b/>
          <w:color w:val="000000" w:themeColor="text1"/>
          <w:szCs w:val="21"/>
          <w:highlight w:val="none"/>
        </w:rPr>
        <w:t>7.</w:t>
      </w:r>
      <w:r>
        <w:rPr>
          <w:rFonts w:hAnsiTheme="minorEastAsia" w:eastAsiaTheme="minorEastAsia"/>
          <w:b/>
          <w:color w:val="000000" w:themeColor="text1"/>
          <w:szCs w:val="21"/>
          <w:highlight w:val="none"/>
        </w:rPr>
        <w:t>谈判保证金</w:t>
      </w:r>
      <w:bookmarkEnd w:id="19"/>
    </w:p>
    <w:p w14:paraId="6C81DAF5">
      <w:pPr>
        <w:shd w:val="clear"/>
        <w:spacing w:line="360" w:lineRule="exact"/>
        <w:ind w:firstLine="420"/>
        <w:jc w:val="left"/>
        <w:rPr>
          <w:highlight w:val="none"/>
        </w:rPr>
      </w:pPr>
      <w:r>
        <w:rPr>
          <w:highlight w:val="none"/>
        </w:rPr>
        <w:t>本项目</w:t>
      </w:r>
      <w:r>
        <w:rPr>
          <w:rFonts w:hint="eastAsia"/>
          <w:highlight w:val="none"/>
        </w:rPr>
        <w:t>谈判</w:t>
      </w:r>
      <w:r>
        <w:rPr>
          <w:highlight w:val="none"/>
        </w:rPr>
        <w:t>保证金为：</w:t>
      </w:r>
      <w:r>
        <w:rPr>
          <w:b/>
          <w:bCs/>
          <w:highlight w:val="none"/>
          <w:u w:val="single"/>
        </w:rPr>
        <w:t xml:space="preserve"> </w:t>
      </w:r>
      <w:r>
        <w:rPr>
          <w:rFonts w:hint="eastAsia"/>
          <w:b/>
          <w:bCs/>
          <w:highlight w:val="none"/>
          <w:u w:val="single"/>
          <w:lang w:val="en-US" w:eastAsia="zh-CN"/>
        </w:rPr>
        <w:t xml:space="preserve">1 </w:t>
      </w:r>
      <w:r>
        <w:rPr>
          <w:b/>
          <w:bCs/>
          <w:highlight w:val="none"/>
        </w:rPr>
        <w:t>万元</w:t>
      </w:r>
      <w:r>
        <w:rPr>
          <w:highlight w:val="none"/>
        </w:rPr>
        <w:t>，</w:t>
      </w:r>
      <w:r>
        <w:rPr>
          <w:rFonts w:hint="eastAsia"/>
          <w:highlight w:val="none"/>
        </w:rPr>
        <w:t>供应商必须于响应文件递交截止时间前缴纳谈判保证金。采用转账、电汇、网银等形式缴纳保证金的，保证金应以供应商的</w:t>
      </w:r>
      <w:r>
        <w:rPr>
          <w:rFonts w:hint="eastAsia"/>
          <w:b/>
          <w:bCs/>
          <w:highlight w:val="none"/>
        </w:rPr>
        <w:t>存款账户</w:t>
      </w:r>
      <w:r>
        <w:rPr>
          <w:rFonts w:hint="eastAsia"/>
          <w:highlight w:val="none"/>
        </w:rPr>
        <w:t>缴纳，</w:t>
      </w:r>
      <w:r>
        <w:rPr>
          <w:rFonts w:hint="eastAsia"/>
          <w:b/>
          <w:bCs/>
          <w:highlight w:val="none"/>
        </w:rPr>
        <w:t>以个人、企业的办事处、分公司、子公司名义或从他人账户缴纳的保证金无效</w:t>
      </w:r>
      <w:r>
        <w:rPr>
          <w:rFonts w:hint="eastAsia"/>
          <w:highlight w:val="none"/>
        </w:rPr>
        <w:t>。</w:t>
      </w:r>
      <w:r>
        <w:rPr>
          <w:highlight w:val="none"/>
        </w:rPr>
        <w:t>超出谈判文件规定时间和要求递交谈判保证金的，采购人将视为不响应谈判文件而取消其谈判资格。</w:t>
      </w:r>
    </w:p>
    <w:p w14:paraId="705F98EB">
      <w:pPr>
        <w:shd w:val="clear"/>
        <w:spacing w:line="360" w:lineRule="exact"/>
        <w:ind w:firstLine="422"/>
        <w:jc w:val="left"/>
        <w:outlineLvl w:val="1"/>
        <w:rPr>
          <w:rFonts w:eastAsiaTheme="minorEastAsia"/>
          <w:b/>
          <w:color w:val="000000" w:themeColor="text1"/>
          <w:szCs w:val="21"/>
          <w:highlight w:val="none"/>
        </w:rPr>
      </w:pPr>
      <w:bookmarkStart w:id="20" w:name="_Toc445"/>
      <w:r>
        <w:rPr>
          <w:rFonts w:eastAsiaTheme="minorEastAsia"/>
          <w:b/>
          <w:color w:val="000000" w:themeColor="text1"/>
          <w:szCs w:val="21"/>
          <w:highlight w:val="none"/>
        </w:rPr>
        <w:t>8.</w:t>
      </w:r>
      <w:r>
        <w:rPr>
          <w:rFonts w:hAnsiTheme="minorEastAsia" w:eastAsiaTheme="minorEastAsia"/>
          <w:b/>
          <w:color w:val="000000" w:themeColor="text1"/>
          <w:szCs w:val="21"/>
          <w:highlight w:val="none"/>
        </w:rPr>
        <w:t>本次竞争性谈判报名相关事项联系人及联系电话：</w:t>
      </w:r>
      <w:bookmarkEnd w:id="20"/>
    </w:p>
    <w:bookmarkEnd w:id="3"/>
    <w:bookmarkEnd w:id="4"/>
    <w:bookmarkEnd w:id="5"/>
    <w:bookmarkEnd w:id="6"/>
    <w:bookmarkEnd w:id="7"/>
    <w:bookmarkEnd w:id="8"/>
    <w:bookmarkEnd w:id="9"/>
    <w:bookmarkEnd w:id="12"/>
    <w:tbl>
      <w:tblPr>
        <w:tblStyle w:val="50"/>
        <w:tblW w:w="906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061"/>
      </w:tblGrid>
      <w:tr w14:paraId="3E431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061" w:type="dxa"/>
          </w:tcPr>
          <w:p w14:paraId="1D2E8670">
            <w:pPr>
              <w:keepNext w:val="0"/>
              <w:keepLines w:val="0"/>
              <w:suppressLineNumbers w:val="0"/>
              <w:shd w:val="clear"/>
              <w:adjustRightInd w:val="0"/>
              <w:snapToGrid w:val="0"/>
              <w:spacing w:before="0" w:beforeAutospacing="0" w:after="0" w:afterAutospacing="0" w:line="360" w:lineRule="exact"/>
              <w:ind w:left="0" w:right="0" w:firstLine="0" w:firstLineChars="0"/>
              <w:rPr>
                <w:rFonts w:hint="eastAsia" w:eastAsia="宋体" w:hAnsiTheme="minorEastAsia"/>
                <w:color w:val="000000" w:themeColor="text1"/>
                <w:szCs w:val="21"/>
                <w:highlight w:val="none"/>
                <w:lang w:eastAsia="zh-CN"/>
              </w:rPr>
            </w:pPr>
            <w:r>
              <w:rPr>
                <w:rFonts w:hint="eastAsia"/>
                <w:color w:val="000000" w:themeColor="text1"/>
                <w:szCs w:val="21"/>
                <w:highlight w:val="none"/>
              </w:rPr>
              <w:t>采</w:t>
            </w:r>
            <w:r>
              <w:rPr>
                <w:rFonts w:hint="default"/>
                <w:color w:val="000000" w:themeColor="text1"/>
                <w:szCs w:val="21"/>
                <w:highlight w:val="none"/>
              </w:rPr>
              <w:t xml:space="preserve"> </w:t>
            </w:r>
            <w:r>
              <w:rPr>
                <w:rFonts w:hint="eastAsia"/>
                <w:color w:val="000000" w:themeColor="text1"/>
                <w:szCs w:val="21"/>
                <w:highlight w:val="none"/>
              </w:rPr>
              <w:t>购</w:t>
            </w:r>
            <w:r>
              <w:rPr>
                <w:rFonts w:hint="default"/>
                <w:color w:val="000000" w:themeColor="text1"/>
                <w:szCs w:val="21"/>
                <w:highlight w:val="none"/>
              </w:rPr>
              <w:t xml:space="preserve"> 人：</w:t>
            </w:r>
            <w:r>
              <w:rPr>
                <w:rFonts w:hint="eastAsia"/>
                <w:color w:val="000000" w:themeColor="text1"/>
                <w:szCs w:val="21"/>
                <w:highlight w:val="none"/>
                <w:lang w:eastAsia="zh-CN"/>
              </w:rPr>
              <w:t>连云港徐圩城建工程有限公司</w:t>
            </w:r>
          </w:p>
        </w:tc>
      </w:tr>
      <w:tr w14:paraId="6A5DB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061" w:type="dxa"/>
          </w:tcPr>
          <w:p w14:paraId="1B2B9641">
            <w:pPr>
              <w:keepNext w:val="0"/>
              <w:keepLines w:val="0"/>
              <w:suppressLineNumbers w:val="0"/>
              <w:shd w:val="clear"/>
              <w:spacing w:before="0" w:beforeAutospacing="0" w:after="0" w:afterAutospacing="0" w:line="360" w:lineRule="exact"/>
              <w:ind w:left="0" w:right="0" w:firstLine="0" w:firstLineChars="0"/>
              <w:jc w:val="left"/>
              <w:rPr>
                <w:rFonts w:hint="default" w:hAnsiTheme="minorEastAsia" w:eastAsiaTheme="minorEastAsia"/>
                <w:color w:val="000000" w:themeColor="text1"/>
                <w:szCs w:val="21"/>
                <w:highlight w:val="none"/>
              </w:rPr>
            </w:pPr>
            <w:r>
              <w:rPr>
                <w:rFonts w:hint="default"/>
                <w:color w:val="000000" w:themeColor="text1"/>
                <w:szCs w:val="21"/>
                <w:highlight w:val="none"/>
              </w:rPr>
              <w:t>地    址：</w:t>
            </w:r>
            <w:r>
              <w:rPr>
                <w:rFonts w:hint="eastAsia"/>
                <w:color w:val="000000" w:themeColor="text1"/>
                <w:szCs w:val="21"/>
                <w:highlight w:val="none"/>
              </w:rPr>
              <w:t>连云港市徐圩新区应急救援指挥中心F楼</w:t>
            </w:r>
          </w:p>
        </w:tc>
      </w:tr>
      <w:tr w14:paraId="60D90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061" w:type="dxa"/>
          </w:tcPr>
          <w:p w14:paraId="6664D19E">
            <w:pPr>
              <w:keepNext w:val="0"/>
              <w:keepLines w:val="0"/>
              <w:suppressLineNumbers w:val="0"/>
              <w:shd w:val="clear"/>
              <w:spacing w:before="0" w:beforeAutospacing="0" w:after="0" w:afterAutospacing="0" w:line="360" w:lineRule="exact"/>
              <w:ind w:left="0" w:right="0" w:firstLine="0" w:firstLineChars="0"/>
              <w:jc w:val="left"/>
              <w:rPr>
                <w:rFonts w:hint="default" w:hAnsiTheme="minorEastAsia" w:eastAsiaTheme="minorEastAsia"/>
                <w:color w:val="000000" w:themeColor="text1"/>
                <w:szCs w:val="21"/>
                <w:highlight w:val="none"/>
              </w:rPr>
            </w:pPr>
            <w:r>
              <w:rPr>
                <w:rFonts w:hint="default"/>
                <w:color w:val="000000" w:themeColor="text1"/>
                <w:szCs w:val="21"/>
                <w:highlight w:val="none"/>
              </w:rPr>
              <w:t>联 系 人：</w:t>
            </w:r>
            <w:r>
              <w:rPr>
                <w:rFonts w:hint="eastAsia"/>
                <w:color w:val="000000" w:themeColor="text1"/>
                <w:szCs w:val="21"/>
                <w:highlight w:val="none"/>
                <w:lang w:eastAsia="zh-CN"/>
              </w:rPr>
              <w:t>樊工、</w:t>
            </w:r>
            <w:r>
              <w:rPr>
                <w:rFonts w:hint="eastAsia"/>
                <w:color w:val="000000" w:themeColor="text1"/>
                <w:szCs w:val="21"/>
                <w:highlight w:val="none"/>
                <w:lang w:val="en-US" w:eastAsia="zh-CN"/>
              </w:rPr>
              <w:t>周</w:t>
            </w:r>
            <w:r>
              <w:rPr>
                <w:rFonts w:hint="eastAsia"/>
                <w:color w:val="000000" w:themeColor="text1"/>
                <w:szCs w:val="21"/>
                <w:highlight w:val="none"/>
                <w:lang w:eastAsia="zh-CN"/>
              </w:rPr>
              <w:t>工（项目负责人）</w:t>
            </w:r>
            <w:r>
              <w:rPr>
                <w:rFonts w:hint="default"/>
                <w:color w:val="000000" w:themeColor="text1"/>
                <w:szCs w:val="21"/>
                <w:highlight w:val="none"/>
              </w:rPr>
              <w:t xml:space="preserve"> </w:t>
            </w:r>
            <w:r>
              <w:rPr>
                <w:rFonts w:hint="eastAsia"/>
                <w:color w:val="000000" w:themeColor="text1"/>
                <w:szCs w:val="21"/>
                <w:highlight w:val="none"/>
              </w:rPr>
              <w:t xml:space="preserve">  </w:t>
            </w:r>
            <w:r>
              <w:rPr>
                <w:rFonts w:hint="default"/>
                <w:color w:val="000000" w:themeColor="text1"/>
                <w:szCs w:val="21"/>
                <w:highlight w:val="none"/>
              </w:rPr>
              <w:t xml:space="preserve">    </w:t>
            </w:r>
          </w:p>
        </w:tc>
      </w:tr>
      <w:tr w14:paraId="0554C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061" w:type="dxa"/>
          </w:tcPr>
          <w:p w14:paraId="51770169">
            <w:pPr>
              <w:keepNext w:val="0"/>
              <w:keepLines w:val="0"/>
              <w:suppressLineNumbers w:val="0"/>
              <w:shd w:val="clear"/>
              <w:spacing w:before="0" w:beforeAutospacing="0" w:after="0" w:afterAutospacing="0" w:line="360" w:lineRule="exact"/>
              <w:ind w:left="0" w:right="0" w:firstLine="0" w:firstLineChars="0"/>
              <w:jc w:val="left"/>
              <w:rPr>
                <w:rFonts w:hint="default" w:hAnsiTheme="minorEastAsia" w:eastAsiaTheme="minorEastAsia"/>
                <w:color w:val="000000" w:themeColor="text1"/>
                <w:szCs w:val="21"/>
                <w:highlight w:val="none"/>
              </w:rPr>
            </w:pPr>
            <w:r>
              <w:rPr>
                <w:rFonts w:hint="default"/>
                <w:color w:val="000000" w:themeColor="text1"/>
                <w:szCs w:val="21"/>
                <w:highlight w:val="none"/>
              </w:rPr>
              <w:t>电    话：</w:t>
            </w:r>
            <w:r>
              <w:rPr>
                <w:rFonts w:hint="eastAsia"/>
                <w:color w:val="000000" w:themeColor="text1"/>
                <w:szCs w:val="21"/>
                <w:highlight w:val="none"/>
                <w:lang w:val="en-US" w:eastAsia="zh-CN"/>
              </w:rPr>
              <w:t>15895920590</w:t>
            </w:r>
            <w:r>
              <w:rPr>
                <w:rFonts w:hint="eastAsia"/>
                <w:color w:val="000000" w:themeColor="text1"/>
                <w:szCs w:val="21"/>
                <w:highlight w:val="none"/>
                <w:lang w:eastAsia="zh-CN"/>
              </w:rPr>
              <w:t>、</w:t>
            </w:r>
            <w:r>
              <w:rPr>
                <w:rFonts w:hint="eastAsia"/>
                <w:color w:val="000000" w:themeColor="text1"/>
                <w:szCs w:val="21"/>
                <w:highlight w:val="none"/>
                <w:lang w:val="en-US" w:eastAsia="zh-CN"/>
              </w:rPr>
              <w:t>15051180734</w:t>
            </w:r>
            <w:r>
              <w:rPr>
                <w:rFonts w:hint="eastAsia"/>
                <w:color w:val="000000" w:themeColor="text1"/>
                <w:szCs w:val="21"/>
                <w:highlight w:val="none"/>
                <w:lang w:eastAsia="zh-CN"/>
              </w:rPr>
              <w:t>（项目负责人）</w:t>
            </w:r>
            <w:r>
              <w:rPr>
                <w:rFonts w:hint="default"/>
                <w:color w:val="000000" w:themeColor="text1"/>
                <w:szCs w:val="21"/>
                <w:highlight w:val="none"/>
              </w:rPr>
              <w:t xml:space="preserve"> </w:t>
            </w:r>
          </w:p>
        </w:tc>
      </w:tr>
      <w:tr w14:paraId="7470E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061" w:type="dxa"/>
          </w:tcPr>
          <w:p w14:paraId="2F839687">
            <w:pPr>
              <w:keepNext w:val="0"/>
              <w:keepLines w:val="0"/>
              <w:suppressLineNumbers w:val="0"/>
              <w:shd w:val="clear"/>
              <w:spacing w:before="0" w:beforeAutospacing="0" w:after="0" w:afterAutospacing="0" w:line="360" w:lineRule="exact"/>
              <w:ind w:left="0" w:right="0" w:firstLine="0" w:firstLineChars="0"/>
              <w:jc w:val="left"/>
              <w:rPr>
                <w:rFonts w:hint="default" w:hAnsiTheme="minorEastAsia" w:eastAsiaTheme="minorEastAsia"/>
                <w:color w:val="000000" w:themeColor="text1"/>
                <w:szCs w:val="21"/>
                <w:highlight w:val="none"/>
              </w:rPr>
            </w:pPr>
            <w:r>
              <w:rPr>
                <w:rFonts w:hint="default"/>
                <w:color w:val="000000" w:themeColor="text1"/>
                <w:szCs w:val="21"/>
                <w:highlight w:val="none"/>
              </w:rPr>
              <w:t>电子邮箱：</w:t>
            </w:r>
            <w:r>
              <w:rPr>
                <w:rFonts w:hint="eastAsia"/>
                <w:color w:val="000000" w:themeColor="text1"/>
                <w:szCs w:val="21"/>
                <w:highlight w:val="none"/>
                <w:lang w:val="en-US" w:eastAsia="zh-CN"/>
              </w:rPr>
              <w:t>xwszztb@163.com</w:t>
            </w:r>
            <w:r>
              <w:rPr>
                <w:rFonts w:hint="default"/>
                <w:color w:val="000000" w:themeColor="text1"/>
                <w:szCs w:val="21"/>
                <w:highlight w:val="none"/>
              </w:rPr>
              <w:t xml:space="preserve">              </w:t>
            </w:r>
          </w:p>
        </w:tc>
      </w:tr>
    </w:tbl>
    <w:p w14:paraId="4C1FC694">
      <w:pPr>
        <w:shd w:val="clear"/>
        <w:adjustRightInd w:val="0"/>
        <w:snapToGrid w:val="0"/>
        <w:spacing w:line="360" w:lineRule="auto"/>
        <w:ind w:firstLine="0" w:firstLineChars="0"/>
        <w:jc w:val="left"/>
        <w:rPr>
          <w:b/>
          <w:bCs/>
          <w:szCs w:val="21"/>
          <w:highlight w:val="none"/>
        </w:rPr>
      </w:pPr>
    </w:p>
    <w:p w14:paraId="033C7966">
      <w:pPr>
        <w:shd w:val="clear"/>
        <w:adjustRightInd w:val="0"/>
        <w:snapToGrid w:val="0"/>
        <w:spacing w:line="360" w:lineRule="auto"/>
        <w:ind w:firstLine="0" w:firstLineChars="0"/>
        <w:jc w:val="left"/>
        <w:rPr>
          <w:b/>
          <w:bCs/>
          <w:szCs w:val="21"/>
          <w:highlight w:val="none"/>
        </w:rPr>
      </w:pPr>
    </w:p>
    <w:p w14:paraId="6C6C2D44">
      <w:pPr>
        <w:shd w:val="clear"/>
        <w:adjustRightInd w:val="0"/>
        <w:snapToGrid w:val="0"/>
        <w:spacing w:line="360" w:lineRule="auto"/>
        <w:ind w:firstLine="0" w:firstLineChars="0"/>
        <w:jc w:val="left"/>
        <w:rPr>
          <w:b/>
          <w:bCs/>
          <w:szCs w:val="21"/>
          <w:highlight w:val="none"/>
        </w:rPr>
      </w:pPr>
      <w:r>
        <w:rPr>
          <w:b/>
          <w:bCs/>
          <w:szCs w:val="21"/>
          <w:highlight w:val="none"/>
        </w:rPr>
        <w:t>特别提醒：</w:t>
      </w:r>
    </w:p>
    <w:p w14:paraId="10933819">
      <w:pPr>
        <w:adjustRightInd w:val="0"/>
        <w:snapToGrid w:val="0"/>
        <w:spacing w:line="360" w:lineRule="auto"/>
        <w:ind w:firstLine="420"/>
        <w:rPr>
          <w:szCs w:val="21"/>
        </w:rPr>
      </w:pPr>
      <w:r>
        <w:rPr>
          <w:szCs w:val="21"/>
        </w:rPr>
        <w:t>1.本次</w:t>
      </w:r>
      <w:r>
        <w:rPr>
          <w:rFonts w:hint="eastAsia"/>
          <w:szCs w:val="21"/>
        </w:rPr>
        <w:t>采购</w:t>
      </w:r>
      <w:r>
        <w:rPr>
          <w:szCs w:val="21"/>
        </w:rPr>
        <w:t>要求网络上传</w:t>
      </w:r>
      <w:r>
        <w:rPr>
          <w:rFonts w:hint="eastAsia"/>
          <w:szCs w:val="21"/>
        </w:rPr>
        <w:t>电子响应文件</w:t>
      </w:r>
      <w:r>
        <w:rPr>
          <w:szCs w:val="21"/>
        </w:rPr>
        <w:t>，并在</w:t>
      </w:r>
      <w:r>
        <w:rPr>
          <w:b/>
          <w:bCs/>
          <w:szCs w:val="21"/>
        </w:rPr>
        <w:t>响应文件递交截止</w:t>
      </w:r>
      <w:r>
        <w:rPr>
          <w:szCs w:val="21"/>
        </w:rPr>
        <w:t>时间前完成网上</w:t>
      </w:r>
      <w:r>
        <w:rPr>
          <w:rFonts w:hint="eastAsia"/>
          <w:szCs w:val="21"/>
        </w:rPr>
        <w:t>电子响应文件</w:t>
      </w:r>
      <w:r>
        <w:rPr>
          <w:szCs w:val="21"/>
        </w:rPr>
        <w:t>上传。</w:t>
      </w:r>
    </w:p>
    <w:p w14:paraId="5AB37AA1">
      <w:pPr>
        <w:adjustRightInd w:val="0"/>
        <w:snapToGrid w:val="0"/>
        <w:spacing w:line="360" w:lineRule="auto"/>
        <w:ind w:firstLine="420"/>
        <w:rPr>
          <w:b/>
          <w:bCs/>
          <w:szCs w:val="21"/>
          <w:highlight w:val="none"/>
        </w:rPr>
      </w:pPr>
      <w:r>
        <w:rPr>
          <w:b/>
          <w:bCs/>
          <w:szCs w:val="21"/>
          <w:highlight w:val="none"/>
        </w:rPr>
        <w:t>2.</w:t>
      </w:r>
      <w:r>
        <w:rPr>
          <w:rFonts w:hint="eastAsia"/>
          <w:b/>
          <w:bCs/>
          <w:szCs w:val="21"/>
          <w:highlight w:val="none"/>
        </w:rPr>
        <w:t>供应商在网上下载采购文件</w:t>
      </w:r>
      <w:r>
        <w:rPr>
          <w:rFonts w:hint="eastAsia"/>
          <w:b/>
          <w:bCs/>
          <w:szCs w:val="21"/>
          <w:highlight w:val="none"/>
          <w:lang w:eastAsia="zh-CN"/>
        </w:rPr>
        <w:t>，</w:t>
      </w:r>
      <w:r>
        <w:rPr>
          <w:rFonts w:hint="eastAsia"/>
          <w:b/>
          <w:bCs/>
          <w:szCs w:val="21"/>
          <w:highlight w:val="none"/>
        </w:rPr>
        <w:t>根据采购文件要求及时制作电子响应文件。本次采购供应商务必登陆</w:t>
      </w:r>
      <w:r>
        <w:rPr>
          <w:rFonts w:hint="eastAsia"/>
          <w:b/>
          <w:bCs/>
          <w:szCs w:val="21"/>
          <w:highlight w:val="none"/>
          <w:lang w:eastAsia="zh-CN"/>
        </w:rPr>
        <w:t>“方洋集团电子采购平台”</w:t>
      </w:r>
      <w:r>
        <w:rPr>
          <w:rFonts w:hint="eastAsia"/>
          <w:b/>
          <w:bCs/>
          <w:szCs w:val="21"/>
          <w:highlight w:val="none"/>
        </w:rPr>
        <w:t xml:space="preserve"> 并在服务指南的平台工具及操作手册模块中下载</w:t>
      </w:r>
      <w:r>
        <w:rPr>
          <w:rFonts w:hint="eastAsia"/>
          <w:b/>
          <w:bCs/>
          <w:szCs w:val="21"/>
          <w:highlight w:val="none"/>
          <w:lang w:eastAsia="zh-CN"/>
        </w:rPr>
        <w:t>“</w:t>
      </w:r>
      <w:r>
        <w:rPr>
          <w:rFonts w:hint="eastAsia"/>
          <w:b/>
          <w:bCs/>
          <w:szCs w:val="21"/>
          <w:highlight w:val="none"/>
        </w:rPr>
        <w:t>网上开标大厅操作手册</w:t>
      </w:r>
      <w:r>
        <w:rPr>
          <w:rFonts w:hint="eastAsia"/>
          <w:b/>
          <w:bCs/>
          <w:szCs w:val="21"/>
          <w:highlight w:val="none"/>
          <w:lang w:eastAsia="zh-CN"/>
        </w:rPr>
        <w:t>”</w:t>
      </w:r>
      <w:r>
        <w:rPr>
          <w:rFonts w:hint="eastAsia"/>
          <w:b/>
          <w:bCs/>
          <w:szCs w:val="21"/>
          <w:highlight w:val="none"/>
        </w:rPr>
        <w:t>（网址链接：https://cg.fygroup.com/home/downloadCenter），供应商制作电子响应文件时请依据用户手册要求制作，如因供应商未按用户手册要求执行造成的一切后果（包括作无效</w:t>
      </w:r>
      <w:r>
        <w:rPr>
          <w:rFonts w:hint="eastAsia"/>
          <w:b/>
          <w:bCs/>
          <w:szCs w:val="21"/>
          <w:highlight w:val="none"/>
          <w:lang w:val="en-US" w:eastAsia="zh-CN"/>
        </w:rPr>
        <w:t>响应</w:t>
      </w:r>
      <w:r>
        <w:rPr>
          <w:rFonts w:hint="eastAsia"/>
          <w:b/>
          <w:bCs/>
          <w:szCs w:val="21"/>
          <w:highlight w:val="none"/>
        </w:rPr>
        <w:t>处理）均由供应商自行承担。</w:t>
      </w:r>
    </w:p>
    <w:p w14:paraId="13BF829D">
      <w:pPr>
        <w:adjustRightInd w:val="0"/>
        <w:snapToGrid w:val="0"/>
        <w:spacing w:line="360" w:lineRule="auto"/>
        <w:ind w:firstLine="420"/>
        <w:rPr>
          <w:szCs w:val="21"/>
          <w:highlight w:val="none"/>
        </w:rPr>
      </w:pPr>
      <w:r>
        <w:rPr>
          <w:szCs w:val="21"/>
          <w:highlight w:val="none"/>
        </w:rPr>
        <w:t>3.在</w:t>
      </w:r>
      <w:r>
        <w:rPr>
          <w:b/>
          <w:bCs/>
          <w:szCs w:val="21"/>
          <w:highlight w:val="none"/>
        </w:rPr>
        <w:t>响应文件递交截止</w:t>
      </w:r>
      <w:r>
        <w:rPr>
          <w:szCs w:val="21"/>
          <w:highlight w:val="none"/>
        </w:rPr>
        <w:t>时间前，因</w:t>
      </w:r>
      <w:r>
        <w:rPr>
          <w:rFonts w:hint="eastAsia"/>
          <w:szCs w:val="21"/>
          <w:highlight w:val="none"/>
        </w:rPr>
        <w:t>交易服务</w:t>
      </w:r>
      <w:r>
        <w:rPr>
          <w:szCs w:val="21"/>
          <w:highlight w:val="none"/>
        </w:rPr>
        <w:t>平台故障导致</w:t>
      </w:r>
      <w:r>
        <w:rPr>
          <w:rFonts w:hint="eastAsia"/>
          <w:szCs w:val="21"/>
          <w:highlight w:val="none"/>
        </w:rPr>
        <w:t>供应商</w:t>
      </w:r>
      <w:r>
        <w:rPr>
          <w:szCs w:val="21"/>
          <w:highlight w:val="none"/>
        </w:rPr>
        <w:t>无法提交</w:t>
      </w:r>
      <w:r>
        <w:rPr>
          <w:rFonts w:hint="eastAsia"/>
          <w:szCs w:val="21"/>
          <w:highlight w:val="none"/>
        </w:rPr>
        <w:t>电子响应文件</w:t>
      </w:r>
      <w:r>
        <w:rPr>
          <w:szCs w:val="21"/>
          <w:highlight w:val="none"/>
        </w:rPr>
        <w:t>；或者在</w:t>
      </w:r>
      <w:r>
        <w:rPr>
          <w:b/>
          <w:bCs/>
          <w:szCs w:val="21"/>
          <w:highlight w:val="none"/>
        </w:rPr>
        <w:t>响应文件递交截止</w:t>
      </w:r>
      <w:r>
        <w:rPr>
          <w:szCs w:val="21"/>
          <w:highlight w:val="none"/>
        </w:rPr>
        <w:t>时间后，因</w:t>
      </w:r>
      <w:r>
        <w:rPr>
          <w:rFonts w:hint="eastAsia"/>
          <w:szCs w:val="21"/>
          <w:highlight w:val="none"/>
        </w:rPr>
        <w:t>交易服务</w:t>
      </w:r>
      <w:r>
        <w:rPr>
          <w:szCs w:val="21"/>
          <w:highlight w:val="none"/>
        </w:rPr>
        <w:t>平台导致</w:t>
      </w:r>
      <w:r>
        <w:rPr>
          <w:rFonts w:hint="eastAsia"/>
          <w:szCs w:val="21"/>
          <w:highlight w:val="none"/>
        </w:rPr>
        <w:t>线上采购</w:t>
      </w:r>
      <w:r>
        <w:rPr>
          <w:szCs w:val="21"/>
          <w:highlight w:val="none"/>
        </w:rPr>
        <w:t>活动无法进行；或者开标结束后，因</w:t>
      </w:r>
      <w:r>
        <w:rPr>
          <w:rFonts w:hint="eastAsia"/>
          <w:szCs w:val="21"/>
          <w:highlight w:val="none"/>
        </w:rPr>
        <w:t>交易服务</w:t>
      </w:r>
      <w:r>
        <w:rPr>
          <w:szCs w:val="21"/>
          <w:highlight w:val="none"/>
        </w:rPr>
        <w:t>平台故障导致无法</w:t>
      </w:r>
      <w:r>
        <w:rPr>
          <w:rFonts w:hint="eastAsia"/>
          <w:szCs w:val="21"/>
          <w:highlight w:val="none"/>
        </w:rPr>
        <w:t>评审</w:t>
      </w:r>
      <w:r>
        <w:rPr>
          <w:szCs w:val="21"/>
          <w:highlight w:val="none"/>
        </w:rPr>
        <w:t>时，</w:t>
      </w:r>
      <w:r>
        <w:rPr>
          <w:rFonts w:hint="eastAsia"/>
          <w:szCs w:val="21"/>
          <w:highlight w:val="none"/>
        </w:rPr>
        <w:t>采购</w:t>
      </w:r>
      <w:r>
        <w:rPr>
          <w:szCs w:val="21"/>
          <w:highlight w:val="none"/>
        </w:rPr>
        <w:t>人可以选择暂停</w:t>
      </w:r>
      <w:r>
        <w:rPr>
          <w:rFonts w:hint="eastAsia"/>
          <w:szCs w:val="21"/>
          <w:highlight w:val="none"/>
        </w:rPr>
        <w:t>采购</w:t>
      </w:r>
      <w:r>
        <w:rPr>
          <w:szCs w:val="21"/>
          <w:highlight w:val="none"/>
        </w:rPr>
        <w:t>活动。</w:t>
      </w:r>
    </w:p>
    <w:p w14:paraId="592E243C">
      <w:pPr>
        <w:adjustRightInd w:val="0"/>
        <w:snapToGrid w:val="0"/>
        <w:spacing w:line="360" w:lineRule="auto"/>
        <w:ind w:firstLine="420"/>
        <w:rPr>
          <w:szCs w:val="21"/>
          <w:highlight w:val="none"/>
        </w:rPr>
      </w:pPr>
      <w:r>
        <w:rPr>
          <w:szCs w:val="21"/>
          <w:highlight w:val="none"/>
        </w:rPr>
        <w:t>5.</w:t>
      </w:r>
      <w:r>
        <w:rPr>
          <w:rFonts w:hint="eastAsia"/>
          <w:szCs w:val="21"/>
          <w:highlight w:val="none"/>
        </w:rPr>
        <w:t>准备及参与采购活动</w:t>
      </w:r>
      <w:r>
        <w:rPr>
          <w:szCs w:val="21"/>
          <w:highlight w:val="none"/>
        </w:rPr>
        <w:t>过程中遇到</w:t>
      </w:r>
      <w:r>
        <w:rPr>
          <w:rFonts w:hint="eastAsia"/>
          <w:szCs w:val="21"/>
          <w:highlight w:val="none"/>
        </w:rPr>
        <w:t>平台技术</w:t>
      </w:r>
      <w:r>
        <w:rPr>
          <w:szCs w:val="21"/>
          <w:highlight w:val="none"/>
        </w:rPr>
        <w:t>问题可联系</w:t>
      </w:r>
      <w:r>
        <w:rPr>
          <w:rFonts w:hint="eastAsia"/>
          <w:szCs w:val="21"/>
          <w:highlight w:val="none"/>
        </w:rPr>
        <w:t>技术服务单位</w:t>
      </w:r>
      <w:r>
        <w:rPr>
          <w:szCs w:val="21"/>
          <w:highlight w:val="none"/>
        </w:rPr>
        <w:t>寻求技术支持。联系方式如下：</w:t>
      </w:r>
    </w:p>
    <w:tbl>
      <w:tblPr>
        <w:tblStyle w:val="49"/>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82"/>
        <w:gridCol w:w="1985"/>
        <w:gridCol w:w="3155"/>
      </w:tblGrid>
      <w:tr w14:paraId="18DED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3382" w:type="dxa"/>
            <w:vAlign w:val="center"/>
          </w:tcPr>
          <w:p w14:paraId="5EDBCBE9">
            <w:pPr>
              <w:keepNext w:val="0"/>
              <w:keepLines w:val="0"/>
              <w:suppressLineNumbers w:val="0"/>
              <w:adjustRightInd w:val="0"/>
              <w:snapToGrid w:val="0"/>
              <w:spacing w:before="0" w:beforeAutospacing="0" w:after="0" w:afterAutospacing="0" w:line="440" w:lineRule="exact"/>
              <w:ind w:left="0" w:leftChars="0" w:right="0" w:firstLine="0" w:firstLineChars="0"/>
              <w:jc w:val="center"/>
              <w:rPr>
                <w:rFonts w:hint="default"/>
                <w:b/>
                <w:szCs w:val="21"/>
                <w:highlight w:val="none"/>
              </w:rPr>
            </w:pPr>
            <w:r>
              <w:rPr>
                <w:rFonts w:hint="eastAsia"/>
                <w:b/>
                <w:szCs w:val="21"/>
                <w:highlight w:val="none"/>
              </w:rPr>
              <w:t>技术服务单位</w:t>
            </w:r>
            <w:r>
              <w:rPr>
                <w:rFonts w:hint="default"/>
                <w:b/>
                <w:szCs w:val="21"/>
                <w:highlight w:val="none"/>
              </w:rPr>
              <w:t>名称</w:t>
            </w:r>
          </w:p>
        </w:tc>
        <w:tc>
          <w:tcPr>
            <w:tcW w:w="1985" w:type="dxa"/>
            <w:vAlign w:val="center"/>
          </w:tcPr>
          <w:p w14:paraId="11910301">
            <w:pPr>
              <w:keepNext w:val="0"/>
              <w:keepLines w:val="0"/>
              <w:suppressLineNumbers w:val="0"/>
              <w:adjustRightInd w:val="0"/>
              <w:snapToGrid w:val="0"/>
              <w:spacing w:before="0" w:beforeAutospacing="0" w:after="0" w:afterAutospacing="0" w:line="440" w:lineRule="exact"/>
              <w:ind w:left="0" w:leftChars="0" w:right="0" w:firstLine="0" w:firstLineChars="0"/>
              <w:jc w:val="center"/>
              <w:rPr>
                <w:rFonts w:hint="default"/>
                <w:b/>
                <w:szCs w:val="21"/>
                <w:highlight w:val="none"/>
              </w:rPr>
            </w:pPr>
            <w:r>
              <w:rPr>
                <w:rFonts w:hint="default"/>
                <w:b/>
                <w:szCs w:val="21"/>
                <w:highlight w:val="none"/>
              </w:rPr>
              <w:t>联系人</w:t>
            </w:r>
          </w:p>
        </w:tc>
        <w:tc>
          <w:tcPr>
            <w:tcW w:w="3155" w:type="dxa"/>
            <w:vAlign w:val="center"/>
          </w:tcPr>
          <w:p w14:paraId="2F697D0E">
            <w:pPr>
              <w:keepNext w:val="0"/>
              <w:keepLines w:val="0"/>
              <w:suppressLineNumbers w:val="0"/>
              <w:adjustRightInd w:val="0"/>
              <w:snapToGrid w:val="0"/>
              <w:spacing w:before="0" w:beforeAutospacing="0" w:after="0" w:afterAutospacing="0" w:line="440" w:lineRule="exact"/>
              <w:ind w:left="0" w:leftChars="0" w:right="0" w:firstLine="0" w:firstLineChars="0"/>
              <w:jc w:val="center"/>
              <w:rPr>
                <w:rFonts w:hint="default"/>
                <w:b/>
                <w:szCs w:val="21"/>
                <w:highlight w:val="none"/>
              </w:rPr>
            </w:pPr>
            <w:r>
              <w:rPr>
                <w:rFonts w:hint="default"/>
                <w:b/>
                <w:szCs w:val="21"/>
                <w:highlight w:val="none"/>
              </w:rPr>
              <w:t>联系电话</w:t>
            </w:r>
          </w:p>
        </w:tc>
      </w:tr>
      <w:tr w14:paraId="2160F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3382" w:type="dxa"/>
            <w:vAlign w:val="center"/>
          </w:tcPr>
          <w:p w14:paraId="09B735A5">
            <w:pPr>
              <w:keepNext w:val="0"/>
              <w:keepLines w:val="0"/>
              <w:suppressLineNumbers w:val="0"/>
              <w:adjustRightInd w:val="0"/>
              <w:snapToGrid w:val="0"/>
              <w:spacing w:before="0" w:beforeAutospacing="0" w:after="0" w:afterAutospacing="0" w:line="440" w:lineRule="exact"/>
              <w:ind w:left="0" w:leftChars="0" w:right="0" w:firstLine="0" w:firstLineChars="0"/>
              <w:jc w:val="center"/>
              <w:rPr>
                <w:rFonts w:hint="default"/>
                <w:bCs/>
                <w:szCs w:val="21"/>
                <w:highlight w:val="none"/>
              </w:rPr>
            </w:pPr>
            <w:r>
              <w:rPr>
                <w:rFonts w:hint="eastAsia"/>
                <w:bCs/>
                <w:szCs w:val="21"/>
                <w:highlight w:val="none"/>
              </w:rPr>
              <w:t>江苏</w:t>
            </w:r>
            <w:r>
              <w:rPr>
                <w:rFonts w:hint="eastAsia"/>
                <w:bCs/>
                <w:szCs w:val="21"/>
                <w:highlight w:val="none"/>
                <w:lang w:val="en-US" w:eastAsia="zh-CN"/>
              </w:rPr>
              <w:t>方洋智能</w:t>
            </w:r>
            <w:r>
              <w:rPr>
                <w:rFonts w:hint="eastAsia"/>
                <w:bCs/>
                <w:szCs w:val="21"/>
                <w:highlight w:val="none"/>
              </w:rPr>
              <w:t>科技有限公司</w:t>
            </w:r>
          </w:p>
        </w:tc>
        <w:tc>
          <w:tcPr>
            <w:tcW w:w="1985" w:type="dxa"/>
            <w:vAlign w:val="center"/>
          </w:tcPr>
          <w:p w14:paraId="33A8382E">
            <w:pPr>
              <w:keepNext w:val="0"/>
              <w:keepLines w:val="0"/>
              <w:suppressLineNumbers w:val="0"/>
              <w:adjustRightInd w:val="0"/>
              <w:snapToGrid w:val="0"/>
              <w:spacing w:before="0" w:beforeAutospacing="0" w:after="0" w:afterAutospacing="0" w:line="440" w:lineRule="exact"/>
              <w:ind w:left="0" w:leftChars="0" w:right="0" w:firstLine="0" w:firstLineChars="0"/>
              <w:jc w:val="center"/>
              <w:rPr>
                <w:rFonts w:hint="default" w:eastAsia="宋体"/>
                <w:bCs/>
                <w:szCs w:val="21"/>
                <w:highlight w:val="none"/>
                <w:lang w:val="en-US" w:eastAsia="zh-CN"/>
              </w:rPr>
            </w:pPr>
            <w:r>
              <w:rPr>
                <w:rFonts w:hint="eastAsia"/>
                <w:bCs/>
                <w:szCs w:val="21"/>
                <w:highlight w:val="none"/>
                <w:lang w:val="en-US" w:eastAsia="zh-CN"/>
              </w:rPr>
              <w:t>技术客服</w:t>
            </w:r>
          </w:p>
        </w:tc>
        <w:tc>
          <w:tcPr>
            <w:tcW w:w="3155" w:type="dxa"/>
            <w:vAlign w:val="center"/>
          </w:tcPr>
          <w:p w14:paraId="73B159CD">
            <w:pPr>
              <w:keepNext w:val="0"/>
              <w:keepLines w:val="0"/>
              <w:suppressLineNumbers w:val="0"/>
              <w:adjustRightInd w:val="0"/>
              <w:snapToGrid w:val="0"/>
              <w:spacing w:before="0" w:beforeAutospacing="0" w:after="0" w:afterAutospacing="0" w:line="440" w:lineRule="exact"/>
              <w:ind w:left="0" w:leftChars="0" w:right="0" w:firstLine="0" w:firstLineChars="0"/>
              <w:jc w:val="center"/>
              <w:rPr>
                <w:rFonts w:hint="default"/>
                <w:bCs/>
                <w:szCs w:val="21"/>
                <w:highlight w:val="none"/>
              </w:rPr>
            </w:pPr>
            <w:r>
              <w:rPr>
                <w:rFonts w:hint="eastAsia"/>
                <w:bCs/>
                <w:szCs w:val="21"/>
                <w:highlight w:val="none"/>
              </w:rPr>
              <w:t>0518-82256705</w:t>
            </w:r>
          </w:p>
        </w:tc>
      </w:tr>
    </w:tbl>
    <w:p w14:paraId="5D95C215">
      <w:pPr>
        <w:shd w:val="clear"/>
        <w:adjustRightInd w:val="0"/>
        <w:snapToGrid w:val="0"/>
        <w:spacing w:line="360" w:lineRule="auto"/>
        <w:ind w:firstLine="420"/>
        <w:rPr>
          <w:rFonts w:hint="eastAsia" w:ascii="Times New Roman" w:cs="Times New Roman" w:hAnsiTheme="minorEastAsia" w:eastAsiaTheme="minorEastAsia"/>
          <w:bCs/>
          <w:color w:val="000000" w:themeColor="text1"/>
          <w:kern w:val="2"/>
          <w:sz w:val="21"/>
          <w:szCs w:val="21"/>
          <w:lang w:val="en-US" w:eastAsia="zh-CN" w:bidi="ar-SA"/>
        </w:rPr>
      </w:pPr>
    </w:p>
    <w:p w14:paraId="6BEDBFFA">
      <w:pPr>
        <w:shd w:val="clear"/>
        <w:adjustRightInd w:val="0"/>
        <w:snapToGrid w:val="0"/>
        <w:spacing w:line="360" w:lineRule="auto"/>
        <w:ind w:firstLine="420"/>
        <w:rPr>
          <w:szCs w:val="21"/>
          <w:highlight w:val="none"/>
        </w:rPr>
      </w:pPr>
      <w:r>
        <w:rPr>
          <w:rFonts w:hint="eastAsia" w:ascii="Times New Roman" w:cs="Times New Roman" w:hAnsiTheme="minorEastAsia" w:eastAsiaTheme="minorEastAsia"/>
          <w:bCs/>
          <w:color w:val="000000" w:themeColor="text1"/>
          <w:kern w:val="2"/>
          <w:sz w:val="21"/>
          <w:szCs w:val="21"/>
          <w:lang w:val="en-US" w:eastAsia="zh-CN" w:bidi="ar-SA"/>
        </w:rPr>
        <w:t>6.</w:t>
      </w:r>
      <w:r>
        <w:rPr>
          <w:rFonts w:hint="eastAsia"/>
          <w:sz w:val="21"/>
          <w:highlight w:val="none"/>
          <w:lang w:val="en-US" w:eastAsia="zh-CN"/>
        </w:rPr>
        <w:t>请各供应商制作（包括下载询价文件、上传响应文件）响应文件过程中避免使用其他单位、个人或公共电脑、网络，以免出现与其他供应商IP地址一致等不应当雷同的问题。</w:t>
      </w:r>
    </w:p>
    <w:p w14:paraId="2468B32C">
      <w:pPr>
        <w:widowControl/>
        <w:shd w:val="clear"/>
        <w:ind w:firstLine="0" w:firstLineChars="0"/>
        <w:jc w:val="left"/>
        <w:rPr>
          <w:rFonts w:eastAsia="黑体"/>
          <w:color w:val="000000" w:themeColor="text1"/>
          <w:sz w:val="36"/>
          <w:highlight w:val="none"/>
        </w:rPr>
      </w:pPr>
      <w:r>
        <w:rPr>
          <w:b/>
          <w:color w:val="000000" w:themeColor="text1"/>
          <w:highlight w:val="none"/>
        </w:rPr>
        <w:br w:type="page"/>
      </w:r>
    </w:p>
    <w:p w14:paraId="6938F47D">
      <w:pPr>
        <w:pStyle w:val="3"/>
        <w:shd w:val="clear"/>
        <w:spacing w:after="360" w:line="400" w:lineRule="atLeast"/>
        <w:ind w:firstLine="0" w:firstLineChars="0"/>
        <w:jc w:val="center"/>
        <w:rPr>
          <w:rFonts w:ascii="Times New Roman" w:hAnsi="Times New Roman"/>
          <w:b w:val="0"/>
          <w:color w:val="000000" w:themeColor="text1"/>
          <w:kern w:val="2"/>
          <w:szCs w:val="24"/>
          <w:highlight w:val="none"/>
        </w:rPr>
      </w:pPr>
      <w:bookmarkStart w:id="21" w:name="_Toc19176"/>
      <w:bookmarkStart w:id="22" w:name="_Toc20499"/>
      <w:r>
        <w:rPr>
          <w:rFonts w:ascii="Times New Roman" w:hAnsi="黑体"/>
          <w:b w:val="0"/>
          <w:color w:val="000000" w:themeColor="text1"/>
          <w:kern w:val="2"/>
          <w:szCs w:val="24"/>
          <w:highlight w:val="none"/>
        </w:rPr>
        <w:t>第二章</w:t>
      </w:r>
      <w:r>
        <w:rPr>
          <w:rFonts w:hint="eastAsia" w:ascii="Times New Roman" w:hAnsi="黑体"/>
          <w:b w:val="0"/>
          <w:color w:val="000000" w:themeColor="text1"/>
          <w:kern w:val="2"/>
          <w:szCs w:val="24"/>
          <w:highlight w:val="none"/>
        </w:rPr>
        <w:t xml:space="preserve"> 供应商</w:t>
      </w:r>
      <w:r>
        <w:rPr>
          <w:rFonts w:ascii="Times New Roman" w:hAnsi="黑体"/>
          <w:b w:val="0"/>
          <w:color w:val="000000" w:themeColor="text1"/>
          <w:kern w:val="2"/>
          <w:szCs w:val="24"/>
          <w:highlight w:val="none"/>
        </w:rPr>
        <w:t>须知</w:t>
      </w:r>
      <w:bookmarkEnd w:id="21"/>
      <w:bookmarkEnd w:id="22"/>
    </w:p>
    <w:p w14:paraId="53310A50">
      <w:pPr>
        <w:pStyle w:val="18"/>
        <w:shd w:val="clear"/>
        <w:ind w:firstLine="0" w:firstLineChars="0"/>
        <w:jc w:val="center"/>
        <w:rPr>
          <w:rFonts w:hAnsi="黑体"/>
          <w:b/>
          <w:bCs/>
          <w:color w:val="000000" w:themeColor="text1"/>
          <w:sz w:val="30"/>
          <w:szCs w:val="30"/>
          <w:highlight w:val="none"/>
        </w:rPr>
      </w:pPr>
      <w:r>
        <w:rPr>
          <w:rFonts w:hint="eastAsia" w:hAnsi="黑体"/>
          <w:b/>
          <w:bCs/>
          <w:color w:val="000000" w:themeColor="text1"/>
          <w:sz w:val="30"/>
          <w:szCs w:val="30"/>
          <w:highlight w:val="none"/>
        </w:rPr>
        <w:t>供应商</w:t>
      </w:r>
      <w:r>
        <w:rPr>
          <w:rFonts w:hAnsi="黑体"/>
          <w:b/>
          <w:bCs/>
          <w:color w:val="000000" w:themeColor="text1"/>
          <w:sz w:val="30"/>
          <w:szCs w:val="30"/>
          <w:highlight w:val="none"/>
        </w:rPr>
        <w:t>须知前附表</w:t>
      </w:r>
    </w:p>
    <w:tbl>
      <w:tblPr>
        <w:tblStyle w:val="49"/>
        <w:tblW w:w="90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2"/>
        <w:gridCol w:w="2269"/>
        <w:gridCol w:w="5581"/>
      </w:tblGrid>
      <w:tr w14:paraId="36613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jc w:val="center"/>
        </w:trPr>
        <w:tc>
          <w:tcPr>
            <w:tcW w:w="1212" w:type="dxa"/>
            <w:vAlign w:val="center"/>
          </w:tcPr>
          <w:p w14:paraId="06F01F76">
            <w:pPr>
              <w:keepNext w:val="0"/>
              <w:keepLines/>
              <w:widowControl/>
              <w:suppressLineNumbers w:val="0"/>
              <w:shd w:val="clear"/>
              <w:spacing w:before="0" w:beforeAutospacing="0" w:after="0" w:afterAutospacing="0" w:line="360" w:lineRule="exact"/>
              <w:ind w:left="0" w:right="0" w:firstLine="0" w:firstLineChars="0"/>
              <w:jc w:val="center"/>
              <w:rPr>
                <w:rFonts w:hint="default" w:ascii="宋体" w:hAnsi="宋体"/>
                <w:color w:val="000000" w:themeColor="text1"/>
                <w:szCs w:val="21"/>
                <w:highlight w:val="none"/>
              </w:rPr>
            </w:pPr>
            <w:r>
              <w:rPr>
                <w:rFonts w:hint="default" w:ascii="宋体" w:hAnsi="宋体"/>
                <w:color w:val="000000" w:themeColor="text1"/>
                <w:szCs w:val="21"/>
                <w:highlight w:val="none"/>
              </w:rPr>
              <w:t>条款号</w:t>
            </w:r>
          </w:p>
        </w:tc>
        <w:tc>
          <w:tcPr>
            <w:tcW w:w="2269" w:type="dxa"/>
            <w:vAlign w:val="center"/>
          </w:tcPr>
          <w:p w14:paraId="03CD2368">
            <w:pPr>
              <w:keepNext w:val="0"/>
              <w:keepLines/>
              <w:widowControl/>
              <w:suppressLineNumbers w:val="0"/>
              <w:shd w:val="clear"/>
              <w:spacing w:before="0" w:beforeAutospacing="0" w:after="0" w:afterAutospacing="0" w:line="360" w:lineRule="exact"/>
              <w:ind w:left="0" w:right="0" w:firstLine="0" w:firstLineChars="0"/>
              <w:jc w:val="center"/>
              <w:rPr>
                <w:rFonts w:hint="default" w:ascii="宋体" w:hAnsi="宋体"/>
                <w:color w:val="000000" w:themeColor="text1"/>
                <w:szCs w:val="21"/>
                <w:highlight w:val="none"/>
              </w:rPr>
            </w:pPr>
            <w:r>
              <w:rPr>
                <w:rFonts w:hint="default" w:ascii="宋体" w:hAnsi="宋体"/>
                <w:color w:val="000000" w:themeColor="text1"/>
                <w:szCs w:val="21"/>
                <w:highlight w:val="none"/>
              </w:rPr>
              <w:t>条款名称</w:t>
            </w:r>
          </w:p>
        </w:tc>
        <w:tc>
          <w:tcPr>
            <w:tcW w:w="5581" w:type="dxa"/>
            <w:vAlign w:val="center"/>
          </w:tcPr>
          <w:p w14:paraId="06A6E870">
            <w:pPr>
              <w:keepNext w:val="0"/>
              <w:keepLines/>
              <w:widowControl/>
              <w:suppressLineNumbers w:val="0"/>
              <w:shd w:val="clear"/>
              <w:spacing w:before="0" w:beforeAutospacing="0" w:after="0" w:afterAutospacing="0" w:line="360" w:lineRule="exact"/>
              <w:ind w:left="0" w:right="0" w:firstLine="0" w:firstLineChars="0"/>
              <w:jc w:val="center"/>
              <w:rPr>
                <w:rFonts w:hint="default" w:ascii="宋体" w:hAnsi="宋体"/>
                <w:color w:val="000000" w:themeColor="text1"/>
                <w:szCs w:val="21"/>
                <w:highlight w:val="none"/>
              </w:rPr>
            </w:pPr>
            <w:r>
              <w:rPr>
                <w:rFonts w:hint="default" w:ascii="宋体" w:hAnsi="宋体"/>
                <w:color w:val="000000" w:themeColor="text1"/>
                <w:szCs w:val="21"/>
                <w:highlight w:val="none"/>
              </w:rPr>
              <w:t>编列内容</w:t>
            </w:r>
          </w:p>
        </w:tc>
      </w:tr>
      <w:tr w14:paraId="75855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jc w:val="center"/>
        </w:trPr>
        <w:tc>
          <w:tcPr>
            <w:tcW w:w="1212" w:type="dxa"/>
            <w:vAlign w:val="center"/>
          </w:tcPr>
          <w:p w14:paraId="2570F7C5">
            <w:pPr>
              <w:keepNext w:val="0"/>
              <w:keepLines/>
              <w:widowControl/>
              <w:suppressLineNumbers w:val="0"/>
              <w:shd w:val="clear"/>
              <w:adjustRightInd w:val="0"/>
              <w:snapToGrid w:val="0"/>
              <w:spacing w:before="0" w:beforeAutospacing="0" w:after="0" w:afterAutospacing="0" w:line="360" w:lineRule="exact"/>
              <w:ind w:left="0" w:right="0" w:firstLine="0" w:firstLineChars="0"/>
              <w:jc w:val="center"/>
              <w:rPr>
                <w:rFonts w:hint="default" w:ascii="Times New Roman" w:hAnsi="Times New Roman" w:cs="Times New Roman" w:eastAsiaTheme="minorEastAsia"/>
                <w:color w:val="000000" w:themeColor="text1"/>
                <w:szCs w:val="21"/>
                <w:highlight w:val="none"/>
              </w:rPr>
            </w:pPr>
            <w:r>
              <w:rPr>
                <w:rFonts w:hint="default" w:ascii="Times New Roman" w:hAnsi="Times New Roman" w:cs="Times New Roman" w:eastAsiaTheme="minorEastAsia"/>
                <w:color w:val="000000" w:themeColor="text1"/>
                <w:szCs w:val="21"/>
                <w:highlight w:val="none"/>
              </w:rPr>
              <w:t>1.1.</w:t>
            </w:r>
            <w:r>
              <w:rPr>
                <w:rFonts w:hint="eastAsia" w:ascii="Times New Roman" w:hAnsi="Times New Roman" w:cs="Times New Roman" w:eastAsiaTheme="minorEastAsia"/>
                <w:color w:val="000000" w:themeColor="text1"/>
                <w:szCs w:val="21"/>
                <w:highlight w:val="none"/>
              </w:rPr>
              <w:t>1</w:t>
            </w:r>
          </w:p>
        </w:tc>
        <w:tc>
          <w:tcPr>
            <w:tcW w:w="2269" w:type="dxa"/>
            <w:vAlign w:val="center"/>
          </w:tcPr>
          <w:p w14:paraId="42F8C8ED">
            <w:pPr>
              <w:keepNext w:val="0"/>
              <w:keepLines/>
              <w:widowControl/>
              <w:suppressLineNumbers w:val="0"/>
              <w:shd w:val="clear"/>
              <w:spacing w:before="0" w:beforeAutospacing="0" w:after="0" w:afterAutospacing="0" w:line="360" w:lineRule="exact"/>
              <w:ind w:left="0" w:right="0" w:firstLine="0" w:firstLineChars="0"/>
              <w:rPr>
                <w:rFonts w:hint="default" w:ascii="宋体" w:hAnsi="宋体"/>
                <w:color w:val="000000" w:themeColor="text1"/>
                <w:szCs w:val="21"/>
                <w:highlight w:val="none"/>
              </w:rPr>
            </w:pPr>
            <w:r>
              <w:rPr>
                <w:rFonts w:hint="eastAsia" w:ascii="宋体" w:hAnsi="宋体"/>
                <w:color w:val="000000" w:themeColor="text1"/>
                <w:szCs w:val="21"/>
                <w:highlight w:val="none"/>
              </w:rPr>
              <w:t>采购</w:t>
            </w:r>
            <w:r>
              <w:rPr>
                <w:rFonts w:hint="default" w:ascii="宋体" w:hAnsi="宋体"/>
                <w:color w:val="000000" w:themeColor="text1"/>
                <w:szCs w:val="21"/>
                <w:highlight w:val="none"/>
              </w:rPr>
              <w:t>人</w:t>
            </w:r>
          </w:p>
        </w:tc>
        <w:tc>
          <w:tcPr>
            <w:tcW w:w="5581" w:type="dxa"/>
            <w:vAlign w:val="center"/>
          </w:tcPr>
          <w:p w14:paraId="510DD861">
            <w:pPr>
              <w:keepNext w:val="0"/>
              <w:keepLines/>
              <w:widowControl/>
              <w:suppressLineNumbers w:val="0"/>
              <w:shd w:val="clear"/>
              <w:spacing w:before="0" w:beforeAutospacing="0" w:after="0" w:afterAutospacing="0" w:line="360" w:lineRule="exact"/>
              <w:ind w:left="0" w:right="0" w:firstLine="0" w:firstLineChars="0"/>
              <w:rPr>
                <w:rFonts w:hint="eastAsia" w:ascii="宋体" w:hAnsi="宋体" w:eastAsia="宋体"/>
                <w:color w:val="000000" w:themeColor="text1"/>
                <w:szCs w:val="21"/>
                <w:highlight w:val="none"/>
                <w:lang w:eastAsia="zh-CN"/>
              </w:rPr>
            </w:pPr>
            <w:r>
              <w:rPr>
                <w:rFonts w:hint="eastAsia" w:ascii="宋体" w:hAnsi="宋体"/>
                <w:color w:val="000000" w:themeColor="text1"/>
                <w:szCs w:val="21"/>
                <w:highlight w:val="none"/>
              </w:rPr>
              <w:t>名  称：</w:t>
            </w:r>
            <w:r>
              <w:rPr>
                <w:rFonts w:hint="eastAsia" w:ascii="宋体" w:hAnsi="宋体"/>
                <w:color w:val="000000" w:themeColor="text1"/>
                <w:szCs w:val="21"/>
                <w:highlight w:val="none"/>
                <w:lang w:eastAsia="zh-CN"/>
              </w:rPr>
              <w:t>连云港徐圩城建工程有限公司</w:t>
            </w:r>
          </w:p>
          <w:p w14:paraId="3607A43D">
            <w:pPr>
              <w:keepNext w:val="0"/>
              <w:keepLines/>
              <w:widowControl/>
              <w:suppressLineNumbers w:val="0"/>
              <w:shd w:val="clear"/>
              <w:spacing w:before="0" w:beforeAutospacing="0" w:after="0" w:afterAutospacing="0" w:line="360" w:lineRule="exact"/>
              <w:ind w:left="0" w:right="0" w:firstLine="0" w:firstLineChars="0"/>
              <w:rPr>
                <w:rFonts w:hint="eastAsia" w:ascii="宋体" w:hAnsi="宋体"/>
                <w:color w:val="000000" w:themeColor="text1"/>
                <w:szCs w:val="21"/>
                <w:highlight w:val="none"/>
              </w:rPr>
            </w:pPr>
            <w:r>
              <w:rPr>
                <w:rFonts w:hint="eastAsia" w:ascii="宋体" w:hAnsi="宋体"/>
                <w:color w:val="000000" w:themeColor="text1"/>
                <w:szCs w:val="21"/>
                <w:highlight w:val="none"/>
              </w:rPr>
              <w:t>地  址：连云港市连云区徐圩新区应急救援指挥中心F楼</w:t>
            </w:r>
          </w:p>
          <w:p w14:paraId="5C698500">
            <w:pPr>
              <w:keepNext w:val="0"/>
              <w:keepLines/>
              <w:widowControl/>
              <w:suppressLineNumbers w:val="0"/>
              <w:shd w:val="clear"/>
              <w:spacing w:before="0" w:beforeAutospacing="0" w:after="0" w:afterAutospacing="0" w:line="360" w:lineRule="exact"/>
              <w:ind w:left="0" w:right="0" w:firstLine="0" w:firstLineChars="0"/>
              <w:rPr>
                <w:rFonts w:hint="eastAsia" w:ascii="宋体" w:hAnsi="宋体" w:eastAsia="宋体"/>
                <w:color w:val="000000" w:themeColor="text1"/>
                <w:szCs w:val="21"/>
                <w:highlight w:val="none"/>
                <w:lang w:eastAsia="zh-CN"/>
              </w:rPr>
            </w:pPr>
            <w:r>
              <w:rPr>
                <w:rFonts w:hint="eastAsia" w:ascii="宋体" w:hAnsi="宋体"/>
                <w:color w:val="000000" w:themeColor="text1"/>
                <w:szCs w:val="21"/>
                <w:highlight w:val="none"/>
              </w:rPr>
              <w:t>联系人：</w:t>
            </w:r>
            <w:r>
              <w:rPr>
                <w:rFonts w:hint="eastAsia" w:ascii="宋体" w:hAnsi="宋体"/>
                <w:color w:val="000000" w:themeColor="text1"/>
                <w:szCs w:val="21"/>
                <w:highlight w:val="none"/>
                <w:lang w:val="en-US" w:eastAsia="zh-CN"/>
              </w:rPr>
              <w:t>樊</w:t>
            </w:r>
            <w:r>
              <w:rPr>
                <w:rFonts w:hint="eastAsia" w:ascii="宋体" w:hAnsi="宋体"/>
                <w:color w:val="000000" w:themeColor="text1"/>
                <w:szCs w:val="21"/>
                <w:highlight w:val="none"/>
                <w:lang w:eastAsia="zh-CN"/>
              </w:rPr>
              <w:t>工</w:t>
            </w:r>
          </w:p>
          <w:p w14:paraId="78D617A3">
            <w:pPr>
              <w:keepNext w:val="0"/>
              <w:keepLines/>
              <w:widowControl/>
              <w:suppressLineNumbers w:val="0"/>
              <w:shd w:val="clear"/>
              <w:spacing w:before="0" w:beforeAutospacing="0" w:after="0" w:afterAutospacing="0" w:line="360" w:lineRule="exact"/>
              <w:ind w:left="0" w:right="0" w:firstLine="0" w:firstLineChars="0"/>
              <w:rPr>
                <w:rFonts w:hint="default" w:ascii="宋体" w:hAnsi="宋体"/>
                <w:color w:val="000000" w:themeColor="text1"/>
                <w:szCs w:val="21"/>
                <w:highlight w:val="none"/>
                <w:lang w:val="en-US" w:eastAsia="zh-CN"/>
              </w:rPr>
            </w:pPr>
            <w:r>
              <w:rPr>
                <w:rFonts w:hint="eastAsia" w:ascii="宋体" w:hAnsi="宋体"/>
                <w:color w:val="000000" w:themeColor="text1"/>
                <w:szCs w:val="21"/>
                <w:highlight w:val="none"/>
              </w:rPr>
              <w:t>电  话：</w:t>
            </w:r>
            <w:r>
              <w:rPr>
                <w:rFonts w:hint="eastAsia" w:ascii="宋体" w:hAnsi="宋体"/>
                <w:color w:val="000000" w:themeColor="text1"/>
                <w:szCs w:val="21"/>
                <w:highlight w:val="none"/>
                <w:lang w:val="en-US" w:eastAsia="zh-CN"/>
              </w:rPr>
              <w:t>15895920590</w:t>
            </w:r>
          </w:p>
        </w:tc>
      </w:tr>
      <w:tr w14:paraId="5C74F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12" w:type="dxa"/>
            <w:vAlign w:val="center"/>
          </w:tcPr>
          <w:p w14:paraId="25573662">
            <w:pPr>
              <w:keepNext w:val="0"/>
              <w:keepLines/>
              <w:widowControl/>
              <w:suppressLineNumbers w:val="0"/>
              <w:shd w:val="clear"/>
              <w:adjustRightInd w:val="0"/>
              <w:snapToGrid w:val="0"/>
              <w:spacing w:before="0" w:beforeAutospacing="0" w:after="0" w:afterAutospacing="0" w:line="360" w:lineRule="exact"/>
              <w:ind w:left="0" w:right="0" w:firstLine="0" w:firstLineChars="0"/>
              <w:jc w:val="center"/>
              <w:rPr>
                <w:rFonts w:hint="eastAsia" w:ascii="Times New Roman" w:hAnsi="Times New Roman" w:cs="Times New Roman" w:eastAsiaTheme="minorEastAsia"/>
                <w:color w:val="000000" w:themeColor="text1"/>
                <w:szCs w:val="21"/>
                <w:highlight w:val="none"/>
                <w:lang w:eastAsia="zh-CN"/>
              </w:rPr>
            </w:pPr>
            <w:r>
              <w:rPr>
                <w:rFonts w:hint="default" w:ascii="Times New Roman" w:hAnsi="Times New Roman" w:cs="Times New Roman" w:eastAsiaTheme="minorEastAsia"/>
                <w:color w:val="000000" w:themeColor="text1"/>
                <w:szCs w:val="21"/>
                <w:highlight w:val="none"/>
              </w:rPr>
              <w:t>1.1.</w:t>
            </w:r>
            <w:r>
              <w:rPr>
                <w:rFonts w:hint="eastAsia" w:ascii="Times New Roman" w:hAnsi="Times New Roman" w:cs="Times New Roman" w:eastAsiaTheme="minorEastAsia"/>
                <w:color w:val="000000" w:themeColor="text1"/>
                <w:szCs w:val="21"/>
                <w:highlight w:val="none"/>
                <w:lang w:val="en-US" w:eastAsia="zh-CN"/>
              </w:rPr>
              <w:t>2</w:t>
            </w:r>
          </w:p>
        </w:tc>
        <w:tc>
          <w:tcPr>
            <w:tcW w:w="2269" w:type="dxa"/>
            <w:vAlign w:val="center"/>
          </w:tcPr>
          <w:p w14:paraId="7F01F358">
            <w:pPr>
              <w:keepNext w:val="0"/>
              <w:keepLines/>
              <w:widowControl/>
              <w:suppressLineNumbers w:val="0"/>
              <w:shd w:val="clear"/>
              <w:spacing w:before="0" w:beforeAutospacing="0" w:after="0" w:afterAutospacing="0" w:line="360" w:lineRule="exact"/>
              <w:ind w:left="0" w:right="0" w:firstLine="0" w:firstLineChars="0"/>
              <w:rPr>
                <w:rFonts w:hint="default" w:ascii="宋体" w:hAnsi="宋体"/>
                <w:color w:val="000000" w:themeColor="text1"/>
                <w:szCs w:val="21"/>
                <w:highlight w:val="none"/>
              </w:rPr>
            </w:pPr>
            <w:r>
              <w:rPr>
                <w:rFonts w:hint="default" w:ascii="宋体" w:hAnsi="宋体"/>
                <w:color w:val="000000" w:themeColor="text1"/>
                <w:szCs w:val="21"/>
                <w:highlight w:val="none"/>
              </w:rPr>
              <w:t>项目名称</w:t>
            </w:r>
          </w:p>
        </w:tc>
        <w:tc>
          <w:tcPr>
            <w:tcW w:w="5581" w:type="dxa"/>
            <w:vAlign w:val="center"/>
          </w:tcPr>
          <w:p w14:paraId="5ABBF4A3">
            <w:pPr>
              <w:keepNext w:val="0"/>
              <w:keepLines/>
              <w:widowControl/>
              <w:suppressLineNumbers w:val="0"/>
              <w:shd w:val="clear"/>
              <w:spacing w:before="0" w:beforeAutospacing="0" w:after="0" w:afterAutospacing="0" w:line="360" w:lineRule="exact"/>
              <w:ind w:left="0" w:right="0" w:firstLine="0" w:firstLineChars="0"/>
              <w:rPr>
                <w:rFonts w:hint="eastAsia" w:ascii="宋体" w:hAnsi="宋体" w:eastAsia="宋体"/>
                <w:color w:val="000000" w:themeColor="text1"/>
                <w:szCs w:val="21"/>
                <w:highlight w:val="none"/>
                <w:lang w:eastAsia="zh-CN"/>
              </w:rPr>
            </w:pPr>
            <w:r>
              <w:rPr>
                <w:rFonts w:hint="eastAsia" w:ascii="宋体" w:hAnsi="宋体"/>
                <w:color w:val="000000" w:themeColor="text1"/>
                <w:szCs w:val="21"/>
                <w:highlight w:val="none"/>
                <w:lang w:eastAsia="zh-CN"/>
              </w:rPr>
              <w:t>物流集散道路工程EPC项目-道路工程劳务</w:t>
            </w:r>
          </w:p>
        </w:tc>
      </w:tr>
      <w:tr w14:paraId="55C72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12" w:type="dxa"/>
            <w:vAlign w:val="center"/>
          </w:tcPr>
          <w:p w14:paraId="5B1571AC">
            <w:pPr>
              <w:keepNext w:val="0"/>
              <w:keepLines/>
              <w:widowControl/>
              <w:suppressLineNumbers w:val="0"/>
              <w:shd w:val="clear"/>
              <w:adjustRightInd w:val="0"/>
              <w:snapToGrid w:val="0"/>
              <w:spacing w:before="0" w:beforeAutospacing="0" w:after="0" w:afterAutospacing="0" w:line="360" w:lineRule="exact"/>
              <w:ind w:left="0" w:right="0" w:firstLine="0" w:firstLineChars="0"/>
              <w:jc w:val="center"/>
              <w:rPr>
                <w:rFonts w:hint="default" w:ascii="Times New Roman" w:hAnsi="Times New Roman" w:cs="Times New Roman" w:eastAsiaTheme="minorEastAsia"/>
                <w:color w:val="000000" w:themeColor="text1"/>
                <w:szCs w:val="21"/>
                <w:highlight w:val="none"/>
              </w:rPr>
            </w:pPr>
            <w:r>
              <w:rPr>
                <w:rFonts w:hint="eastAsia" w:ascii="Times New Roman" w:hAnsi="Times New Roman" w:cs="Times New Roman" w:eastAsiaTheme="minorEastAsia"/>
                <w:color w:val="000000" w:themeColor="text1"/>
                <w:szCs w:val="21"/>
                <w:highlight w:val="none"/>
              </w:rPr>
              <w:t>1.1.3</w:t>
            </w:r>
          </w:p>
        </w:tc>
        <w:tc>
          <w:tcPr>
            <w:tcW w:w="2269" w:type="dxa"/>
            <w:vAlign w:val="center"/>
          </w:tcPr>
          <w:p w14:paraId="2AB9566F">
            <w:pPr>
              <w:keepNext w:val="0"/>
              <w:keepLines/>
              <w:widowControl/>
              <w:suppressLineNumbers w:val="0"/>
              <w:shd w:val="clear"/>
              <w:spacing w:before="0" w:beforeAutospacing="0" w:after="0" w:afterAutospacing="0" w:line="360" w:lineRule="exact"/>
              <w:ind w:left="0" w:right="0" w:firstLine="0" w:firstLineChars="0"/>
              <w:rPr>
                <w:rFonts w:hint="default" w:ascii="宋体" w:hAnsi="宋体"/>
                <w:color w:val="000000" w:themeColor="text1"/>
                <w:szCs w:val="21"/>
                <w:highlight w:val="none"/>
              </w:rPr>
            </w:pPr>
            <w:r>
              <w:rPr>
                <w:rFonts w:hint="eastAsia" w:ascii="宋体" w:hAnsi="宋体"/>
                <w:color w:val="000000" w:themeColor="text1"/>
                <w:szCs w:val="21"/>
                <w:highlight w:val="none"/>
              </w:rPr>
              <w:t>建设地点</w:t>
            </w:r>
          </w:p>
        </w:tc>
        <w:tc>
          <w:tcPr>
            <w:tcW w:w="5581" w:type="dxa"/>
            <w:vAlign w:val="center"/>
          </w:tcPr>
          <w:p w14:paraId="2ADD5113">
            <w:pPr>
              <w:keepNext w:val="0"/>
              <w:keepLines/>
              <w:widowControl/>
              <w:suppressLineNumbers w:val="0"/>
              <w:shd w:val="clear"/>
              <w:spacing w:before="0" w:beforeAutospacing="0" w:after="0" w:afterAutospacing="0" w:line="360" w:lineRule="exact"/>
              <w:ind w:left="0" w:right="0" w:firstLine="0" w:firstLineChars="0"/>
              <w:rPr>
                <w:rFonts w:hint="eastAsia" w:ascii="宋体" w:hAnsi="宋体" w:eastAsia="宋体"/>
                <w:color w:val="000000" w:themeColor="text1"/>
                <w:szCs w:val="21"/>
                <w:highlight w:val="none"/>
                <w:lang w:eastAsia="zh-CN"/>
              </w:rPr>
            </w:pPr>
            <w:r>
              <w:rPr>
                <w:rFonts w:hint="eastAsia" w:ascii="微软雅黑" w:hAnsi="微软雅黑" w:cs="微软雅黑"/>
                <w:szCs w:val="21"/>
                <w:highlight w:val="none"/>
                <w:u w:val="none"/>
                <w:lang w:eastAsia="zh-CN" w:bidi="ar"/>
              </w:rPr>
              <w:t>连云港市徐圩新区</w:t>
            </w:r>
          </w:p>
        </w:tc>
      </w:tr>
      <w:tr w14:paraId="09471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12" w:type="dxa"/>
            <w:vAlign w:val="center"/>
          </w:tcPr>
          <w:p w14:paraId="7D0F7A4A">
            <w:pPr>
              <w:keepNext w:val="0"/>
              <w:keepLines/>
              <w:widowControl/>
              <w:suppressLineNumbers w:val="0"/>
              <w:shd w:val="clear"/>
              <w:adjustRightInd w:val="0"/>
              <w:snapToGrid w:val="0"/>
              <w:spacing w:before="0" w:beforeAutospacing="0" w:after="0" w:afterAutospacing="0" w:line="360" w:lineRule="exact"/>
              <w:ind w:left="0" w:right="0" w:firstLine="0" w:firstLineChars="0"/>
              <w:jc w:val="center"/>
              <w:rPr>
                <w:rFonts w:hint="default" w:ascii="Times New Roman" w:hAnsi="Times New Roman" w:cs="Times New Roman" w:eastAsiaTheme="minorEastAsia"/>
                <w:color w:val="000000" w:themeColor="text1"/>
                <w:szCs w:val="21"/>
                <w:highlight w:val="none"/>
              </w:rPr>
            </w:pPr>
            <w:r>
              <w:rPr>
                <w:rFonts w:hint="default" w:ascii="Times New Roman" w:hAnsi="Times New Roman" w:cs="Times New Roman" w:eastAsiaTheme="minorEastAsia"/>
                <w:color w:val="000000" w:themeColor="text1"/>
                <w:szCs w:val="21"/>
                <w:highlight w:val="none"/>
              </w:rPr>
              <w:t>1.2.1</w:t>
            </w:r>
          </w:p>
        </w:tc>
        <w:tc>
          <w:tcPr>
            <w:tcW w:w="2269" w:type="dxa"/>
            <w:vAlign w:val="center"/>
          </w:tcPr>
          <w:p w14:paraId="01F916FA">
            <w:pPr>
              <w:keepNext w:val="0"/>
              <w:keepLines/>
              <w:widowControl/>
              <w:suppressLineNumbers w:val="0"/>
              <w:shd w:val="clear"/>
              <w:spacing w:before="0" w:beforeAutospacing="0" w:after="0" w:afterAutospacing="0" w:line="360" w:lineRule="exact"/>
              <w:ind w:left="0" w:right="0" w:firstLine="0" w:firstLineChars="0"/>
              <w:rPr>
                <w:rFonts w:hint="default" w:ascii="宋体" w:hAnsi="宋体"/>
                <w:color w:val="000000" w:themeColor="text1"/>
                <w:szCs w:val="21"/>
                <w:highlight w:val="none"/>
              </w:rPr>
            </w:pPr>
            <w:r>
              <w:rPr>
                <w:rFonts w:hint="default" w:ascii="宋体" w:hAnsi="宋体"/>
                <w:color w:val="000000" w:themeColor="text1"/>
                <w:szCs w:val="21"/>
                <w:highlight w:val="none"/>
              </w:rPr>
              <w:t>资金来源</w:t>
            </w:r>
          </w:p>
        </w:tc>
        <w:tc>
          <w:tcPr>
            <w:tcW w:w="5581" w:type="dxa"/>
            <w:vAlign w:val="center"/>
          </w:tcPr>
          <w:p w14:paraId="066090F9">
            <w:pPr>
              <w:keepNext w:val="0"/>
              <w:keepLines/>
              <w:widowControl/>
              <w:suppressLineNumbers w:val="0"/>
              <w:shd w:val="clear"/>
              <w:spacing w:before="0" w:beforeAutospacing="0" w:after="0" w:afterAutospacing="0" w:line="360" w:lineRule="exact"/>
              <w:ind w:left="0" w:right="0" w:firstLine="0" w:firstLineChars="0"/>
              <w:rPr>
                <w:rFonts w:hint="eastAsia" w:ascii="宋体" w:hAnsi="宋体" w:eastAsia="宋体"/>
                <w:color w:val="000000" w:themeColor="text1"/>
                <w:szCs w:val="21"/>
                <w:highlight w:val="none"/>
                <w:lang w:eastAsia="zh-CN"/>
              </w:rPr>
            </w:pPr>
            <w:r>
              <w:rPr>
                <w:rFonts w:hint="eastAsia" w:ascii="宋体" w:hAnsi="宋体"/>
                <w:color w:val="000000" w:themeColor="text1"/>
                <w:szCs w:val="21"/>
                <w:highlight w:val="none"/>
                <w:lang w:eastAsia="zh-CN"/>
              </w:rPr>
              <w:t>自筹</w:t>
            </w:r>
          </w:p>
        </w:tc>
      </w:tr>
      <w:tr w14:paraId="343C0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12" w:type="dxa"/>
            <w:vAlign w:val="center"/>
          </w:tcPr>
          <w:p w14:paraId="1D4409D0">
            <w:pPr>
              <w:keepNext w:val="0"/>
              <w:keepLines/>
              <w:widowControl/>
              <w:suppressLineNumbers w:val="0"/>
              <w:shd w:val="clear"/>
              <w:adjustRightInd w:val="0"/>
              <w:snapToGrid w:val="0"/>
              <w:spacing w:before="0" w:beforeAutospacing="0" w:after="0" w:afterAutospacing="0" w:line="360" w:lineRule="exact"/>
              <w:ind w:left="0" w:right="0" w:firstLine="0" w:firstLineChars="0"/>
              <w:jc w:val="center"/>
              <w:rPr>
                <w:rFonts w:hint="default" w:ascii="Times New Roman" w:hAnsi="Times New Roman" w:cs="Times New Roman" w:eastAsiaTheme="minorEastAsia"/>
                <w:color w:val="000000" w:themeColor="text1"/>
                <w:szCs w:val="21"/>
                <w:highlight w:val="none"/>
              </w:rPr>
            </w:pPr>
            <w:r>
              <w:rPr>
                <w:rFonts w:hint="default" w:ascii="Times New Roman" w:hAnsi="Times New Roman" w:cs="Times New Roman" w:eastAsiaTheme="minorEastAsia"/>
                <w:color w:val="000000" w:themeColor="text1"/>
                <w:szCs w:val="21"/>
                <w:highlight w:val="none"/>
              </w:rPr>
              <w:t>1.2.2</w:t>
            </w:r>
          </w:p>
        </w:tc>
        <w:tc>
          <w:tcPr>
            <w:tcW w:w="2269" w:type="dxa"/>
            <w:vAlign w:val="center"/>
          </w:tcPr>
          <w:p w14:paraId="3D58002D">
            <w:pPr>
              <w:keepNext w:val="0"/>
              <w:keepLines/>
              <w:widowControl/>
              <w:suppressLineNumbers w:val="0"/>
              <w:shd w:val="clear"/>
              <w:spacing w:before="0" w:beforeAutospacing="0" w:after="0" w:afterAutospacing="0" w:line="360" w:lineRule="exact"/>
              <w:ind w:left="0" w:right="0" w:firstLine="0" w:firstLineChars="0"/>
              <w:rPr>
                <w:rFonts w:hint="default" w:ascii="宋体" w:hAnsi="宋体"/>
                <w:color w:val="000000" w:themeColor="text1"/>
                <w:szCs w:val="21"/>
                <w:highlight w:val="none"/>
              </w:rPr>
            </w:pPr>
            <w:r>
              <w:rPr>
                <w:rFonts w:hint="default" w:ascii="宋体" w:hAnsi="宋体"/>
                <w:color w:val="000000" w:themeColor="text1"/>
                <w:szCs w:val="21"/>
                <w:highlight w:val="none"/>
              </w:rPr>
              <w:t>出资比例</w:t>
            </w:r>
          </w:p>
        </w:tc>
        <w:tc>
          <w:tcPr>
            <w:tcW w:w="5581" w:type="dxa"/>
            <w:vAlign w:val="center"/>
          </w:tcPr>
          <w:p w14:paraId="0B47D690">
            <w:pPr>
              <w:keepNext w:val="0"/>
              <w:keepLines/>
              <w:widowControl/>
              <w:suppressLineNumbers w:val="0"/>
              <w:shd w:val="clear"/>
              <w:spacing w:before="0" w:beforeAutospacing="0" w:after="0" w:afterAutospacing="0" w:line="360" w:lineRule="exact"/>
              <w:ind w:left="0" w:right="0" w:firstLine="0" w:firstLineChars="0"/>
              <w:rPr>
                <w:rFonts w:hint="default" w:ascii="宋体" w:hAnsi="宋体" w:eastAsia="宋体"/>
                <w:color w:val="000000" w:themeColor="text1"/>
                <w:szCs w:val="21"/>
                <w:highlight w:val="none"/>
                <w:lang w:val="en-US" w:eastAsia="zh-CN"/>
              </w:rPr>
            </w:pPr>
            <w:r>
              <w:rPr>
                <w:rFonts w:hint="eastAsia" w:ascii="宋体" w:hAnsi="宋体"/>
                <w:color w:val="000000" w:themeColor="text1"/>
                <w:szCs w:val="21"/>
                <w:highlight w:val="none"/>
                <w:lang w:val="en-US" w:eastAsia="zh-CN"/>
              </w:rPr>
              <w:t>100%</w:t>
            </w:r>
          </w:p>
        </w:tc>
      </w:tr>
      <w:tr w14:paraId="2FF6C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12" w:type="dxa"/>
            <w:vAlign w:val="center"/>
          </w:tcPr>
          <w:p w14:paraId="268835E3">
            <w:pPr>
              <w:keepNext w:val="0"/>
              <w:keepLines/>
              <w:widowControl/>
              <w:suppressLineNumbers w:val="0"/>
              <w:shd w:val="clear"/>
              <w:adjustRightInd w:val="0"/>
              <w:snapToGrid w:val="0"/>
              <w:spacing w:before="0" w:beforeAutospacing="0" w:after="0" w:afterAutospacing="0" w:line="360" w:lineRule="exact"/>
              <w:ind w:left="0" w:right="0" w:firstLine="0" w:firstLineChars="0"/>
              <w:jc w:val="center"/>
              <w:rPr>
                <w:rFonts w:hint="default" w:ascii="Times New Roman" w:hAnsi="Times New Roman" w:cs="Times New Roman" w:eastAsiaTheme="minorEastAsia"/>
                <w:color w:val="000000" w:themeColor="text1"/>
                <w:szCs w:val="21"/>
                <w:highlight w:val="none"/>
              </w:rPr>
            </w:pPr>
            <w:r>
              <w:rPr>
                <w:rFonts w:hint="default" w:ascii="Times New Roman" w:hAnsi="Times New Roman" w:cs="Times New Roman" w:eastAsiaTheme="minorEastAsia"/>
                <w:color w:val="000000" w:themeColor="text1"/>
                <w:szCs w:val="21"/>
                <w:highlight w:val="none"/>
              </w:rPr>
              <w:t>1.2.3</w:t>
            </w:r>
          </w:p>
        </w:tc>
        <w:tc>
          <w:tcPr>
            <w:tcW w:w="2269" w:type="dxa"/>
            <w:vAlign w:val="center"/>
          </w:tcPr>
          <w:p w14:paraId="2095CF49">
            <w:pPr>
              <w:keepNext w:val="0"/>
              <w:keepLines/>
              <w:widowControl/>
              <w:suppressLineNumbers w:val="0"/>
              <w:shd w:val="clear"/>
              <w:spacing w:before="0" w:beforeAutospacing="0" w:after="0" w:afterAutospacing="0" w:line="360" w:lineRule="exact"/>
              <w:ind w:left="0" w:right="0" w:firstLine="0" w:firstLineChars="0"/>
              <w:rPr>
                <w:rFonts w:hint="default" w:ascii="宋体" w:hAnsi="宋体"/>
                <w:color w:val="000000" w:themeColor="text1"/>
                <w:szCs w:val="21"/>
                <w:highlight w:val="none"/>
              </w:rPr>
            </w:pPr>
            <w:r>
              <w:rPr>
                <w:rFonts w:hint="default" w:ascii="宋体" w:hAnsi="宋体"/>
                <w:color w:val="000000" w:themeColor="text1"/>
                <w:szCs w:val="21"/>
                <w:highlight w:val="none"/>
              </w:rPr>
              <w:t>资金落实情况</w:t>
            </w:r>
          </w:p>
        </w:tc>
        <w:tc>
          <w:tcPr>
            <w:tcW w:w="5581" w:type="dxa"/>
            <w:vAlign w:val="center"/>
          </w:tcPr>
          <w:p w14:paraId="391A9C99">
            <w:pPr>
              <w:keepNext w:val="0"/>
              <w:keepLines/>
              <w:widowControl/>
              <w:suppressLineNumbers w:val="0"/>
              <w:shd w:val="clear"/>
              <w:spacing w:before="0" w:beforeAutospacing="0" w:after="0" w:afterAutospacing="0" w:line="360" w:lineRule="exact"/>
              <w:ind w:left="0" w:right="0" w:firstLine="0" w:firstLineChars="0"/>
              <w:rPr>
                <w:rFonts w:hint="eastAsia" w:ascii="宋体" w:hAnsi="宋体" w:eastAsia="宋体"/>
                <w:color w:val="000000" w:themeColor="text1"/>
                <w:szCs w:val="21"/>
                <w:highlight w:val="none"/>
                <w:lang w:eastAsia="zh-CN"/>
              </w:rPr>
            </w:pPr>
            <w:r>
              <w:rPr>
                <w:rFonts w:hint="eastAsia" w:ascii="宋体" w:hAnsi="宋体"/>
                <w:color w:val="000000" w:themeColor="text1"/>
                <w:szCs w:val="21"/>
                <w:highlight w:val="none"/>
                <w:lang w:eastAsia="zh-CN"/>
              </w:rPr>
              <w:t>已落实</w:t>
            </w:r>
          </w:p>
        </w:tc>
      </w:tr>
      <w:tr w14:paraId="4D14F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12" w:type="dxa"/>
            <w:vAlign w:val="center"/>
          </w:tcPr>
          <w:p w14:paraId="56607E53">
            <w:pPr>
              <w:keepNext w:val="0"/>
              <w:keepLines/>
              <w:widowControl/>
              <w:suppressLineNumbers w:val="0"/>
              <w:shd w:val="clear"/>
              <w:adjustRightInd w:val="0"/>
              <w:snapToGrid w:val="0"/>
              <w:spacing w:before="0" w:beforeAutospacing="0" w:after="0" w:afterAutospacing="0" w:line="360" w:lineRule="exact"/>
              <w:ind w:left="0" w:right="0" w:firstLine="0" w:firstLineChars="0"/>
              <w:jc w:val="center"/>
              <w:rPr>
                <w:rFonts w:hint="default" w:ascii="Times New Roman" w:hAnsi="Times New Roman" w:cs="Times New Roman" w:eastAsiaTheme="minorEastAsia"/>
                <w:color w:val="000000" w:themeColor="text1"/>
                <w:szCs w:val="21"/>
                <w:highlight w:val="none"/>
              </w:rPr>
            </w:pPr>
            <w:r>
              <w:rPr>
                <w:rFonts w:hint="eastAsia" w:ascii="Times New Roman" w:hAnsi="Times New Roman" w:cs="Times New Roman" w:eastAsiaTheme="minorEastAsia"/>
                <w:color w:val="000000" w:themeColor="text1"/>
                <w:szCs w:val="21"/>
                <w:highlight w:val="none"/>
              </w:rPr>
              <w:t>1</w:t>
            </w:r>
            <w:r>
              <w:rPr>
                <w:rFonts w:hint="default" w:ascii="Times New Roman" w:hAnsi="Times New Roman" w:cs="Times New Roman" w:eastAsiaTheme="minorEastAsia"/>
                <w:color w:val="000000" w:themeColor="text1"/>
                <w:szCs w:val="21"/>
                <w:highlight w:val="none"/>
              </w:rPr>
              <w:t>.2.4</w:t>
            </w:r>
          </w:p>
        </w:tc>
        <w:tc>
          <w:tcPr>
            <w:tcW w:w="2269" w:type="dxa"/>
            <w:vAlign w:val="center"/>
          </w:tcPr>
          <w:p w14:paraId="04C99512">
            <w:pPr>
              <w:keepNext w:val="0"/>
              <w:keepLines/>
              <w:widowControl/>
              <w:suppressLineNumbers w:val="0"/>
              <w:shd w:val="clear"/>
              <w:spacing w:before="0" w:beforeAutospacing="0" w:after="0" w:afterAutospacing="0" w:line="360" w:lineRule="exact"/>
              <w:ind w:left="0" w:right="0" w:firstLine="0" w:firstLineChars="0"/>
              <w:rPr>
                <w:rFonts w:hint="default" w:ascii="宋体" w:hAnsi="宋体"/>
                <w:color w:val="000000" w:themeColor="text1"/>
                <w:szCs w:val="21"/>
                <w:highlight w:val="none"/>
              </w:rPr>
            </w:pPr>
            <w:r>
              <w:rPr>
                <w:rFonts w:hint="eastAsia" w:ascii="宋体" w:hAnsi="宋体"/>
                <w:color w:val="000000" w:themeColor="text1"/>
                <w:szCs w:val="21"/>
                <w:highlight w:val="none"/>
              </w:rPr>
              <w:t>工程款支付方式</w:t>
            </w:r>
          </w:p>
        </w:tc>
        <w:tc>
          <w:tcPr>
            <w:tcW w:w="5581" w:type="dxa"/>
            <w:vAlign w:val="center"/>
          </w:tcPr>
          <w:p w14:paraId="6FEC2A84">
            <w:pPr>
              <w:keepNext w:val="0"/>
              <w:keepLines/>
              <w:widowControl/>
              <w:suppressLineNumbers w:val="0"/>
              <w:shd w:val="clear"/>
              <w:spacing w:before="0" w:beforeAutospacing="0" w:after="0" w:afterAutospacing="0" w:line="360" w:lineRule="exact"/>
              <w:ind w:left="0" w:right="0" w:firstLine="0" w:firstLineChars="0"/>
              <w:rPr>
                <w:rFonts w:hint="default" w:ascii="宋体" w:hAnsi="宋体"/>
                <w:color w:val="000000" w:themeColor="text1"/>
                <w:szCs w:val="21"/>
                <w:highlight w:val="none"/>
              </w:rPr>
            </w:pPr>
            <w:r>
              <w:rPr>
                <w:rFonts w:hint="eastAsia" w:ascii="宋体" w:hAnsi="宋体"/>
                <w:b/>
                <w:bCs/>
                <w:color w:val="000000" w:themeColor="text1"/>
                <w:szCs w:val="21"/>
                <w:highlight w:val="none"/>
                <w:lang w:val="en-US" w:eastAsia="zh-CN"/>
              </w:rPr>
              <w:t>无预付款，合同完工后付至合同内已完工程价款的 85%，验收合格一年后付至结算审计金额的 97%（如审计完成，则付至合同内已完工程价款的 97%），质保期满一年后付至最终审计金额的 100%。</w:t>
            </w:r>
          </w:p>
        </w:tc>
      </w:tr>
      <w:tr w14:paraId="25285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1212" w:type="dxa"/>
            <w:vAlign w:val="center"/>
          </w:tcPr>
          <w:p w14:paraId="22CD74B8">
            <w:pPr>
              <w:keepNext w:val="0"/>
              <w:keepLines/>
              <w:widowControl/>
              <w:suppressLineNumbers w:val="0"/>
              <w:shd w:val="clear"/>
              <w:spacing w:before="0" w:beforeAutospacing="0" w:after="0" w:afterAutospacing="0" w:line="360" w:lineRule="exact"/>
              <w:ind w:left="0" w:right="0" w:firstLine="0" w:firstLineChars="0"/>
              <w:jc w:val="center"/>
              <w:rPr>
                <w:rFonts w:hint="default" w:ascii="宋体" w:hAnsi="宋体"/>
                <w:color w:val="000000" w:themeColor="text1"/>
                <w:szCs w:val="21"/>
                <w:highlight w:val="none"/>
              </w:rPr>
            </w:pPr>
            <w:r>
              <w:rPr>
                <w:rFonts w:hint="default" w:ascii="Times New Roman" w:hAnsi="Times New Roman" w:cs="Times New Roman" w:eastAsiaTheme="minorEastAsia"/>
                <w:color w:val="000000" w:themeColor="text1"/>
                <w:szCs w:val="21"/>
                <w:highlight w:val="none"/>
              </w:rPr>
              <w:t>1.3.1</w:t>
            </w:r>
          </w:p>
        </w:tc>
        <w:tc>
          <w:tcPr>
            <w:tcW w:w="2269" w:type="dxa"/>
            <w:vAlign w:val="center"/>
          </w:tcPr>
          <w:p w14:paraId="02010B6E">
            <w:pPr>
              <w:keepNext w:val="0"/>
              <w:keepLines/>
              <w:widowControl/>
              <w:suppressLineNumbers w:val="0"/>
              <w:shd w:val="clear"/>
              <w:spacing w:before="0" w:beforeAutospacing="0" w:after="0" w:afterAutospacing="0" w:line="360" w:lineRule="exact"/>
              <w:ind w:left="0" w:right="0" w:firstLine="0" w:firstLineChars="0"/>
              <w:rPr>
                <w:rFonts w:hint="default" w:ascii="宋体" w:hAnsi="宋体"/>
                <w:color w:val="000000" w:themeColor="text1"/>
                <w:szCs w:val="21"/>
                <w:highlight w:val="none"/>
              </w:rPr>
            </w:pPr>
            <w:r>
              <w:rPr>
                <w:rFonts w:hint="eastAsia" w:ascii="宋体" w:hAnsi="宋体"/>
                <w:color w:val="000000" w:themeColor="text1"/>
                <w:szCs w:val="21"/>
                <w:highlight w:val="none"/>
              </w:rPr>
              <w:t>采购</w:t>
            </w:r>
            <w:r>
              <w:rPr>
                <w:rFonts w:hint="default" w:ascii="宋体" w:hAnsi="宋体"/>
                <w:color w:val="000000" w:themeColor="text1"/>
                <w:szCs w:val="21"/>
                <w:highlight w:val="none"/>
              </w:rPr>
              <w:t>范围</w:t>
            </w:r>
          </w:p>
        </w:tc>
        <w:tc>
          <w:tcPr>
            <w:tcW w:w="5581" w:type="dxa"/>
            <w:vAlign w:val="center"/>
          </w:tcPr>
          <w:p w14:paraId="110246BC">
            <w:pPr>
              <w:pStyle w:val="18"/>
              <w:keepNext w:val="0"/>
              <w:keepLines/>
              <w:widowControl/>
              <w:suppressLineNumbers w:val="0"/>
              <w:shd w:val="clear"/>
              <w:spacing w:before="0" w:beforeAutospacing="0" w:after="0" w:afterAutospacing="0" w:line="360" w:lineRule="exact"/>
              <w:ind w:left="0" w:right="0" w:firstLine="0" w:firstLineChars="0"/>
              <w:rPr>
                <w:rFonts w:hint="eastAsia" w:eastAsia="宋体"/>
                <w:color w:val="000000" w:themeColor="text1"/>
                <w:szCs w:val="21"/>
                <w:highlight w:val="none"/>
                <w:lang w:eastAsia="zh-CN"/>
              </w:rPr>
            </w:pPr>
            <w:r>
              <w:rPr>
                <w:rFonts w:hint="eastAsia" w:hAnsiTheme="minorEastAsia" w:eastAsiaTheme="minorEastAsia"/>
                <w:color w:val="000000" w:themeColor="text1"/>
                <w:szCs w:val="21"/>
                <w:highlight w:val="none"/>
                <w:u w:val="none"/>
                <w:lang w:eastAsia="zh-CN"/>
              </w:rPr>
              <w:t>物流集散道路工程EPC项目-道路工程劳务，</w:t>
            </w:r>
            <w:r>
              <w:rPr>
                <w:rFonts w:hint="eastAsia" w:hAnsiTheme="minorEastAsia" w:eastAsiaTheme="minorEastAsia"/>
                <w:color w:val="000000" w:themeColor="text1"/>
                <w:szCs w:val="21"/>
                <w:highlight w:val="none"/>
                <w:u w:val="none"/>
                <w:lang w:val="en-US" w:eastAsia="zh-CN"/>
              </w:rPr>
              <w:t>包括道路工程劳务、排水工程劳务、消防工程劳务等，</w:t>
            </w:r>
            <w:r>
              <w:rPr>
                <w:rFonts w:hint="eastAsia" w:hAnsiTheme="minorEastAsia" w:eastAsiaTheme="minorEastAsia"/>
                <w:color w:val="000000" w:themeColor="text1"/>
                <w:szCs w:val="21"/>
                <w:highlight w:val="none"/>
                <w:u w:val="none"/>
                <w:lang w:eastAsia="zh-CN"/>
              </w:rPr>
              <w:t>具体详见工程量清单。</w:t>
            </w:r>
          </w:p>
        </w:tc>
      </w:tr>
      <w:tr w14:paraId="22481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212" w:type="dxa"/>
            <w:tcBorders>
              <w:top w:val="single" w:color="auto" w:sz="4" w:space="0"/>
              <w:left w:val="single" w:color="auto" w:sz="4" w:space="0"/>
              <w:bottom w:val="single" w:color="auto" w:sz="4" w:space="0"/>
              <w:right w:val="single" w:color="auto" w:sz="4" w:space="0"/>
            </w:tcBorders>
            <w:vAlign w:val="center"/>
          </w:tcPr>
          <w:p w14:paraId="3E63963B">
            <w:pPr>
              <w:keepNext w:val="0"/>
              <w:keepLines/>
              <w:widowControl/>
              <w:suppressLineNumbers w:val="0"/>
              <w:shd w:val="clear"/>
              <w:adjustRightInd w:val="0"/>
              <w:snapToGrid w:val="0"/>
              <w:spacing w:before="0" w:beforeAutospacing="0" w:after="0" w:afterAutospacing="0" w:line="360" w:lineRule="exact"/>
              <w:ind w:left="0" w:right="0" w:firstLine="0" w:firstLineChars="0"/>
              <w:jc w:val="center"/>
              <w:rPr>
                <w:rFonts w:hint="default" w:eastAsiaTheme="minorEastAsia"/>
                <w:color w:val="000000" w:themeColor="text1"/>
                <w:szCs w:val="21"/>
                <w:highlight w:val="none"/>
              </w:rPr>
            </w:pPr>
            <w:r>
              <w:rPr>
                <w:rFonts w:hint="default" w:eastAsiaTheme="minorEastAsia"/>
                <w:color w:val="000000" w:themeColor="text1"/>
                <w:szCs w:val="21"/>
                <w:highlight w:val="none"/>
              </w:rPr>
              <w:t>1.3.2</w:t>
            </w:r>
          </w:p>
        </w:tc>
        <w:tc>
          <w:tcPr>
            <w:tcW w:w="2269" w:type="dxa"/>
            <w:tcBorders>
              <w:top w:val="single" w:color="auto" w:sz="4" w:space="0"/>
              <w:left w:val="single" w:color="auto" w:sz="4" w:space="0"/>
              <w:bottom w:val="single" w:color="auto" w:sz="4" w:space="0"/>
              <w:right w:val="single" w:color="auto" w:sz="4" w:space="0"/>
            </w:tcBorders>
            <w:vAlign w:val="center"/>
          </w:tcPr>
          <w:p w14:paraId="59D65DDA">
            <w:pPr>
              <w:keepNext w:val="0"/>
              <w:keepLines/>
              <w:widowControl/>
              <w:suppressLineNumbers w:val="0"/>
              <w:shd w:val="clear"/>
              <w:spacing w:before="0" w:beforeAutospacing="0" w:after="0" w:afterAutospacing="0" w:line="360" w:lineRule="exact"/>
              <w:ind w:left="0" w:right="0" w:firstLine="0" w:firstLineChars="0"/>
              <w:rPr>
                <w:rFonts w:hint="default" w:eastAsiaTheme="minorEastAsia"/>
                <w:color w:val="000000" w:themeColor="text1"/>
                <w:szCs w:val="21"/>
                <w:highlight w:val="none"/>
              </w:rPr>
            </w:pPr>
            <w:r>
              <w:rPr>
                <w:rFonts w:hint="default" w:hAnsiTheme="minorEastAsia" w:eastAsiaTheme="minorEastAsia"/>
                <w:color w:val="000000" w:themeColor="text1"/>
                <w:szCs w:val="21"/>
                <w:highlight w:val="none"/>
              </w:rPr>
              <w:t>计划工期</w:t>
            </w:r>
          </w:p>
        </w:tc>
        <w:tc>
          <w:tcPr>
            <w:tcW w:w="5581" w:type="dxa"/>
            <w:tcBorders>
              <w:top w:val="single" w:color="auto" w:sz="4" w:space="0"/>
              <w:left w:val="single" w:color="auto" w:sz="4" w:space="0"/>
              <w:bottom w:val="single" w:color="auto" w:sz="4" w:space="0"/>
              <w:right w:val="single" w:color="auto" w:sz="4" w:space="0"/>
            </w:tcBorders>
            <w:shd w:val="clear" w:color="auto" w:fill="auto"/>
            <w:vAlign w:val="center"/>
          </w:tcPr>
          <w:p w14:paraId="435FF3F2">
            <w:pPr>
              <w:keepNext w:val="0"/>
              <w:keepLines/>
              <w:widowControl/>
              <w:suppressLineNumbers w:val="0"/>
              <w:spacing w:before="0" w:beforeAutospacing="0" w:after="0" w:afterAutospacing="0" w:line="360" w:lineRule="exact"/>
              <w:ind w:left="0" w:right="0" w:firstLine="0" w:firstLineChars="0"/>
              <w:rPr>
                <w:rFonts w:hint="default" w:ascii="Times New Roman" w:hAnsi="Times New Roman" w:cs="Times New Roman" w:eastAsiaTheme="minorEastAsia"/>
                <w:color w:val="000000" w:themeColor="text1"/>
                <w:kern w:val="0"/>
                <w:sz w:val="21"/>
                <w:szCs w:val="21"/>
                <w:highlight w:val="none"/>
                <w:lang w:val="en-US" w:eastAsia="zh-CN" w:bidi="ar-SA"/>
              </w:rPr>
            </w:pPr>
            <w:r>
              <w:rPr>
                <w:rFonts w:hint="eastAsia" w:eastAsiaTheme="minorEastAsia"/>
                <w:b/>
                <w:bCs/>
                <w:color w:val="000000" w:themeColor="text1"/>
                <w:szCs w:val="21"/>
                <w:highlight w:val="none"/>
                <w:u w:val="single"/>
                <w:lang w:val="en-US" w:eastAsia="zh-CN"/>
              </w:rPr>
              <w:t>120</w:t>
            </w:r>
            <w:r>
              <w:rPr>
                <w:rFonts w:hint="eastAsia" w:eastAsiaTheme="minorEastAsia"/>
                <w:b/>
                <w:bCs/>
                <w:color w:val="000000" w:themeColor="text1"/>
                <w:szCs w:val="21"/>
                <w:highlight w:val="none"/>
              </w:rPr>
              <w:t>日历天</w:t>
            </w:r>
            <w:r>
              <w:rPr>
                <w:rFonts w:hint="eastAsia" w:eastAsiaTheme="minorEastAsia"/>
                <w:color w:val="000000" w:themeColor="text1"/>
                <w:szCs w:val="21"/>
                <w:highlight w:val="none"/>
                <w:lang w:eastAsia="zh-CN"/>
              </w:rPr>
              <w:t>，</w:t>
            </w:r>
            <w:r>
              <w:rPr>
                <w:rFonts w:hint="default" w:hAnsiTheme="minorEastAsia" w:eastAsiaTheme="minorEastAsia"/>
                <w:color w:val="000000" w:themeColor="text1"/>
                <w:szCs w:val="21"/>
                <w:highlight w:val="none"/>
              </w:rPr>
              <w:t>实际开始时间以采购人通知为准</w:t>
            </w:r>
          </w:p>
        </w:tc>
      </w:tr>
      <w:tr w14:paraId="1B245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12" w:type="dxa"/>
            <w:tcBorders>
              <w:top w:val="single" w:color="auto" w:sz="4" w:space="0"/>
              <w:left w:val="single" w:color="auto" w:sz="4" w:space="0"/>
              <w:bottom w:val="single" w:color="auto" w:sz="4" w:space="0"/>
              <w:right w:val="single" w:color="auto" w:sz="4" w:space="0"/>
            </w:tcBorders>
            <w:vAlign w:val="center"/>
          </w:tcPr>
          <w:p w14:paraId="026167DB">
            <w:pPr>
              <w:keepNext w:val="0"/>
              <w:keepLines/>
              <w:widowControl/>
              <w:suppressLineNumbers w:val="0"/>
              <w:shd w:val="clear"/>
              <w:adjustRightInd w:val="0"/>
              <w:snapToGrid w:val="0"/>
              <w:spacing w:before="0" w:beforeAutospacing="0" w:after="0" w:afterAutospacing="0" w:line="360" w:lineRule="exact"/>
              <w:ind w:left="0" w:right="0" w:firstLine="0" w:firstLineChars="0"/>
              <w:jc w:val="center"/>
              <w:rPr>
                <w:rFonts w:hint="default" w:eastAsiaTheme="minorEastAsia"/>
                <w:color w:val="000000" w:themeColor="text1"/>
                <w:szCs w:val="21"/>
                <w:highlight w:val="none"/>
              </w:rPr>
            </w:pPr>
            <w:r>
              <w:rPr>
                <w:rFonts w:hint="default" w:eastAsiaTheme="minorEastAsia"/>
                <w:color w:val="000000" w:themeColor="text1"/>
                <w:szCs w:val="21"/>
                <w:highlight w:val="none"/>
              </w:rPr>
              <w:t>1.3.3</w:t>
            </w:r>
          </w:p>
        </w:tc>
        <w:tc>
          <w:tcPr>
            <w:tcW w:w="2269" w:type="dxa"/>
            <w:tcBorders>
              <w:top w:val="single" w:color="auto" w:sz="4" w:space="0"/>
              <w:left w:val="single" w:color="auto" w:sz="4" w:space="0"/>
              <w:bottom w:val="single" w:color="auto" w:sz="4" w:space="0"/>
              <w:right w:val="single" w:color="auto" w:sz="4" w:space="0"/>
            </w:tcBorders>
            <w:vAlign w:val="center"/>
          </w:tcPr>
          <w:p w14:paraId="484BE27B">
            <w:pPr>
              <w:keepNext w:val="0"/>
              <w:keepLines/>
              <w:widowControl/>
              <w:suppressLineNumbers w:val="0"/>
              <w:shd w:val="clear"/>
              <w:adjustRightInd w:val="0"/>
              <w:snapToGrid w:val="0"/>
              <w:spacing w:before="0" w:beforeAutospacing="0" w:after="0" w:afterAutospacing="0" w:line="360" w:lineRule="exact"/>
              <w:ind w:left="0" w:right="0" w:firstLine="0" w:firstLineChars="0"/>
              <w:rPr>
                <w:rFonts w:hint="default" w:eastAsiaTheme="minorEastAsia"/>
                <w:color w:val="000000" w:themeColor="text1"/>
                <w:szCs w:val="21"/>
                <w:highlight w:val="none"/>
              </w:rPr>
            </w:pPr>
            <w:r>
              <w:rPr>
                <w:rFonts w:hint="default" w:hAnsiTheme="minorEastAsia" w:eastAsiaTheme="minorEastAsia"/>
                <w:color w:val="000000" w:themeColor="text1"/>
                <w:szCs w:val="21"/>
                <w:highlight w:val="none"/>
              </w:rPr>
              <w:t>质量要求</w:t>
            </w:r>
          </w:p>
        </w:tc>
        <w:tc>
          <w:tcPr>
            <w:tcW w:w="5581" w:type="dxa"/>
            <w:tcBorders>
              <w:top w:val="single" w:color="auto" w:sz="4" w:space="0"/>
              <w:left w:val="single" w:color="auto" w:sz="4" w:space="0"/>
              <w:bottom w:val="single" w:color="auto" w:sz="4" w:space="0"/>
              <w:right w:val="single" w:color="auto" w:sz="4" w:space="0"/>
            </w:tcBorders>
            <w:vAlign w:val="center"/>
          </w:tcPr>
          <w:p w14:paraId="4643C6BC">
            <w:pPr>
              <w:keepNext w:val="0"/>
              <w:keepLines/>
              <w:widowControl/>
              <w:suppressLineNumbers w:val="0"/>
              <w:shd w:val="clear"/>
              <w:adjustRightInd w:val="0"/>
              <w:snapToGrid w:val="0"/>
              <w:spacing w:before="0" w:beforeAutospacing="0" w:after="0" w:afterAutospacing="0" w:line="360" w:lineRule="exact"/>
              <w:ind w:left="0" w:right="0" w:firstLine="0" w:firstLineChars="0"/>
              <w:rPr>
                <w:rFonts w:hint="default" w:eastAsiaTheme="minorEastAsia"/>
                <w:color w:val="000000" w:themeColor="text1"/>
                <w:szCs w:val="21"/>
                <w:highlight w:val="none"/>
              </w:rPr>
            </w:pPr>
            <w:r>
              <w:rPr>
                <w:rFonts w:hint="eastAsia" w:hAnsiTheme="minorEastAsia" w:eastAsiaTheme="minorEastAsia"/>
                <w:color w:val="auto"/>
                <w:szCs w:val="21"/>
                <w:highlight w:val="none"/>
                <w:u w:val="none"/>
              </w:rPr>
              <w:t>验收合格，符合现行国家有关工程质量验收规范和标准的要求</w:t>
            </w:r>
          </w:p>
        </w:tc>
      </w:tr>
      <w:tr w14:paraId="255E6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12" w:type="dxa"/>
            <w:tcBorders>
              <w:top w:val="single" w:color="auto" w:sz="4" w:space="0"/>
              <w:left w:val="single" w:color="auto" w:sz="4" w:space="0"/>
              <w:bottom w:val="single" w:color="auto" w:sz="4" w:space="0"/>
              <w:right w:val="single" w:color="auto" w:sz="4" w:space="0"/>
            </w:tcBorders>
            <w:vAlign w:val="center"/>
          </w:tcPr>
          <w:p w14:paraId="0F12099C">
            <w:pPr>
              <w:keepNext w:val="0"/>
              <w:keepLines/>
              <w:widowControl/>
              <w:suppressLineNumbers w:val="0"/>
              <w:shd w:val="clear"/>
              <w:adjustRightInd w:val="0"/>
              <w:snapToGrid w:val="0"/>
              <w:spacing w:before="0" w:beforeAutospacing="0" w:after="0" w:afterAutospacing="0" w:line="360" w:lineRule="exact"/>
              <w:ind w:left="0" w:right="0" w:firstLine="0" w:firstLineChars="0"/>
              <w:jc w:val="center"/>
              <w:rPr>
                <w:rFonts w:hint="default" w:eastAsiaTheme="minorEastAsia"/>
                <w:color w:val="000000" w:themeColor="text1"/>
                <w:szCs w:val="21"/>
                <w:highlight w:val="none"/>
              </w:rPr>
            </w:pPr>
            <w:r>
              <w:rPr>
                <w:rFonts w:hint="default" w:eastAsiaTheme="minorEastAsia"/>
                <w:color w:val="000000" w:themeColor="text1"/>
                <w:szCs w:val="21"/>
                <w:highlight w:val="none"/>
              </w:rPr>
              <w:t>1.4.1</w:t>
            </w:r>
          </w:p>
        </w:tc>
        <w:tc>
          <w:tcPr>
            <w:tcW w:w="2269" w:type="dxa"/>
            <w:tcBorders>
              <w:top w:val="single" w:color="auto" w:sz="4" w:space="0"/>
              <w:left w:val="single" w:color="auto" w:sz="4" w:space="0"/>
              <w:bottom w:val="single" w:color="auto" w:sz="4" w:space="0"/>
              <w:right w:val="single" w:color="auto" w:sz="4" w:space="0"/>
            </w:tcBorders>
            <w:vAlign w:val="center"/>
          </w:tcPr>
          <w:p w14:paraId="2E90FF1B">
            <w:pPr>
              <w:keepNext w:val="0"/>
              <w:keepLines/>
              <w:widowControl/>
              <w:suppressLineNumbers w:val="0"/>
              <w:shd w:val="clear"/>
              <w:adjustRightInd w:val="0"/>
              <w:snapToGrid w:val="0"/>
              <w:spacing w:before="0" w:beforeAutospacing="0" w:after="0" w:afterAutospacing="0" w:line="360" w:lineRule="exact"/>
              <w:ind w:left="0" w:right="0" w:firstLine="0" w:firstLineChars="0"/>
              <w:rPr>
                <w:rFonts w:hint="default" w:eastAsiaTheme="minorEastAsia"/>
                <w:color w:val="000000" w:themeColor="text1"/>
                <w:szCs w:val="21"/>
                <w:highlight w:val="none"/>
              </w:rPr>
            </w:pPr>
            <w:r>
              <w:rPr>
                <w:rFonts w:hint="eastAsia" w:hAnsiTheme="minorEastAsia" w:eastAsiaTheme="minorEastAsia"/>
                <w:color w:val="000000" w:themeColor="text1"/>
                <w:szCs w:val="21"/>
                <w:highlight w:val="none"/>
              </w:rPr>
              <w:t>供应商</w:t>
            </w:r>
            <w:r>
              <w:rPr>
                <w:rFonts w:hint="default" w:hAnsiTheme="minorEastAsia" w:eastAsiaTheme="minorEastAsia"/>
                <w:color w:val="000000" w:themeColor="text1"/>
                <w:szCs w:val="21"/>
                <w:highlight w:val="none"/>
              </w:rPr>
              <w:t>资格要求</w:t>
            </w:r>
          </w:p>
        </w:tc>
        <w:tc>
          <w:tcPr>
            <w:tcW w:w="5581" w:type="dxa"/>
            <w:tcBorders>
              <w:top w:val="single" w:color="auto" w:sz="4" w:space="0"/>
              <w:left w:val="single" w:color="auto" w:sz="4" w:space="0"/>
              <w:bottom w:val="single" w:color="auto" w:sz="4" w:space="0"/>
              <w:right w:val="single" w:color="auto" w:sz="4" w:space="0"/>
            </w:tcBorders>
            <w:vAlign w:val="center"/>
          </w:tcPr>
          <w:p w14:paraId="6AF65696">
            <w:pPr>
              <w:keepNext w:val="0"/>
              <w:keepLines/>
              <w:widowControl/>
              <w:suppressLineNumbers w:val="0"/>
              <w:shd w:val="clear"/>
              <w:adjustRightInd w:val="0"/>
              <w:snapToGrid w:val="0"/>
              <w:spacing w:before="0" w:beforeAutospacing="0" w:after="0" w:afterAutospacing="0" w:line="360" w:lineRule="exact"/>
              <w:ind w:left="0" w:right="0" w:firstLine="0" w:firstLineChars="0"/>
              <w:rPr>
                <w:rFonts w:hint="default" w:eastAsiaTheme="minorEastAsia"/>
                <w:color w:val="000000" w:themeColor="text1"/>
                <w:szCs w:val="21"/>
                <w:highlight w:val="none"/>
              </w:rPr>
            </w:pPr>
            <w:r>
              <w:rPr>
                <w:rFonts w:hint="default" w:hAnsiTheme="minorEastAsia" w:eastAsiaTheme="minorEastAsia"/>
                <w:color w:val="000000" w:themeColor="text1"/>
                <w:szCs w:val="21"/>
                <w:highlight w:val="none"/>
              </w:rPr>
              <w:t>详见</w:t>
            </w:r>
            <w:r>
              <w:rPr>
                <w:rFonts w:hint="eastAsia" w:hAnsiTheme="minorEastAsia" w:eastAsiaTheme="minorEastAsia"/>
                <w:color w:val="000000" w:themeColor="text1"/>
                <w:szCs w:val="21"/>
                <w:highlight w:val="none"/>
              </w:rPr>
              <w:t>竞争性谈判</w:t>
            </w:r>
            <w:r>
              <w:rPr>
                <w:rFonts w:hint="default" w:hAnsiTheme="minorEastAsia" w:eastAsiaTheme="minorEastAsia"/>
                <w:color w:val="000000" w:themeColor="text1"/>
                <w:szCs w:val="21"/>
                <w:highlight w:val="none"/>
              </w:rPr>
              <w:t>公告</w:t>
            </w:r>
          </w:p>
        </w:tc>
      </w:tr>
      <w:tr w14:paraId="0151D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12" w:type="dxa"/>
            <w:tcBorders>
              <w:top w:val="single" w:color="auto" w:sz="4" w:space="0"/>
              <w:left w:val="single" w:color="auto" w:sz="4" w:space="0"/>
              <w:bottom w:val="single" w:color="auto" w:sz="4" w:space="0"/>
              <w:right w:val="single" w:color="auto" w:sz="4" w:space="0"/>
            </w:tcBorders>
            <w:vAlign w:val="center"/>
          </w:tcPr>
          <w:p w14:paraId="24D18B55">
            <w:pPr>
              <w:keepNext w:val="0"/>
              <w:keepLines/>
              <w:widowControl/>
              <w:suppressLineNumbers w:val="0"/>
              <w:shd w:val="clear"/>
              <w:adjustRightInd w:val="0"/>
              <w:snapToGrid w:val="0"/>
              <w:spacing w:before="0" w:beforeAutospacing="0" w:after="0" w:afterAutospacing="0" w:line="360" w:lineRule="exact"/>
              <w:ind w:left="0" w:right="0" w:firstLine="0" w:firstLineChars="0"/>
              <w:jc w:val="center"/>
              <w:rPr>
                <w:rFonts w:hint="default" w:eastAsiaTheme="minorEastAsia"/>
                <w:color w:val="000000" w:themeColor="text1"/>
                <w:szCs w:val="21"/>
                <w:highlight w:val="none"/>
              </w:rPr>
            </w:pPr>
            <w:r>
              <w:rPr>
                <w:rFonts w:hint="default" w:eastAsiaTheme="minorEastAsia"/>
                <w:color w:val="000000" w:themeColor="text1"/>
                <w:szCs w:val="21"/>
                <w:highlight w:val="none"/>
              </w:rPr>
              <w:t>1.4.2</w:t>
            </w:r>
          </w:p>
        </w:tc>
        <w:tc>
          <w:tcPr>
            <w:tcW w:w="2269" w:type="dxa"/>
            <w:tcBorders>
              <w:top w:val="single" w:color="auto" w:sz="4" w:space="0"/>
              <w:left w:val="single" w:color="auto" w:sz="4" w:space="0"/>
              <w:bottom w:val="single" w:color="auto" w:sz="4" w:space="0"/>
              <w:right w:val="single" w:color="auto" w:sz="4" w:space="0"/>
            </w:tcBorders>
            <w:vAlign w:val="center"/>
          </w:tcPr>
          <w:p w14:paraId="532592A6">
            <w:pPr>
              <w:keepNext w:val="0"/>
              <w:keepLines/>
              <w:widowControl/>
              <w:suppressLineNumbers w:val="0"/>
              <w:shd w:val="clear"/>
              <w:adjustRightInd w:val="0"/>
              <w:snapToGrid w:val="0"/>
              <w:spacing w:before="0" w:beforeAutospacing="0" w:after="0" w:afterAutospacing="0" w:line="360" w:lineRule="exact"/>
              <w:ind w:left="0" w:right="0" w:firstLine="0" w:firstLineChars="0"/>
              <w:rPr>
                <w:rFonts w:hint="default" w:eastAsiaTheme="minorEastAsia"/>
                <w:color w:val="000000" w:themeColor="text1"/>
                <w:szCs w:val="21"/>
                <w:highlight w:val="none"/>
              </w:rPr>
            </w:pPr>
            <w:r>
              <w:rPr>
                <w:rFonts w:hint="default" w:hAnsiTheme="minorEastAsia" w:eastAsiaTheme="minorEastAsia"/>
                <w:color w:val="000000" w:themeColor="text1"/>
                <w:szCs w:val="21"/>
                <w:highlight w:val="none"/>
              </w:rPr>
              <w:t>是否接受联合体</w:t>
            </w:r>
          </w:p>
        </w:tc>
        <w:tc>
          <w:tcPr>
            <w:tcW w:w="5581" w:type="dxa"/>
            <w:tcBorders>
              <w:top w:val="single" w:color="auto" w:sz="4" w:space="0"/>
              <w:left w:val="single" w:color="auto" w:sz="4" w:space="0"/>
              <w:bottom w:val="single" w:color="auto" w:sz="4" w:space="0"/>
              <w:right w:val="single" w:color="auto" w:sz="4" w:space="0"/>
            </w:tcBorders>
            <w:vAlign w:val="center"/>
          </w:tcPr>
          <w:p w14:paraId="307E8957">
            <w:pPr>
              <w:keepNext w:val="0"/>
              <w:keepLines/>
              <w:widowControl/>
              <w:suppressLineNumbers w:val="0"/>
              <w:shd w:val="clear"/>
              <w:adjustRightInd w:val="0"/>
              <w:snapToGrid w:val="0"/>
              <w:spacing w:before="0" w:beforeAutospacing="0" w:after="0" w:afterAutospacing="0" w:line="360" w:lineRule="exact"/>
              <w:ind w:left="0" w:right="0" w:firstLine="0" w:firstLineChars="0"/>
              <w:rPr>
                <w:rFonts w:hint="default" w:eastAsiaTheme="minorEastAsia"/>
                <w:color w:val="000000" w:themeColor="text1"/>
                <w:szCs w:val="21"/>
                <w:highlight w:val="none"/>
              </w:rPr>
            </w:pPr>
            <w:r>
              <w:rPr>
                <w:rFonts w:hint="default" w:hAnsiTheme="minorEastAsia" w:eastAsiaTheme="minorEastAsia"/>
                <w:color w:val="000000" w:themeColor="text1"/>
                <w:szCs w:val="21"/>
                <w:highlight w:val="none"/>
              </w:rPr>
              <w:t>详见</w:t>
            </w:r>
            <w:r>
              <w:rPr>
                <w:rFonts w:hint="eastAsia" w:hAnsiTheme="minorEastAsia" w:eastAsiaTheme="minorEastAsia"/>
                <w:color w:val="000000" w:themeColor="text1"/>
                <w:szCs w:val="21"/>
                <w:highlight w:val="none"/>
              </w:rPr>
              <w:t>竞争性谈判</w:t>
            </w:r>
            <w:r>
              <w:rPr>
                <w:rFonts w:hint="default" w:hAnsiTheme="minorEastAsia" w:eastAsiaTheme="minorEastAsia"/>
                <w:color w:val="000000" w:themeColor="text1"/>
                <w:szCs w:val="21"/>
                <w:highlight w:val="none"/>
              </w:rPr>
              <w:t>公告</w:t>
            </w:r>
          </w:p>
        </w:tc>
      </w:tr>
      <w:tr w14:paraId="6B3DA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12" w:type="dxa"/>
            <w:tcBorders>
              <w:top w:val="single" w:color="auto" w:sz="4" w:space="0"/>
              <w:left w:val="single" w:color="auto" w:sz="4" w:space="0"/>
              <w:bottom w:val="single" w:color="auto" w:sz="4" w:space="0"/>
              <w:right w:val="single" w:color="auto" w:sz="4" w:space="0"/>
            </w:tcBorders>
            <w:vAlign w:val="center"/>
          </w:tcPr>
          <w:p w14:paraId="1A22F28D">
            <w:pPr>
              <w:keepNext w:val="0"/>
              <w:keepLines/>
              <w:widowControl/>
              <w:suppressLineNumbers w:val="0"/>
              <w:shd w:val="clear"/>
              <w:adjustRightInd w:val="0"/>
              <w:snapToGrid w:val="0"/>
              <w:spacing w:before="0" w:beforeAutospacing="0" w:after="0" w:afterAutospacing="0" w:line="360" w:lineRule="exact"/>
              <w:ind w:left="0" w:right="0" w:firstLine="0" w:firstLineChars="0"/>
              <w:jc w:val="center"/>
              <w:rPr>
                <w:rFonts w:hint="default" w:eastAsiaTheme="minorEastAsia"/>
                <w:color w:val="000000" w:themeColor="text1"/>
                <w:szCs w:val="21"/>
                <w:highlight w:val="none"/>
              </w:rPr>
            </w:pPr>
            <w:r>
              <w:rPr>
                <w:rFonts w:hint="default" w:eastAsiaTheme="minorEastAsia"/>
                <w:color w:val="000000" w:themeColor="text1"/>
                <w:szCs w:val="21"/>
                <w:highlight w:val="none"/>
              </w:rPr>
              <w:t>1.9.1</w:t>
            </w:r>
          </w:p>
        </w:tc>
        <w:tc>
          <w:tcPr>
            <w:tcW w:w="2269" w:type="dxa"/>
            <w:tcBorders>
              <w:top w:val="single" w:color="auto" w:sz="4" w:space="0"/>
              <w:left w:val="single" w:color="auto" w:sz="4" w:space="0"/>
              <w:bottom w:val="single" w:color="auto" w:sz="4" w:space="0"/>
              <w:right w:val="single" w:color="auto" w:sz="4" w:space="0"/>
            </w:tcBorders>
            <w:vAlign w:val="center"/>
          </w:tcPr>
          <w:p w14:paraId="34B718F5">
            <w:pPr>
              <w:keepNext w:val="0"/>
              <w:keepLines/>
              <w:widowControl/>
              <w:suppressLineNumbers w:val="0"/>
              <w:shd w:val="clear"/>
              <w:adjustRightInd w:val="0"/>
              <w:snapToGrid w:val="0"/>
              <w:spacing w:before="0" w:beforeAutospacing="0" w:after="0" w:afterAutospacing="0" w:line="360" w:lineRule="exact"/>
              <w:ind w:left="0" w:right="0" w:firstLine="0" w:firstLineChars="0"/>
              <w:rPr>
                <w:rFonts w:hint="default" w:eastAsiaTheme="minorEastAsia"/>
                <w:color w:val="000000" w:themeColor="text1"/>
                <w:szCs w:val="21"/>
                <w:highlight w:val="none"/>
              </w:rPr>
            </w:pPr>
            <w:r>
              <w:rPr>
                <w:rFonts w:hint="default" w:hAnsiTheme="minorEastAsia" w:eastAsiaTheme="minorEastAsia"/>
                <w:color w:val="000000" w:themeColor="text1"/>
                <w:szCs w:val="21"/>
                <w:highlight w:val="none"/>
              </w:rPr>
              <w:t>踏勘现场</w:t>
            </w:r>
          </w:p>
        </w:tc>
        <w:tc>
          <w:tcPr>
            <w:tcW w:w="5581" w:type="dxa"/>
            <w:tcBorders>
              <w:top w:val="single" w:color="auto" w:sz="4" w:space="0"/>
              <w:left w:val="single" w:color="auto" w:sz="4" w:space="0"/>
              <w:bottom w:val="single" w:color="auto" w:sz="4" w:space="0"/>
              <w:right w:val="single" w:color="auto" w:sz="4" w:space="0"/>
            </w:tcBorders>
            <w:vAlign w:val="center"/>
          </w:tcPr>
          <w:p w14:paraId="35BB964C">
            <w:pPr>
              <w:keepNext w:val="0"/>
              <w:keepLines/>
              <w:widowControl/>
              <w:suppressLineNumbers w:val="0"/>
              <w:shd w:val="clear"/>
              <w:adjustRightInd w:val="0"/>
              <w:snapToGrid w:val="0"/>
              <w:spacing w:before="0" w:beforeAutospacing="0" w:after="0" w:afterAutospacing="0" w:line="360" w:lineRule="exact"/>
              <w:ind w:left="0" w:right="0" w:firstLine="0" w:firstLineChars="0"/>
              <w:rPr>
                <w:rFonts w:hint="default" w:eastAsiaTheme="minorEastAsia"/>
                <w:color w:val="000000" w:themeColor="text1"/>
                <w:szCs w:val="21"/>
                <w:highlight w:val="none"/>
              </w:rPr>
            </w:pPr>
            <w:r>
              <w:rPr>
                <w:rFonts w:hint="eastAsia" w:hAnsiTheme="minorEastAsia" w:eastAsiaTheme="minorEastAsia"/>
                <w:color w:val="000000" w:themeColor="text1"/>
                <w:szCs w:val="21"/>
                <w:highlight w:val="none"/>
              </w:rPr>
              <w:t>供应商</w:t>
            </w:r>
            <w:r>
              <w:rPr>
                <w:rFonts w:hint="default" w:hAnsiTheme="minorEastAsia" w:eastAsiaTheme="minorEastAsia"/>
                <w:color w:val="000000" w:themeColor="text1"/>
                <w:szCs w:val="21"/>
                <w:highlight w:val="none"/>
              </w:rPr>
              <w:t>自行踏勘</w:t>
            </w:r>
          </w:p>
        </w:tc>
      </w:tr>
      <w:tr w14:paraId="648EA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12" w:type="dxa"/>
            <w:tcBorders>
              <w:top w:val="single" w:color="auto" w:sz="4" w:space="0"/>
              <w:left w:val="single" w:color="auto" w:sz="4" w:space="0"/>
              <w:bottom w:val="single" w:color="auto" w:sz="4" w:space="0"/>
              <w:right w:val="single" w:color="auto" w:sz="4" w:space="0"/>
            </w:tcBorders>
            <w:vAlign w:val="center"/>
          </w:tcPr>
          <w:p w14:paraId="7A5AF4C2">
            <w:pPr>
              <w:keepNext w:val="0"/>
              <w:keepLines/>
              <w:widowControl/>
              <w:suppressLineNumbers w:val="0"/>
              <w:shd w:val="clear"/>
              <w:adjustRightInd w:val="0"/>
              <w:snapToGrid w:val="0"/>
              <w:spacing w:before="0" w:beforeAutospacing="0" w:after="0" w:afterAutospacing="0" w:line="360" w:lineRule="exact"/>
              <w:ind w:left="0" w:right="0" w:firstLine="0" w:firstLineChars="0"/>
              <w:jc w:val="center"/>
              <w:rPr>
                <w:rFonts w:hint="default" w:eastAsiaTheme="minorEastAsia"/>
                <w:color w:val="000000" w:themeColor="text1"/>
                <w:szCs w:val="21"/>
                <w:highlight w:val="none"/>
              </w:rPr>
            </w:pPr>
            <w:r>
              <w:rPr>
                <w:rFonts w:hint="default" w:eastAsiaTheme="minorEastAsia"/>
                <w:color w:val="000000" w:themeColor="text1"/>
                <w:szCs w:val="21"/>
                <w:highlight w:val="none"/>
              </w:rPr>
              <w:t>1.10</w:t>
            </w:r>
          </w:p>
        </w:tc>
        <w:tc>
          <w:tcPr>
            <w:tcW w:w="2269" w:type="dxa"/>
            <w:tcBorders>
              <w:top w:val="single" w:color="auto" w:sz="4" w:space="0"/>
              <w:left w:val="single" w:color="auto" w:sz="4" w:space="0"/>
              <w:bottom w:val="single" w:color="auto" w:sz="4" w:space="0"/>
              <w:right w:val="single" w:color="auto" w:sz="4" w:space="0"/>
            </w:tcBorders>
            <w:vAlign w:val="center"/>
          </w:tcPr>
          <w:p w14:paraId="283BCAF3">
            <w:pPr>
              <w:keepNext w:val="0"/>
              <w:keepLines/>
              <w:widowControl/>
              <w:suppressLineNumbers w:val="0"/>
              <w:shd w:val="clear"/>
              <w:adjustRightInd w:val="0"/>
              <w:snapToGrid w:val="0"/>
              <w:spacing w:before="0" w:beforeAutospacing="0" w:after="0" w:afterAutospacing="0" w:line="360" w:lineRule="exact"/>
              <w:ind w:left="0" w:right="0" w:firstLine="0" w:firstLineChars="0"/>
              <w:rPr>
                <w:rFonts w:hint="default" w:eastAsiaTheme="minorEastAsia"/>
                <w:color w:val="000000" w:themeColor="text1"/>
                <w:szCs w:val="21"/>
                <w:highlight w:val="none"/>
              </w:rPr>
            </w:pPr>
            <w:r>
              <w:rPr>
                <w:rFonts w:hint="default" w:hAnsiTheme="minorEastAsia" w:eastAsiaTheme="minorEastAsia"/>
                <w:color w:val="000000" w:themeColor="text1"/>
                <w:szCs w:val="21"/>
                <w:highlight w:val="none"/>
              </w:rPr>
              <w:t>分包</w:t>
            </w:r>
          </w:p>
        </w:tc>
        <w:tc>
          <w:tcPr>
            <w:tcW w:w="5581" w:type="dxa"/>
            <w:tcBorders>
              <w:top w:val="single" w:color="auto" w:sz="4" w:space="0"/>
              <w:left w:val="single" w:color="auto" w:sz="4" w:space="0"/>
              <w:bottom w:val="single" w:color="auto" w:sz="4" w:space="0"/>
              <w:right w:val="single" w:color="auto" w:sz="4" w:space="0"/>
            </w:tcBorders>
            <w:vAlign w:val="center"/>
          </w:tcPr>
          <w:p w14:paraId="596D52BD">
            <w:pPr>
              <w:keepNext w:val="0"/>
              <w:keepLines/>
              <w:widowControl/>
              <w:suppressLineNumbers w:val="0"/>
              <w:shd w:val="clear"/>
              <w:adjustRightInd w:val="0"/>
              <w:snapToGrid w:val="0"/>
              <w:spacing w:before="0" w:beforeAutospacing="0" w:after="0" w:afterAutospacing="0" w:line="360" w:lineRule="exact"/>
              <w:ind w:left="0" w:right="0" w:firstLine="0" w:firstLineChars="0"/>
              <w:rPr>
                <w:rFonts w:hint="default" w:eastAsiaTheme="minorEastAsia"/>
                <w:color w:val="000000" w:themeColor="text1"/>
                <w:szCs w:val="21"/>
                <w:highlight w:val="none"/>
              </w:rPr>
            </w:pPr>
            <w:r>
              <w:rPr>
                <w:rFonts w:hint="default" w:eastAsiaTheme="minorEastAsia"/>
                <w:color w:val="000000" w:themeColor="text1"/>
                <w:szCs w:val="21"/>
                <w:highlight w:val="none"/>
              </w:rPr>
              <w:t>■</w:t>
            </w:r>
            <w:r>
              <w:rPr>
                <w:rFonts w:hint="eastAsia" w:hAnsiTheme="minorEastAsia" w:eastAsiaTheme="minorEastAsia"/>
                <w:color w:val="000000" w:themeColor="text1"/>
                <w:szCs w:val="21"/>
                <w:highlight w:val="none"/>
              </w:rPr>
              <w:t>需经采购人书面同意</w:t>
            </w:r>
          </w:p>
        </w:tc>
      </w:tr>
      <w:tr w14:paraId="03668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jc w:val="center"/>
        </w:trPr>
        <w:tc>
          <w:tcPr>
            <w:tcW w:w="1212" w:type="dxa"/>
            <w:tcBorders>
              <w:top w:val="single" w:color="auto" w:sz="4" w:space="0"/>
              <w:left w:val="single" w:color="auto" w:sz="4" w:space="0"/>
              <w:bottom w:val="single" w:color="auto" w:sz="4" w:space="0"/>
              <w:right w:val="single" w:color="auto" w:sz="4" w:space="0"/>
            </w:tcBorders>
            <w:vAlign w:val="center"/>
          </w:tcPr>
          <w:p w14:paraId="2520B017">
            <w:pPr>
              <w:keepNext w:val="0"/>
              <w:keepLines/>
              <w:widowControl/>
              <w:suppressLineNumbers w:val="0"/>
              <w:shd w:val="clear"/>
              <w:adjustRightInd w:val="0"/>
              <w:snapToGrid w:val="0"/>
              <w:spacing w:before="0" w:beforeAutospacing="0" w:after="0" w:afterAutospacing="0" w:line="360" w:lineRule="exact"/>
              <w:ind w:left="0" w:right="0" w:firstLine="0" w:firstLineChars="0"/>
              <w:jc w:val="center"/>
              <w:rPr>
                <w:rFonts w:hint="default" w:eastAsiaTheme="minorEastAsia"/>
                <w:color w:val="000000" w:themeColor="text1"/>
                <w:szCs w:val="21"/>
                <w:highlight w:val="none"/>
              </w:rPr>
            </w:pPr>
            <w:r>
              <w:rPr>
                <w:rFonts w:hint="default" w:eastAsiaTheme="minorEastAsia"/>
                <w:color w:val="000000" w:themeColor="text1"/>
                <w:szCs w:val="21"/>
                <w:highlight w:val="none"/>
              </w:rPr>
              <w:t>2.1.1</w:t>
            </w:r>
            <w:r>
              <w:rPr>
                <w:rFonts w:hint="default" w:hAnsiTheme="minorEastAsia" w:eastAsiaTheme="minorEastAsia"/>
                <w:color w:val="000000" w:themeColor="text1"/>
                <w:szCs w:val="21"/>
                <w:highlight w:val="none"/>
              </w:rPr>
              <w:t>（</w:t>
            </w:r>
            <w:r>
              <w:rPr>
                <w:rFonts w:hint="eastAsia" w:eastAsiaTheme="minorEastAsia"/>
                <w:color w:val="000000" w:themeColor="text1"/>
                <w:szCs w:val="21"/>
                <w:highlight w:val="none"/>
              </w:rPr>
              <w:t>7</w:t>
            </w:r>
            <w:r>
              <w:rPr>
                <w:rFonts w:hint="default" w:hAnsiTheme="minorEastAsia" w:eastAsiaTheme="minorEastAsia"/>
                <w:color w:val="000000" w:themeColor="text1"/>
                <w:szCs w:val="21"/>
                <w:highlight w:val="none"/>
              </w:rPr>
              <w:t>）</w:t>
            </w:r>
          </w:p>
        </w:tc>
        <w:tc>
          <w:tcPr>
            <w:tcW w:w="2269" w:type="dxa"/>
            <w:tcBorders>
              <w:top w:val="single" w:color="auto" w:sz="4" w:space="0"/>
              <w:left w:val="single" w:color="auto" w:sz="4" w:space="0"/>
              <w:bottom w:val="single" w:color="auto" w:sz="4" w:space="0"/>
              <w:right w:val="single" w:color="auto" w:sz="4" w:space="0"/>
            </w:tcBorders>
            <w:vAlign w:val="center"/>
          </w:tcPr>
          <w:p w14:paraId="1C82622E">
            <w:pPr>
              <w:keepNext w:val="0"/>
              <w:keepLines/>
              <w:widowControl/>
              <w:suppressLineNumbers w:val="0"/>
              <w:shd w:val="clear"/>
              <w:adjustRightInd w:val="0"/>
              <w:snapToGrid w:val="0"/>
              <w:spacing w:before="0" w:beforeAutospacing="0" w:after="0" w:afterAutospacing="0" w:line="360" w:lineRule="exact"/>
              <w:ind w:left="0" w:right="0" w:firstLine="0" w:firstLineChars="0"/>
              <w:rPr>
                <w:rFonts w:hint="default" w:eastAsiaTheme="minorEastAsia"/>
                <w:color w:val="000000" w:themeColor="text1"/>
                <w:szCs w:val="21"/>
                <w:highlight w:val="none"/>
              </w:rPr>
            </w:pPr>
            <w:r>
              <w:rPr>
                <w:rFonts w:hint="default" w:hAnsiTheme="minorEastAsia" w:eastAsiaTheme="minorEastAsia"/>
                <w:color w:val="000000" w:themeColor="text1"/>
                <w:szCs w:val="21"/>
                <w:highlight w:val="none"/>
              </w:rPr>
              <w:t>构成谈判文件的其他材料</w:t>
            </w:r>
          </w:p>
        </w:tc>
        <w:tc>
          <w:tcPr>
            <w:tcW w:w="5581" w:type="dxa"/>
            <w:tcBorders>
              <w:top w:val="single" w:color="auto" w:sz="4" w:space="0"/>
              <w:left w:val="single" w:color="auto" w:sz="4" w:space="0"/>
              <w:bottom w:val="single" w:color="auto" w:sz="4" w:space="0"/>
              <w:right w:val="single" w:color="auto" w:sz="4" w:space="0"/>
            </w:tcBorders>
            <w:vAlign w:val="center"/>
          </w:tcPr>
          <w:p w14:paraId="7B50FA45">
            <w:pPr>
              <w:keepNext w:val="0"/>
              <w:keepLines/>
              <w:widowControl/>
              <w:suppressLineNumbers w:val="0"/>
              <w:shd w:val="clear"/>
              <w:tabs>
                <w:tab w:val="left" w:pos="826"/>
              </w:tabs>
              <w:adjustRightInd w:val="0"/>
              <w:snapToGrid w:val="0"/>
              <w:spacing w:before="0" w:beforeAutospacing="0" w:after="0" w:afterAutospacing="0" w:line="360" w:lineRule="exact"/>
              <w:ind w:left="0" w:right="0" w:firstLine="0" w:firstLineChars="0"/>
              <w:rPr>
                <w:rFonts w:hint="default" w:eastAsiaTheme="minorEastAsia"/>
                <w:color w:val="000000" w:themeColor="text1"/>
                <w:szCs w:val="21"/>
                <w:highlight w:val="none"/>
              </w:rPr>
            </w:pPr>
            <w:r>
              <w:rPr>
                <w:rFonts w:hint="default" w:hAnsiTheme="minorEastAsia" w:eastAsiaTheme="minorEastAsia"/>
                <w:color w:val="000000" w:themeColor="text1"/>
                <w:szCs w:val="21"/>
                <w:highlight w:val="none"/>
              </w:rPr>
              <w:t>图纸、澄清、修改</w:t>
            </w:r>
          </w:p>
        </w:tc>
      </w:tr>
      <w:tr w14:paraId="6A0F6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6" w:hRule="atLeast"/>
          <w:jc w:val="center"/>
        </w:trPr>
        <w:tc>
          <w:tcPr>
            <w:tcW w:w="1212" w:type="dxa"/>
            <w:tcBorders>
              <w:top w:val="single" w:color="auto" w:sz="4" w:space="0"/>
              <w:left w:val="single" w:color="auto" w:sz="4" w:space="0"/>
              <w:bottom w:val="single" w:color="auto" w:sz="4" w:space="0"/>
              <w:right w:val="single" w:color="auto" w:sz="4" w:space="0"/>
            </w:tcBorders>
            <w:vAlign w:val="center"/>
          </w:tcPr>
          <w:p w14:paraId="143B9244">
            <w:pPr>
              <w:keepNext w:val="0"/>
              <w:keepLines/>
              <w:widowControl/>
              <w:suppressLineNumbers w:val="0"/>
              <w:shd w:val="clear"/>
              <w:adjustRightInd w:val="0"/>
              <w:snapToGrid w:val="0"/>
              <w:spacing w:before="0" w:beforeAutospacing="0" w:after="0" w:afterAutospacing="0" w:line="360" w:lineRule="exact"/>
              <w:ind w:left="0" w:right="0" w:firstLine="0" w:firstLineChars="0"/>
              <w:jc w:val="center"/>
              <w:rPr>
                <w:rFonts w:hint="default" w:eastAsiaTheme="minorEastAsia"/>
                <w:color w:val="000000" w:themeColor="text1"/>
                <w:szCs w:val="21"/>
                <w:highlight w:val="none"/>
              </w:rPr>
            </w:pPr>
            <w:r>
              <w:rPr>
                <w:rFonts w:hint="default" w:eastAsiaTheme="minorEastAsia"/>
                <w:color w:val="000000" w:themeColor="text1"/>
                <w:szCs w:val="21"/>
                <w:highlight w:val="none"/>
              </w:rPr>
              <w:t>2.2.1</w:t>
            </w:r>
          </w:p>
        </w:tc>
        <w:tc>
          <w:tcPr>
            <w:tcW w:w="2269" w:type="dxa"/>
            <w:tcBorders>
              <w:top w:val="single" w:color="auto" w:sz="4" w:space="0"/>
              <w:left w:val="single" w:color="auto" w:sz="4" w:space="0"/>
              <w:bottom w:val="single" w:color="auto" w:sz="4" w:space="0"/>
              <w:right w:val="single" w:color="auto" w:sz="4" w:space="0"/>
            </w:tcBorders>
            <w:vAlign w:val="center"/>
          </w:tcPr>
          <w:p w14:paraId="2FB20A26">
            <w:pPr>
              <w:keepNext w:val="0"/>
              <w:keepLines/>
              <w:widowControl/>
              <w:suppressLineNumbers w:val="0"/>
              <w:shd w:val="clear"/>
              <w:adjustRightInd w:val="0"/>
              <w:snapToGrid w:val="0"/>
              <w:spacing w:before="0" w:beforeAutospacing="0" w:after="0" w:afterAutospacing="0" w:line="360" w:lineRule="exact"/>
              <w:ind w:left="0" w:right="0" w:firstLine="0" w:firstLineChars="0"/>
              <w:rPr>
                <w:rFonts w:hint="default" w:eastAsiaTheme="minorEastAsia"/>
                <w:color w:val="000000" w:themeColor="text1"/>
                <w:szCs w:val="21"/>
                <w:highlight w:val="none"/>
              </w:rPr>
            </w:pPr>
            <w:r>
              <w:rPr>
                <w:rFonts w:hint="eastAsia" w:hAnsiTheme="minorEastAsia" w:eastAsiaTheme="minorEastAsia"/>
                <w:color w:val="000000" w:themeColor="text1"/>
                <w:szCs w:val="21"/>
                <w:highlight w:val="none"/>
              </w:rPr>
              <w:t>供应商</w:t>
            </w:r>
            <w:r>
              <w:rPr>
                <w:rFonts w:hint="default" w:hAnsiTheme="minorEastAsia" w:eastAsiaTheme="minorEastAsia"/>
                <w:color w:val="000000" w:themeColor="text1"/>
                <w:szCs w:val="21"/>
                <w:highlight w:val="none"/>
              </w:rPr>
              <w:t>要求澄清谈判文件的截止时间</w:t>
            </w:r>
          </w:p>
        </w:tc>
        <w:tc>
          <w:tcPr>
            <w:tcW w:w="5581" w:type="dxa"/>
            <w:tcBorders>
              <w:top w:val="single" w:color="auto" w:sz="4" w:space="0"/>
              <w:left w:val="single" w:color="auto" w:sz="4" w:space="0"/>
              <w:bottom w:val="single" w:color="auto" w:sz="4" w:space="0"/>
              <w:right w:val="single" w:color="auto" w:sz="4" w:space="0"/>
            </w:tcBorders>
            <w:vAlign w:val="center"/>
          </w:tcPr>
          <w:p w14:paraId="504C66AF">
            <w:pPr>
              <w:keepNext w:val="0"/>
              <w:keepLines/>
              <w:widowControl/>
              <w:suppressLineNumbers w:val="0"/>
              <w:shd w:val="clear"/>
              <w:spacing w:before="0" w:beforeAutospacing="0" w:after="0" w:afterAutospacing="0" w:line="360" w:lineRule="exact"/>
              <w:ind w:left="0" w:right="0" w:firstLine="0" w:firstLineChars="0"/>
              <w:rPr>
                <w:rFonts w:hint="default" w:eastAsiaTheme="minorEastAsia"/>
                <w:color w:val="000000" w:themeColor="text1"/>
                <w:szCs w:val="21"/>
                <w:highlight w:val="none"/>
              </w:rPr>
            </w:pPr>
            <w:r>
              <w:rPr>
                <w:rFonts w:hint="eastAsia" w:hAnsiTheme="minorEastAsia" w:eastAsiaTheme="minorEastAsia"/>
                <w:color w:val="000000" w:themeColor="text1"/>
                <w:szCs w:val="21"/>
                <w:highlight w:val="none"/>
              </w:rPr>
              <w:t>响应文件递交</w:t>
            </w:r>
            <w:r>
              <w:rPr>
                <w:rFonts w:hint="default" w:hAnsiTheme="minorEastAsia" w:eastAsiaTheme="minorEastAsia"/>
                <w:color w:val="000000" w:themeColor="text1"/>
                <w:szCs w:val="21"/>
                <w:highlight w:val="none"/>
              </w:rPr>
              <w:t>截止时间</w:t>
            </w:r>
            <w:r>
              <w:rPr>
                <w:rFonts w:hint="eastAsia" w:eastAsiaTheme="minorEastAsia"/>
                <w:color w:val="000000" w:themeColor="text1"/>
                <w:szCs w:val="21"/>
                <w:highlight w:val="none"/>
                <w:lang w:val="en-US" w:eastAsia="zh-CN"/>
              </w:rPr>
              <w:t>1</w:t>
            </w:r>
            <w:r>
              <w:rPr>
                <w:rFonts w:hint="default" w:hAnsiTheme="minorEastAsia" w:eastAsiaTheme="minorEastAsia"/>
                <w:color w:val="000000" w:themeColor="text1"/>
                <w:szCs w:val="21"/>
                <w:highlight w:val="none"/>
              </w:rPr>
              <w:t>日前</w:t>
            </w:r>
          </w:p>
        </w:tc>
      </w:tr>
      <w:tr w14:paraId="33476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5" w:hRule="atLeast"/>
          <w:jc w:val="center"/>
        </w:trPr>
        <w:tc>
          <w:tcPr>
            <w:tcW w:w="1212" w:type="dxa"/>
            <w:tcBorders>
              <w:top w:val="single" w:color="auto" w:sz="4" w:space="0"/>
              <w:left w:val="single" w:color="auto" w:sz="4" w:space="0"/>
              <w:bottom w:val="single" w:color="auto" w:sz="4" w:space="0"/>
              <w:right w:val="single" w:color="auto" w:sz="4" w:space="0"/>
            </w:tcBorders>
            <w:vAlign w:val="center"/>
          </w:tcPr>
          <w:p w14:paraId="2C1B731B">
            <w:pPr>
              <w:keepNext w:val="0"/>
              <w:keepLines/>
              <w:widowControl/>
              <w:suppressLineNumbers w:val="0"/>
              <w:shd w:val="clear"/>
              <w:adjustRightInd w:val="0"/>
              <w:snapToGrid w:val="0"/>
              <w:spacing w:before="0" w:beforeAutospacing="0" w:after="0" w:afterAutospacing="0" w:line="360" w:lineRule="exact"/>
              <w:ind w:left="0" w:right="0" w:firstLine="0" w:firstLineChars="0"/>
              <w:jc w:val="center"/>
              <w:rPr>
                <w:rFonts w:hint="default" w:eastAsiaTheme="minorEastAsia"/>
                <w:color w:val="000000" w:themeColor="text1"/>
                <w:szCs w:val="21"/>
                <w:highlight w:val="none"/>
              </w:rPr>
            </w:pPr>
            <w:r>
              <w:rPr>
                <w:rFonts w:hint="default" w:eastAsiaTheme="minorEastAsia"/>
                <w:color w:val="000000" w:themeColor="text1"/>
                <w:szCs w:val="21"/>
                <w:highlight w:val="none"/>
              </w:rPr>
              <w:t>2.2.2</w:t>
            </w:r>
          </w:p>
        </w:tc>
        <w:tc>
          <w:tcPr>
            <w:tcW w:w="2269" w:type="dxa"/>
            <w:tcBorders>
              <w:top w:val="single" w:color="auto" w:sz="4" w:space="0"/>
              <w:left w:val="single" w:color="auto" w:sz="4" w:space="0"/>
              <w:bottom w:val="single" w:color="auto" w:sz="4" w:space="0"/>
              <w:right w:val="single" w:color="auto" w:sz="4" w:space="0"/>
            </w:tcBorders>
            <w:vAlign w:val="center"/>
          </w:tcPr>
          <w:p w14:paraId="527B7B81">
            <w:pPr>
              <w:keepNext w:val="0"/>
              <w:keepLines/>
              <w:widowControl/>
              <w:suppressLineNumbers w:val="0"/>
              <w:shd w:val="clear"/>
              <w:adjustRightInd w:val="0"/>
              <w:snapToGrid w:val="0"/>
              <w:spacing w:before="0" w:beforeAutospacing="0" w:after="0" w:afterAutospacing="0" w:line="360" w:lineRule="exact"/>
              <w:ind w:left="0" w:right="0" w:firstLine="0" w:firstLineChars="0"/>
              <w:rPr>
                <w:rFonts w:hint="default" w:eastAsiaTheme="minorEastAsia"/>
                <w:color w:val="000000" w:themeColor="text1"/>
                <w:szCs w:val="21"/>
                <w:highlight w:val="none"/>
              </w:rPr>
            </w:pPr>
            <w:r>
              <w:rPr>
                <w:rFonts w:hint="default" w:hAnsiTheme="minorEastAsia" w:eastAsiaTheme="minorEastAsia"/>
                <w:color w:val="000000" w:themeColor="text1"/>
                <w:szCs w:val="21"/>
                <w:highlight w:val="none"/>
              </w:rPr>
              <w:t>谈判文件澄清发布时间</w:t>
            </w:r>
          </w:p>
        </w:tc>
        <w:tc>
          <w:tcPr>
            <w:tcW w:w="5581" w:type="dxa"/>
            <w:tcBorders>
              <w:top w:val="single" w:color="auto" w:sz="4" w:space="0"/>
              <w:left w:val="single" w:color="auto" w:sz="4" w:space="0"/>
              <w:bottom w:val="single" w:color="auto" w:sz="4" w:space="0"/>
              <w:right w:val="single" w:color="auto" w:sz="4" w:space="0"/>
            </w:tcBorders>
            <w:vAlign w:val="center"/>
          </w:tcPr>
          <w:p w14:paraId="7F3C672E">
            <w:pPr>
              <w:keepNext w:val="0"/>
              <w:keepLines/>
              <w:widowControl/>
              <w:suppressLineNumbers w:val="0"/>
              <w:shd w:val="clear"/>
              <w:spacing w:before="0" w:beforeAutospacing="0" w:after="0" w:afterAutospacing="0" w:line="360" w:lineRule="exact"/>
              <w:ind w:left="0" w:right="0" w:firstLine="0" w:firstLineChars="0"/>
              <w:rPr>
                <w:rFonts w:hint="default" w:eastAsiaTheme="minorEastAsia"/>
                <w:color w:val="000000" w:themeColor="text1"/>
                <w:szCs w:val="21"/>
                <w:highlight w:val="none"/>
              </w:rPr>
            </w:pPr>
            <w:r>
              <w:rPr>
                <w:rFonts w:hint="eastAsia" w:hAnsiTheme="minorEastAsia" w:eastAsiaTheme="minorEastAsia"/>
                <w:color w:val="000000" w:themeColor="text1"/>
                <w:szCs w:val="21"/>
                <w:highlight w:val="none"/>
              </w:rPr>
              <w:t>响应文件递交</w:t>
            </w:r>
            <w:r>
              <w:rPr>
                <w:rFonts w:hint="default" w:hAnsiTheme="minorEastAsia" w:eastAsiaTheme="minorEastAsia"/>
                <w:color w:val="000000" w:themeColor="text1"/>
                <w:szCs w:val="21"/>
                <w:highlight w:val="none"/>
              </w:rPr>
              <w:t>截止时间</w:t>
            </w:r>
            <w:r>
              <w:rPr>
                <w:rFonts w:hint="eastAsia" w:eastAsiaTheme="minorEastAsia"/>
                <w:color w:val="000000" w:themeColor="text1"/>
                <w:szCs w:val="21"/>
                <w:highlight w:val="none"/>
                <w:lang w:val="en-US" w:eastAsia="zh-CN"/>
              </w:rPr>
              <w:t>1</w:t>
            </w:r>
            <w:r>
              <w:rPr>
                <w:rFonts w:hint="default" w:hAnsiTheme="minorEastAsia" w:eastAsiaTheme="minorEastAsia"/>
                <w:color w:val="000000" w:themeColor="text1"/>
                <w:szCs w:val="21"/>
                <w:highlight w:val="none"/>
              </w:rPr>
              <w:t>日前</w:t>
            </w:r>
          </w:p>
        </w:tc>
      </w:tr>
      <w:tr w14:paraId="52E47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6" w:hRule="atLeast"/>
          <w:jc w:val="center"/>
        </w:trPr>
        <w:tc>
          <w:tcPr>
            <w:tcW w:w="1212" w:type="dxa"/>
            <w:tcBorders>
              <w:top w:val="single" w:color="auto" w:sz="4" w:space="0"/>
              <w:left w:val="single" w:color="auto" w:sz="4" w:space="0"/>
              <w:bottom w:val="single" w:color="auto" w:sz="4" w:space="0"/>
              <w:right w:val="single" w:color="auto" w:sz="4" w:space="0"/>
            </w:tcBorders>
            <w:vAlign w:val="center"/>
          </w:tcPr>
          <w:p w14:paraId="584318CF">
            <w:pPr>
              <w:keepNext w:val="0"/>
              <w:keepLines/>
              <w:widowControl/>
              <w:suppressLineNumbers w:val="0"/>
              <w:shd w:val="clear"/>
              <w:adjustRightInd w:val="0"/>
              <w:snapToGrid w:val="0"/>
              <w:spacing w:before="0" w:beforeAutospacing="0" w:after="0" w:afterAutospacing="0" w:line="360" w:lineRule="exact"/>
              <w:ind w:left="0" w:right="0" w:firstLine="0" w:firstLineChars="0"/>
              <w:jc w:val="center"/>
              <w:rPr>
                <w:rFonts w:hint="default" w:eastAsiaTheme="minorEastAsia"/>
                <w:color w:val="000000" w:themeColor="text1"/>
                <w:szCs w:val="21"/>
                <w:highlight w:val="none"/>
              </w:rPr>
            </w:pPr>
            <w:r>
              <w:rPr>
                <w:rFonts w:hint="default" w:eastAsiaTheme="minorEastAsia"/>
                <w:color w:val="000000" w:themeColor="text1"/>
                <w:szCs w:val="21"/>
                <w:highlight w:val="none"/>
              </w:rPr>
              <w:t>2.4</w:t>
            </w:r>
          </w:p>
        </w:tc>
        <w:tc>
          <w:tcPr>
            <w:tcW w:w="2269" w:type="dxa"/>
            <w:tcBorders>
              <w:top w:val="single" w:color="auto" w:sz="4" w:space="0"/>
              <w:left w:val="single" w:color="auto" w:sz="4" w:space="0"/>
              <w:bottom w:val="single" w:color="auto" w:sz="4" w:space="0"/>
              <w:right w:val="single" w:color="auto" w:sz="4" w:space="0"/>
            </w:tcBorders>
            <w:vAlign w:val="center"/>
          </w:tcPr>
          <w:p w14:paraId="5C9BE0A4">
            <w:pPr>
              <w:keepNext w:val="0"/>
              <w:keepLines/>
              <w:widowControl/>
              <w:suppressLineNumbers w:val="0"/>
              <w:shd w:val="clear"/>
              <w:adjustRightInd w:val="0"/>
              <w:snapToGrid w:val="0"/>
              <w:spacing w:before="0" w:beforeAutospacing="0" w:after="0" w:afterAutospacing="0" w:line="360" w:lineRule="exact"/>
              <w:ind w:left="0" w:right="0" w:firstLine="0" w:firstLineChars="0"/>
              <w:rPr>
                <w:rFonts w:hint="default" w:eastAsiaTheme="minorEastAsia"/>
                <w:color w:val="000000" w:themeColor="text1"/>
                <w:szCs w:val="21"/>
                <w:highlight w:val="none"/>
              </w:rPr>
            </w:pPr>
            <w:r>
              <w:rPr>
                <w:rFonts w:hint="eastAsia" w:hAnsiTheme="minorEastAsia" w:eastAsiaTheme="minorEastAsia"/>
                <w:color w:val="000000" w:themeColor="text1"/>
                <w:szCs w:val="21"/>
                <w:highlight w:val="none"/>
              </w:rPr>
              <w:t>采购</w:t>
            </w:r>
            <w:r>
              <w:rPr>
                <w:rFonts w:hint="default" w:hAnsiTheme="minorEastAsia" w:eastAsiaTheme="minorEastAsia"/>
                <w:color w:val="000000" w:themeColor="text1"/>
                <w:szCs w:val="21"/>
                <w:highlight w:val="none"/>
              </w:rPr>
              <w:t>控制价</w:t>
            </w:r>
          </w:p>
        </w:tc>
        <w:tc>
          <w:tcPr>
            <w:tcW w:w="5581" w:type="dxa"/>
            <w:tcBorders>
              <w:top w:val="single" w:color="auto" w:sz="4" w:space="0"/>
              <w:left w:val="single" w:color="auto" w:sz="4" w:space="0"/>
              <w:bottom w:val="single" w:color="auto" w:sz="4" w:space="0"/>
              <w:right w:val="single" w:color="auto" w:sz="4" w:space="0"/>
            </w:tcBorders>
            <w:vAlign w:val="center"/>
          </w:tcPr>
          <w:p w14:paraId="285BCF2B">
            <w:pPr>
              <w:pStyle w:val="18"/>
              <w:keepNext w:val="0"/>
              <w:keepLines w:val="0"/>
              <w:suppressLineNumbers w:val="0"/>
              <w:shd w:val="clear"/>
              <w:spacing w:before="0" w:beforeAutospacing="0" w:after="0" w:afterAutospacing="0" w:line="360" w:lineRule="exact"/>
              <w:ind w:left="0" w:leftChars="0" w:right="0" w:firstLine="0" w:firstLineChars="0"/>
              <w:jc w:val="left"/>
              <w:rPr>
                <w:rFonts w:hint="eastAsia" w:eastAsiaTheme="minorEastAsia"/>
                <w:color w:val="000000" w:themeColor="text1"/>
                <w:szCs w:val="21"/>
                <w:highlight w:val="none"/>
                <w:lang w:val="en-US" w:eastAsia="zh-CN"/>
              </w:rPr>
            </w:pPr>
            <w:r>
              <w:rPr>
                <w:rFonts w:hint="eastAsia" w:hAnsiTheme="minorEastAsia" w:eastAsiaTheme="minorEastAsia"/>
                <w:b/>
                <w:bCs/>
                <w:color w:val="auto"/>
                <w:szCs w:val="21"/>
                <w:highlight w:val="yellow"/>
                <w:u w:val="single"/>
                <w:lang w:val="en-US" w:eastAsia="zh-CN"/>
              </w:rPr>
              <w:t xml:space="preserve">  192.49828 万元</w:t>
            </w:r>
            <w:r>
              <w:rPr>
                <w:rFonts w:hint="eastAsia" w:hAnsiTheme="minorEastAsia" w:eastAsiaTheme="minorEastAsia"/>
                <w:b/>
                <w:bCs/>
                <w:color w:val="auto"/>
                <w:szCs w:val="21"/>
                <w:highlight w:val="none"/>
              </w:rPr>
              <w:t>，</w:t>
            </w:r>
            <w:r>
              <w:rPr>
                <w:rFonts w:hint="default" w:hAnsiTheme="minorEastAsia" w:eastAsiaTheme="minorEastAsia"/>
                <w:b/>
                <w:bCs/>
                <w:color w:val="000000" w:themeColor="text1"/>
                <w:szCs w:val="21"/>
              </w:rPr>
              <w:t>报价超过控制价</w:t>
            </w:r>
            <w:r>
              <w:rPr>
                <w:rFonts w:hint="default" w:hAnsiTheme="minorEastAsia" w:eastAsiaTheme="minorEastAsia"/>
                <w:b/>
                <w:bCs/>
                <w:color w:val="000000" w:themeColor="text1"/>
                <w:szCs w:val="21"/>
                <w:highlight w:val="none"/>
              </w:rPr>
              <w:t>做无效</w:t>
            </w:r>
            <w:r>
              <w:rPr>
                <w:rFonts w:hint="eastAsia" w:hAnsiTheme="minorEastAsia" w:eastAsiaTheme="minorEastAsia"/>
                <w:b/>
                <w:bCs/>
                <w:color w:val="000000" w:themeColor="text1"/>
                <w:szCs w:val="21"/>
                <w:highlight w:val="none"/>
                <w:lang w:val="en-US" w:eastAsia="zh-CN"/>
              </w:rPr>
              <w:t>响应</w:t>
            </w:r>
            <w:r>
              <w:rPr>
                <w:rFonts w:hint="default" w:hAnsiTheme="minorEastAsia" w:eastAsiaTheme="minorEastAsia"/>
                <w:b/>
                <w:bCs/>
                <w:color w:val="000000" w:themeColor="text1"/>
                <w:szCs w:val="21"/>
              </w:rPr>
              <w:t>处理</w:t>
            </w:r>
            <w:r>
              <w:rPr>
                <w:rFonts w:hint="eastAsia" w:hAnsiTheme="minorEastAsia" w:eastAsiaTheme="minorEastAsia"/>
                <w:b/>
                <w:bCs/>
                <w:color w:val="000000" w:themeColor="text1"/>
                <w:szCs w:val="21"/>
                <w:lang w:eastAsia="zh-CN"/>
              </w:rPr>
              <w:t>，控制价明细详见附件清单。供应商在报价时，只需填报项目的下浮率，评委以该下浮率作为报价评审依据。合同签订时，执行该下浮率，即综合单价按照采购人发布的采购控制价中的单价*（1-下浮率）</w:t>
            </w:r>
            <w:r>
              <w:rPr>
                <w:rFonts w:hint="eastAsia" w:hAnsiTheme="minorEastAsia" w:eastAsiaTheme="minorEastAsia"/>
                <w:b/>
                <w:bCs/>
                <w:color w:val="auto"/>
                <w:szCs w:val="21"/>
                <w:highlight w:val="none"/>
                <w:lang w:val="en-US" w:eastAsia="zh-CN"/>
              </w:rPr>
              <w:t>。</w:t>
            </w:r>
          </w:p>
        </w:tc>
      </w:tr>
      <w:tr w14:paraId="58D5E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jc w:val="center"/>
        </w:trPr>
        <w:tc>
          <w:tcPr>
            <w:tcW w:w="1212" w:type="dxa"/>
            <w:tcBorders>
              <w:top w:val="single" w:color="auto" w:sz="4" w:space="0"/>
              <w:left w:val="single" w:color="auto" w:sz="4" w:space="0"/>
              <w:bottom w:val="single" w:color="auto" w:sz="4" w:space="0"/>
              <w:right w:val="single" w:color="auto" w:sz="4" w:space="0"/>
            </w:tcBorders>
            <w:vAlign w:val="center"/>
          </w:tcPr>
          <w:p w14:paraId="56C01C3C">
            <w:pPr>
              <w:keepNext w:val="0"/>
              <w:keepLines/>
              <w:widowControl/>
              <w:suppressLineNumbers w:val="0"/>
              <w:shd w:val="clear"/>
              <w:adjustRightInd w:val="0"/>
              <w:snapToGrid w:val="0"/>
              <w:spacing w:before="0" w:beforeAutospacing="0" w:after="0" w:afterAutospacing="0" w:line="360" w:lineRule="exact"/>
              <w:ind w:left="0" w:right="0" w:firstLine="0" w:firstLineChars="0"/>
              <w:jc w:val="center"/>
              <w:rPr>
                <w:rFonts w:hint="default" w:eastAsiaTheme="minorEastAsia"/>
                <w:color w:val="000000" w:themeColor="text1"/>
                <w:szCs w:val="21"/>
                <w:highlight w:val="none"/>
              </w:rPr>
            </w:pPr>
            <w:r>
              <w:rPr>
                <w:rFonts w:hint="default" w:eastAsiaTheme="minorEastAsia"/>
                <w:color w:val="000000" w:themeColor="text1"/>
                <w:szCs w:val="21"/>
                <w:highlight w:val="none"/>
              </w:rPr>
              <w:t>3.1.1</w:t>
            </w:r>
          </w:p>
        </w:tc>
        <w:tc>
          <w:tcPr>
            <w:tcW w:w="2269" w:type="dxa"/>
            <w:tcBorders>
              <w:top w:val="single" w:color="auto" w:sz="4" w:space="0"/>
              <w:left w:val="single" w:color="auto" w:sz="4" w:space="0"/>
              <w:bottom w:val="single" w:color="auto" w:sz="4" w:space="0"/>
              <w:right w:val="single" w:color="auto" w:sz="4" w:space="0"/>
            </w:tcBorders>
            <w:vAlign w:val="center"/>
          </w:tcPr>
          <w:p w14:paraId="242869EA">
            <w:pPr>
              <w:keepNext w:val="0"/>
              <w:keepLines/>
              <w:widowControl/>
              <w:suppressLineNumbers w:val="0"/>
              <w:shd w:val="clear"/>
              <w:adjustRightInd w:val="0"/>
              <w:snapToGrid w:val="0"/>
              <w:spacing w:before="0" w:beforeAutospacing="0" w:after="0" w:afterAutospacing="0" w:line="360" w:lineRule="exact"/>
              <w:ind w:left="0" w:right="0" w:firstLine="0" w:firstLineChars="0"/>
              <w:rPr>
                <w:rFonts w:hint="default" w:eastAsiaTheme="minorEastAsia"/>
                <w:color w:val="000000" w:themeColor="text1"/>
                <w:szCs w:val="21"/>
                <w:highlight w:val="none"/>
              </w:rPr>
            </w:pPr>
            <w:r>
              <w:rPr>
                <w:rFonts w:hint="eastAsia" w:hAnsiTheme="minorEastAsia" w:eastAsiaTheme="minorEastAsia"/>
                <w:color w:val="000000" w:themeColor="text1"/>
                <w:szCs w:val="21"/>
                <w:highlight w:val="none"/>
              </w:rPr>
              <w:t>响应文件组成</w:t>
            </w:r>
          </w:p>
        </w:tc>
        <w:tc>
          <w:tcPr>
            <w:tcW w:w="5581" w:type="dxa"/>
            <w:tcBorders>
              <w:top w:val="single" w:color="auto" w:sz="4" w:space="0"/>
              <w:left w:val="single" w:color="auto" w:sz="4" w:space="0"/>
              <w:bottom w:val="single" w:color="auto" w:sz="4" w:space="0"/>
              <w:right w:val="single" w:color="auto" w:sz="4" w:space="0"/>
            </w:tcBorders>
          </w:tcPr>
          <w:p w14:paraId="27D9FCB1">
            <w:pPr>
              <w:keepNext w:val="0"/>
              <w:keepLines/>
              <w:widowControl/>
              <w:suppressLineNumbers w:val="0"/>
              <w:shd w:val="clear"/>
              <w:spacing w:before="0" w:beforeAutospacing="0" w:after="0" w:afterAutospacing="0" w:line="360" w:lineRule="exact"/>
              <w:ind w:left="0" w:right="0" w:firstLine="0" w:firstLineChars="0"/>
              <w:jc w:val="left"/>
              <w:rPr>
                <w:rFonts w:hint="default" w:ascii="Times New Roman" w:hAnsi="Times New Roman" w:eastAsiaTheme="minorEastAsia"/>
                <w:color w:val="000000" w:themeColor="text1"/>
                <w:szCs w:val="21"/>
                <w:highlight w:val="none"/>
              </w:rPr>
            </w:pPr>
            <w:r>
              <w:rPr>
                <w:rFonts w:hint="default" w:ascii="Times New Roman" w:hAnsi="Times New Roman" w:eastAsiaTheme="minorEastAsia"/>
                <w:color w:val="000000" w:themeColor="text1"/>
                <w:szCs w:val="21"/>
                <w:highlight w:val="none"/>
              </w:rPr>
              <w:t>目录及索引表（自行编制）</w:t>
            </w:r>
          </w:p>
          <w:p w14:paraId="093A5327">
            <w:pPr>
              <w:keepNext w:val="0"/>
              <w:keepLines/>
              <w:widowControl/>
              <w:suppressLineNumbers w:val="0"/>
              <w:shd w:val="clear"/>
              <w:spacing w:before="0" w:beforeAutospacing="0" w:after="0" w:afterAutospacing="0" w:line="360" w:lineRule="exact"/>
              <w:ind w:left="0" w:right="0" w:firstLine="0" w:firstLineChars="0"/>
              <w:jc w:val="left"/>
              <w:rPr>
                <w:rFonts w:hint="default" w:ascii="Times New Roman" w:hAnsi="Times New Roman" w:eastAsiaTheme="minorEastAsia"/>
                <w:color w:val="000000" w:themeColor="text1"/>
                <w:szCs w:val="21"/>
                <w:highlight w:val="none"/>
              </w:rPr>
            </w:pPr>
            <w:r>
              <w:rPr>
                <w:rFonts w:hint="eastAsia" w:ascii="Times New Roman" w:hAnsi="Times New Roman" w:eastAsiaTheme="minorEastAsia"/>
                <w:color w:val="000000" w:themeColor="text1"/>
                <w:szCs w:val="21"/>
                <w:highlight w:val="none"/>
                <w:lang w:val="en-US" w:eastAsia="zh-CN"/>
              </w:rPr>
              <w:t>1</w:t>
            </w:r>
            <w:r>
              <w:rPr>
                <w:rFonts w:hint="eastAsia" w:ascii="Times New Roman" w:hAnsi="Times New Roman" w:eastAsiaTheme="minorEastAsia"/>
                <w:color w:val="000000" w:themeColor="text1"/>
                <w:szCs w:val="21"/>
                <w:highlight w:val="none"/>
              </w:rPr>
              <w:t>.</w:t>
            </w:r>
            <w:r>
              <w:rPr>
                <w:rFonts w:hint="default" w:ascii="Times New Roman" w:hAnsi="Times New Roman" w:eastAsiaTheme="minorEastAsia"/>
                <w:color w:val="000000" w:themeColor="text1"/>
                <w:szCs w:val="21"/>
                <w:highlight w:val="none"/>
              </w:rPr>
              <w:t>响应函</w:t>
            </w:r>
          </w:p>
          <w:p w14:paraId="25EE3D9B">
            <w:pPr>
              <w:keepNext w:val="0"/>
              <w:keepLines/>
              <w:widowControl/>
              <w:suppressLineNumbers w:val="0"/>
              <w:shd w:val="clear"/>
              <w:spacing w:before="0" w:beforeAutospacing="0" w:after="0" w:afterAutospacing="0" w:line="360" w:lineRule="exact"/>
              <w:ind w:left="0" w:right="0" w:firstLine="0" w:firstLineChars="0"/>
              <w:jc w:val="left"/>
              <w:rPr>
                <w:rFonts w:hint="default" w:ascii="Times New Roman" w:hAnsi="Times New Roman" w:eastAsiaTheme="minorEastAsia"/>
                <w:color w:val="000000" w:themeColor="text1"/>
                <w:szCs w:val="21"/>
                <w:highlight w:val="none"/>
              </w:rPr>
            </w:pPr>
            <w:r>
              <w:rPr>
                <w:rFonts w:hint="eastAsia" w:ascii="Times New Roman" w:hAnsi="Times New Roman" w:eastAsiaTheme="minorEastAsia"/>
                <w:color w:val="000000" w:themeColor="text1"/>
                <w:szCs w:val="21"/>
                <w:highlight w:val="none"/>
                <w:lang w:val="en-US" w:eastAsia="zh-CN"/>
              </w:rPr>
              <w:t>2</w:t>
            </w:r>
            <w:r>
              <w:rPr>
                <w:rFonts w:hint="eastAsia" w:ascii="Times New Roman" w:hAnsi="Times New Roman" w:eastAsiaTheme="minorEastAsia"/>
                <w:color w:val="000000" w:themeColor="text1"/>
                <w:szCs w:val="21"/>
                <w:highlight w:val="none"/>
              </w:rPr>
              <w:t>.</w:t>
            </w:r>
            <w:r>
              <w:rPr>
                <w:rFonts w:hint="default" w:ascii="Times New Roman" w:hAnsi="Times New Roman" w:eastAsiaTheme="minorEastAsia"/>
                <w:color w:val="000000" w:themeColor="text1"/>
                <w:szCs w:val="21"/>
                <w:highlight w:val="none"/>
              </w:rPr>
              <w:t>法定代表人身份证明</w:t>
            </w:r>
          </w:p>
          <w:p w14:paraId="15DFD499">
            <w:pPr>
              <w:keepNext w:val="0"/>
              <w:keepLines/>
              <w:widowControl/>
              <w:suppressLineNumbers w:val="0"/>
              <w:shd w:val="clear"/>
              <w:spacing w:before="0" w:beforeAutospacing="0" w:after="0" w:afterAutospacing="0" w:line="360" w:lineRule="exact"/>
              <w:ind w:left="0" w:right="0" w:firstLine="0" w:firstLineChars="0"/>
              <w:jc w:val="left"/>
              <w:rPr>
                <w:rFonts w:hint="default" w:ascii="Times New Roman" w:hAnsi="Times New Roman" w:eastAsiaTheme="minorEastAsia"/>
                <w:color w:val="000000" w:themeColor="text1"/>
                <w:szCs w:val="21"/>
                <w:highlight w:val="none"/>
              </w:rPr>
            </w:pPr>
            <w:r>
              <w:rPr>
                <w:rFonts w:hint="eastAsia" w:ascii="Times New Roman" w:hAnsi="Times New Roman" w:eastAsiaTheme="minorEastAsia"/>
                <w:color w:val="000000" w:themeColor="text1"/>
                <w:szCs w:val="21"/>
                <w:highlight w:val="none"/>
                <w:lang w:val="en-US" w:eastAsia="zh-CN"/>
              </w:rPr>
              <w:t>3</w:t>
            </w:r>
            <w:r>
              <w:rPr>
                <w:rFonts w:hint="eastAsia" w:ascii="Times New Roman" w:hAnsi="Times New Roman" w:eastAsiaTheme="minorEastAsia"/>
                <w:color w:val="000000" w:themeColor="text1"/>
                <w:szCs w:val="21"/>
                <w:highlight w:val="none"/>
              </w:rPr>
              <w:t>.法定代表人</w:t>
            </w:r>
            <w:r>
              <w:rPr>
                <w:rFonts w:hint="default" w:ascii="Times New Roman" w:hAnsi="Times New Roman" w:eastAsiaTheme="minorEastAsia"/>
                <w:color w:val="000000" w:themeColor="text1"/>
                <w:szCs w:val="21"/>
                <w:highlight w:val="none"/>
              </w:rPr>
              <w:t>授权委托书</w:t>
            </w:r>
          </w:p>
          <w:p w14:paraId="0F76A4F1">
            <w:pPr>
              <w:keepNext w:val="0"/>
              <w:keepLines/>
              <w:widowControl/>
              <w:suppressLineNumbers w:val="0"/>
              <w:shd w:val="clear"/>
              <w:spacing w:before="0" w:beforeAutospacing="0" w:after="0" w:afterAutospacing="0" w:line="360" w:lineRule="exact"/>
              <w:ind w:left="0" w:right="0" w:firstLine="0" w:firstLineChars="0"/>
              <w:jc w:val="left"/>
              <w:rPr>
                <w:rFonts w:hint="default" w:ascii="Times New Roman" w:hAnsi="Times New Roman" w:eastAsiaTheme="minorEastAsia"/>
                <w:color w:val="000000" w:themeColor="text1"/>
                <w:szCs w:val="21"/>
                <w:highlight w:val="none"/>
              </w:rPr>
            </w:pPr>
            <w:r>
              <w:rPr>
                <w:rFonts w:hint="eastAsia" w:ascii="Times New Roman" w:hAnsi="Times New Roman" w:eastAsiaTheme="minorEastAsia"/>
                <w:color w:val="000000" w:themeColor="text1"/>
                <w:szCs w:val="21"/>
                <w:highlight w:val="none"/>
                <w:lang w:val="en-US" w:eastAsia="zh-CN"/>
              </w:rPr>
              <w:t>4</w:t>
            </w:r>
            <w:r>
              <w:rPr>
                <w:rFonts w:hint="eastAsia" w:ascii="Times New Roman" w:hAnsi="Times New Roman" w:eastAsiaTheme="minorEastAsia"/>
                <w:color w:val="000000" w:themeColor="text1"/>
                <w:szCs w:val="21"/>
                <w:highlight w:val="none"/>
              </w:rPr>
              <w:t>.</w:t>
            </w:r>
            <w:r>
              <w:rPr>
                <w:rFonts w:hint="default" w:ascii="Times New Roman" w:hAnsi="Times New Roman" w:eastAsiaTheme="minorEastAsia"/>
                <w:color w:val="000000" w:themeColor="text1"/>
                <w:szCs w:val="21"/>
                <w:highlight w:val="none"/>
              </w:rPr>
              <w:t>供应商承诺书</w:t>
            </w:r>
          </w:p>
          <w:p w14:paraId="25CDDF3E">
            <w:pPr>
              <w:keepNext w:val="0"/>
              <w:keepLines/>
              <w:widowControl/>
              <w:suppressLineNumbers w:val="0"/>
              <w:spacing w:before="0" w:beforeAutospacing="0" w:after="0" w:afterAutospacing="0" w:line="360" w:lineRule="exact"/>
              <w:ind w:left="0" w:right="0" w:firstLine="0" w:firstLineChars="0"/>
              <w:jc w:val="left"/>
              <w:rPr>
                <w:rFonts w:hint="default" w:ascii="Times New Roman" w:hAnsi="Times New Roman" w:eastAsiaTheme="minorEastAsia"/>
                <w:color w:val="000000" w:themeColor="text1"/>
                <w:szCs w:val="21"/>
                <w:highlight w:val="none"/>
              </w:rPr>
            </w:pPr>
            <w:r>
              <w:rPr>
                <w:rFonts w:hint="eastAsia" w:ascii="Times New Roman" w:hAnsi="Times New Roman" w:eastAsiaTheme="minorEastAsia"/>
                <w:color w:val="000000" w:themeColor="text1"/>
                <w:szCs w:val="21"/>
                <w:highlight w:val="none"/>
                <w:lang w:val="en-US" w:eastAsia="zh-CN"/>
              </w:rPr>
              <w:t>5</w:t>
            </w:r>
            <w:r>
              <w:rPr>
                <w:rFonts w:hint="eastAsia" w:ascii="Times New Roman" w:hAnsi="Times New Roman" w:eastAsiaTheme="minorEastAsia"/>
                <w:color w:val="000000" w:themeColor="text1"/>
                <w:szCs w:val="21"/>
                <w:highlight w:val="none"/>
              </w:rPr>
              <w:t>.</w:t>
            </w:r>
            <w:r>
              <w:rPr>
                <w:rFonts w:hint="default" w:ascii="Times New Roman" w:hAnsi="Times New Roman" w:eastAsiaTheme="minorEastAsia"/>
                <w:color w:val="000000" w:themeColor="text1"/>
                <w:szCs w:val="21"/>
                <w:highlight w:val="none"/>
              </w:rPr>
              <w:t>供应商基本情况表</w:t>
            </w:r>
          </w:p>
          <w:p w14:paraId="0F3A4872">
            <w:pPr>
              <w:keepNext w:val="0"/>
              <w:keepLines/>
              <w:widowControl/>
              <w:suppressLineNumbers w:val="0"/>
              <w:spacing w:before="0" w:beforeAutospacing="0" w:after="0" w:afterAutospacing="0" w:line="360" w:lineRule="exact"/>
              <w:ind w:left="0" w:right="0" w:firstLine="0" w:firstLineChars="0"/>
              <w:jc w:val="left"/>
              <w:rPr>
                <w:rFonts w:hint="default" w:eastAsiaTheme="minorEastAsia"/>
                <w:color w:val="000000" w:themeColor="text1"/>
                <w:szCs w:val="21"/>
              </w:rPr>
            </w:pPr>
            <w:r>
              <w:rPr>
                <w:rFonts w:hint="eastAsia" w:ascii="Times New Roman" w:hAnsi="Times New Roman" w:eastAsiaTheme="minorEastAsia"/>
                <w:color w:val="000000" w:themeColor="text1"/>
                <w:szCs w:val="21"/>
                <w:highlight w:val="none"/>
              </w:rPr>
              <w:t>企业营业执照</w:t>
            </w:r>
            <w:r>
              <w:rPr>
                <w:rFonts w:hint="eastAsia" w:ascii="Times New Roman" w:hAnsi="Times New Roman" w:eastAsiaTheme="minorEastAsia"/>
                <w:color w:val="000000" w:themeColor="text1"/>
                <w:szCs w:val="21"/>
                <w:highlight w:val="none"/>
                <w:lang w:eastAsia="zh-CN"/>
              </w:rPr>
              <w:t>、</w:t>
            </w:r>
            <w:r>
              <w:rPr>
                <w:rFonts w:hint="eastAsia" w:ascii="Times New Roman" w:hAnsi="Times New Roman" w:eastAsiaTheme="minorEastAsia"/>
                <w:color w:val="000000" w:themeColor="text1"/>
                <w:szCs w:val="21"/>
                <w:highlight w:val="none"/>
              </w:rPr>
              <w:t>开户许可证或基本存款账户信息</w:t>
            </w:r>
          </w:p>
          <w:p w14:paraId="6CF9E9E9">
            <w:pPr>
              <w:keepNext w:val="0"/>
              <w:keepLines/>
              <w:widowControl/>
              <w:suppressLineNumbers w:val="0"/>
              <w:spacing w:before="0" w:beforeAutospacing="0" w:after="0" w:afterAutospacing="0" w:line="360" w:lineRule="exact"/>
              <w:ind w:left="0" w:right="0" w:firstLine="0" w:firstLineChars="0"/>
              <w:jc w:val="left"/>
              <w:rPr>
                <w:rFonts w:hint="eastAsia" w:eastAsiaTheme="minorEastAsia"/>
                <w:color w:val="000000" w:themeColor="text1"/>
                <w:szCs w:val="21"/>
              </w:rPr>
            </w:pPr>
            <w:r>
              <w:rPr>
                <w:rFonts w:hint="eastAsia" w:eastAsiaTheme="minorEastAsia"/>
                <w:color w:val="000000" w:themeColor="text1"/>
                <w:szCs w:val="21"/>
                <w:lang w:val="en-US" w:eastAsia="zh-CN"/>
              </w:rPr>
              <w:t>6</w:t>
            </w:r>
            <w:r>
              <w:rPr>
                <w:rFonts w:hint="eastAsia" w:eastAsiaTheme="minorEastAsia"/>
                <w:color w:val="000000" w:themeColor="text1"/>
                <w:szCs w:val="21"/>
              </w:rPr>
              <w:t>.项目负责人简历表</w:t>
            </w:r>
          </w:p>
          <w:p w14:paraId="7204EAC0">
            <w:pPr>
              <w:keepNext w:val="0"/>
              <w:keepLines/>
              <w:widowControl/>
              <w:suppressLineNumbers w:val="0"/>
              <w:shd w:val="clear"/>
              <w:spacing w:before="0" w:beforeAutospacing="0" w:after="0" w:afterAutospacing="0" w:line="360" w:lineRule="exact"/>
              <w:ind w:left="0" w:right="0" w:firstLine="0" w:firstLineChars="0"/>
              <w:jc w:val="left"/>
              <w:rPr>
                <w:rFonts w:hint="default" w:ascii="Times New Roman" w:hAnsi="Times New Roman" w:cs="Times New Roman" w:eastAsiaTheme="minorEastAsia"/>
                <w:color w:val="000000" w:themeColor="text1"/>
                <w:szCs w:val="21"/>
                <w:highlight w:val="none"/>
                <w:lang w:val="en-US" w:eastAsia="zh-CN"/>
              </w:rPr>
            </w:pPr>
            <w:r>
              <w:rPr>
                <w:rFonts w:hint="eastAsia" w:ascii="Times New Roman" w:hAnsi="Times New Roman" w:eastAsiaTheme="minorEastAsia"/>
                <w:color w:val="000000" w:themeColor="text1"/>
                <w:szCs w:val="21"/>
                <w:highlight w:val="none"/>
                <w:lang w:val="en-US" w:eastAsia="zh-CN"/>
              </w:rPr>
              <w:t>7.</w:t>
            </w:r>
            <w:r>
              <w:rPr>
                <w:rFonts w:hint="eastAsia" w:ascii="Times New Roman" w:hAnsi="Times New Roman" w:cs="Times New Roman" w:eastAsiaTheme="minorEastAsia"/>
                <w:color w:val="000000" w:themeColor="text1"/>
                <w:szCs w:val="21"/>
                <w:highlight w:val="none"/>
                <w:lang w:val="en-US" w:eastAsia="zh-CN"/>
              </w:rPr>
              <w:t>保证金缴纳银行电子回执</w:t>
            </w:r>
          </w:p>
          <w:p w14:paraId="399DABE9">
            <w:pPr>
              <w:keepNext w:val="0"/>
              <w:keepLines/>
              <w:widowControl/>
              <w:suppressLineNumbers w:val="0"/>
              <w:shd w:val="clear"/>
              <w:spacing w:before="0" w:beforeAutospacing="0" w:after="0" w:afterAutospacing="0" w:line="360" w:lineRule="exact"/>
              <w:ind w:left="0" w:right="0" w:firstLine="0" w:firstLineChars="0"/>
              <w:jc w:val="left"/>
              <w:rPr>
                <w:rFonts w:hint="default" w:eastAsiaTheme="minorEastAsia"/>
                <w:color w:val="000000" w:themeColor="text1"/>
                <w:szCs w:val="21"/>
                <w:highlight w:val="none"/>
              </w:rPr>
            </w:pPr>
            <w:r>
              <w:rPr>
                <w:rFonts w:hint="eastAsia" w:ascii="宋体" w:hAnsi="宋体" w:cs="宋体"/>
                <w:color w:val="000000" w:themeColor="text1"/>
                <w:szCs w:val="21"/>
              </w:rPr>
              <w:t>★</w:t>
            </w:r>
            <w:r>
              <w:rPr>
                <w:rFonts w:hint="default" w:eastAsiaTheme="minorEastAsia"/>
                <w:color w:val="000000" w:themeColor="text1"/>
                <w:szCs w:val="21"/>
              </w:rPr>
              <w:t>以上内容根据谈判文件要求提供并按顺序装订</w:t>
            </w:r>
            <w:r>
              <w:rPr>
                <w:rFonts w:hint="eastAsia"/>
                <w:color w:val="000000"/>
                <w:szCs w:val="21"/>
                <w:highlight w:val="none"/>
                <w:lang w:eastAsia="zh-CN"/>
              </w:rPr>
              <w:t>（排版）</w:t>
            </w:r>
            <w:r>
              <w:rPr>
                <w:rFonts w:hint="default" w:eastAsiaTheme="minorEastAsia"/>
                <w:color w:val="000000" w:themeColor="text1"/>
                <w:szCs w:val="21"/>
              </w:rPr>
              <w:t>。</w:t>
            </w:r>
          </w:p>
        </w:tc>
      </w:tr>
      <w:tr w14:paraId="32ECC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212" w:type="dxa"/>
            <w:tcBorders>
              <w:top w:val="single" w:color="auto" w:sz="4" w:space="0"/>
              <w:left w:val="single" w:color="auto" w:sz="4" w:space="0"/>
              <w:bottom w:val="single" w:color="auto" w:sz="4" w:space="0"/>
              <w:right w:val="single" w:color="auto" w:sz="4" w:space="0"/>
            </w:tcBorders>
            <w:vAlign w:val="center"/>
          </w:tcPr>
          <w:p w14:paraId="5A3D5737">
            <w:pPr>
              <w:keepNext w:val="0"/>
              <w:keepLines/>
              <w:widowControl/>
              <w:suppressLineNumbers w:val="0"/>
              <w:shd w:val="clear"/>
              <w:adjustRightInd w:val="0"/>
              <w:snapToGrid w:val="0"/>
              <w:spacing w:before="0" w:beforeAutospacing="0" w:after="0" w:afterAutospacing="0" w:line="360" w:lineRule="exact"/>
              <w:ind w:left="0" w:right="0" w:firstLine="0" w:firstLineChars="0"/>
              <w:jc w:val="center"/>
              <w:rPr>
                <w:rFonts w:hint="default" w:eastAsiaTheme="minorEastAsia"/>
                <w:color w:val="000000" w:themeColor="text1"/>
                <w:szCs w:val="21"/>
                <w:highlight w:val="none"/>
              </w:rPr>
            </w:pPr>
            <w:r>
              <w:rPr>
                <w:rFonts w:hint="default" w:eastAsiaTheme="minorEastAsia"/>
                <w:color w:val="000000" w:themeColor="text1"/>
                <w:szCs w:val="21"/>
                <w:highlight w:val="none"/>
              </w:rPr>
              <w:t>3.</w:t>
            </w:r>
            <w:r>
              <w:rPr>
                <w:rFonts w:hint="eastAsia" w:eastAsiaTheme="minorEastAsia"/>
                <w:color w:val="000000" w:themeColor="text1"/>
                <w:szCs w:val="21"/>
                <w:highlight w:val="none"/>
              </w:rPr>
              <w:t>2</w:t>
            </w:r>
            <w:r>
              <w:rPr>
                <w:rFonts w:hint="default" w:eastAsiaTheme="minorEastAsia"/>
                <w:color w:val="000000" w:themeColor="text1"/>
                <w:szCs w:val="21"/>
                <w:highlight w:val="none"/>
              </w:rPr>
              <w:t>.1</w:t>
            </w:r>
          </w:p>
        </w:tc>
        <w:tc>
          <w:tcPr>
            <w:tcW w:w="2269" w:type="dxa"/>
            <w:tcBorders>
              <w:top w:val="single" w:color="auto" w:sz="4" w:space="0"/>
              <w:left w:val="single" w:color="auto" w:sz="4" w:space="0"/>
              <w:bottom w:val="single" w:color="auto" w:sz="4" w:space="0"/>
              <w:right w:val="single" w:color="auto" w:sz="4" w:space="0"/>
            </w:tcBorders>
            <w:vAlign w:val="center"/>
          </w:tcPr>
          <w:p w14:paraId="6AD5795C">
            <w:pPr>
              <w:keepNext w:val="0"/>
              <w:keepLines/>
              <w:widowControl/>
              <w:suppressLineNumbers w:val="0"/>
              <w:shd w:val="clear"/>
              <w:adjustRightInd w:val="0"/>
              <w:snapToGrid w:val="0"/>
              <w:spacing w:before="0" w:beforeAutospacing="0" w:after="0" w:afterAutospacing="0" w:line="360" w:lineRule="exact"/>
              <w:ind w:left="0" w:right="0" w:firstLine="0" w:firstLineChars="0"/>
              <w:rPr>
                <w:rFonts w:hint="default" w:eastAsiaTheme="minorEastAsia"/>
                <w:color w:val="000000" w:themeColor="text1"/>
                <w:szCs w:val="21"/>
                <w:highlight w:val="none"/>
              </w:rPr>
            </w:pPr>
            <w:r>
              <w:rPr>
                <w:rFonts w:hint="default" w:hAnsiTheme="minorEastAsia" w:eastAsiaTheme="minorEastAsia"/>
                <w:color w:val="000000" w:themeColor="text1"/>
                <w:szCs w:val="21"/>
                <w:highlight w:val="none"/>
              </w:rPr>
              <w:t>合同价格形式</w:t>
            </w:r>
          </w:p>
        </w:tc>
        <w:tc>
          <w:tcPr>
            <w:tcW w:w="5581" w:type="dxa"/>
            <w:tcBorders>
              <w:top w:val="single" w:color="auto" w:sz="4" w:space="0"/>
              <w:left w:val="single" w:color="auto" w:sz="4" w:space="0"/>
              <w:bottom w:val="single" w:color="auto" w:sz="4" w:space="0"/>
              <w:right w:val="single" w:color="auto" w:sz="4" w:space="0"/>
            </w:tcBorders>
            <w:vAlign w:val="center"/>
          </w:tcPr>
          <w:p w14:paraId="7F534EA6">
            <w:pPr>
              <w:keepNext w:val="0"/>
              <w:keepLines/>
              <w:widowControl/>
              <w:suppressLineNumbers w:val="0"/>
              <w:shd w:val="clear"/>
              <w:adjustRightInd w:val="0"/>
              <w:snapToGrid w:val="0"/>
              <w:spacing w:before="0" w:beforeAutospacing="0" w:after="0" w:afterAutospacing="0" w:line="360" w:lineRule="exact"/>
              <w:ind w:left="0" w:right="0" w:firstLine="0" w:firstLineChars="0"/>
              <w:rPr>
                <w:rFonts w:hint="default" w:eastAsiaTheme="minorEastAsia"/>
                <w:color w:val="000000" w:themeColor="text1"/>
                <w:szCs w:val="21"/>
                <w:highlight w:val="none"/>
              </w:rPr>
            </w:pPr>
            <w:r>
              <w:rPr>
                <w:rFonts w:hint="eastAsia" w:hAnsiTheme="minorEastAsia" w:eastAsiaTheme="minorEastAsia"/>
                <w:color w:val="000000" w:themeColor="text1"/>
                <w:szCs w:val="21"/>
                <w:highlight w:val="none"/>
                <w:lang w:eastAsia="zh-CN"/>
              </w:rPr>
              <w:t>√</w:t>
            </w:r>
            <w:r>
              <w:rPr>
                <w:rFonts w:hint="default" w:hAnsiTheme="minorEastAsia" w:eastAsiaTheme="minorEastAsia"/>
                <w:color w:val="000000" w:themeColor="text1"/>
                <w:szCs w:val="21"/>
                <w:highlight w:val="none"/>
              </w:rPr>
              <w:t>单价合同</w:t>
            </w:r>
          </w:p>
          <w:p w14:paraId="6F81B51C">
            <w:pPr>
              <w:keepNext w:val="0"/>
              <w:keepLines/>
              <w:widowControl/>
              <w:suppressLineNumbers w:val="0"/>
              <w:shd w:val="clear"/>
              <w:adjustRightInd w:val="0"/>
              <w:snapToGrid w:val="0"/>
              <w:spacing w:before="0" w:beforeAutospacing="0" w:after="0" w:afterAutospacing="0" w:line="360" w:lineRule="exact"/>
              <w:ind w:left="0" w:right="0" w:firstLine="0" w:firstLineChars="0"/>
              <w:rPr>
                <w:rFonts w:hint="default" w:eastAsiaTheme="minorEastAsia"/>
                <w:color w:val="000000" w:themeColor="text1"/>
                <w:szCs w:val="21"/>
                <w:highlight w:val="none"/>
              </w:rPr>
            </w:pPr>
            <w:r>
              <w:rPr>
                <w:rFonts w:hint="eastAsia" w:hAnsiTheme="minorEastAsia" w:eastAsiaTheme="minorEastAsia"/>
                <w:color w:val="000000" w:themeColor="text1"/>
                <w:szCs w:val="21"/>
                <w:highlight w:val="none"/>
                <w:lang w:eastAsia="zh-CN"/>
              </w:rPr>
              <w:sym w:font="Wingdings" w:char="00A8"/>
            </w:r>
            <w:r>
              <w:rPr>
                <w:rFonts w:hint="default" w:hAnsiTheme="minorEastAsia" w:eastAsiaTheme="minorEastAsia"/>
                <w:color w:val="000000" w:themeColor="text1"/>
                <w:szCs w:val="21"/>
                <w:highlight w:val="none"/>
              </w:rPr>
              <w:t>总价合同</w:t>
            </w:r>
          </w:p>
        </w:tc>
      </w:tr>
      <w:tr w14:paraId="3DE0D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212" w:type="dxa"/>
            <w:tcBorders>
              <w:top w:val="single" w:color="auto" w:sz="4" w:space="0"/>
              <w:left w:val="single" w:color="auto" w:sz="4" w:space="0"/>
              <w:bottom w:val="single" w:color="auto" w:sz="4" w:space="0"/>
              <w:right w:val="single" w:color="auto" w:sz="4" w:space="0"/>
            </w:tcBorders>
            <w:vAlign w:val="center"/>
          </w:tcPr>
          <w:p w14:paraId="368AEFB3">
            <w:pPr>
              <w:keepNext w:val="0"/>
              <w:keepLines/>
              <w:widowControl/>
              <w:suppressLineNumbers w:val="0"/>
              <w:shd w:val="clear"/>
              <w:adjustRightInd w:val="0"/>
              <w:snapToGrid w:val="0"/>
              <w:spacing w:before="0" w:beforeAutospacing="0" w:after="0" w:afterAutospacing="0" w:line="360" w:lineRule="exact"/>
              <w:ind w:left="0" w:right="0" w:firstLine="0" w:firstLineChars="0"/>
              <w:jc w:val="center"/>
              <w:rPr>
                <w:rFonts w:hint="default" w:eastAsiaTheme="minorEastAsia"/>
                <w:color w:val="000000" w:themeColor="text1"/>
                <w:szCs w:val="21"/>
                <w:highlight w:val="none"/>
              </w:rPr>
            </w:pPr>
            <w:r>
              <w:rPr>
                <w:rFonts w:hint="default" w:eastAsiaTheme="minorEastAsia"/>
                <w:color w:val="000000" w:themeColor="text1"/>
                <w:szCs w:val="21"/>
                <w:highlight w:val="none"/>
              </w:rPr>
              <w:t>3.</w:t>
            </w:r>
            <w:r>
              <w:rPr>
                <w:rFonts w:hint="eastAsia" w:eastAsiaTheme="minorEastAsia"/>
                <w:color w:val="000000" w:themeColor="text1"/>
                <w:szCs w:val="21"/>
                <w:highlight w:val="none"/>
              </w:rPr>
              <w:t>3</w:t>
            </w:r>
            <w:r>
              <w:rPr>
                <w:rFonts w:hint="default" w:eastAsiaTheme="minorEastAsia"/>
                <w:color w:val="000000" w:themeColor="text1"/>
                <w:szCs w:val="21"/>
                <w:highlight w:val="none"/>
              </w:rPr>
              <w:t>.</w:t>
            </w:r>
            <w:r>
              <w:rPr>
                <w:rFonts w:hint="eastAsia" w:eastAsiaTheme="minorEastAsia"/>
                <w:color w:val="000000" w:themeColor="text1"/>
                <w:szCs w:val="21"/>
                <w:highlight w:val="none"/>
              </w:rPr>
              <w:t>1</w:t>
            </w:r>
          </w:p>
        </w:tc>
        <w:tc>
          <w:tcPr>
            <w:tcW w:w="2269" w:type="dxa"/>
            <w:tcBorders>
              <w:top w:val="single" w:color="auto" w:sz="4" w:space="0"/>
              <w:left w:val="single" w:color="auto" w:sz="4" w:space="0"/>
              <w:bottom w:val="single" w:color="auto" w:sz="4" w:space="0"/>
              <w:right w:val="single" w:color="auto" w:sz="4" w:space="0"/>
            </w:tcBorders>
            <w:vAlign w:val="center"/>
          </w:tcPr>
          <w:p w14:paraId="374B9285">
            <w:pPr>
              <w:keepNext w:val="0"/>
              <w:keepLines/>
              <w:widowControl/>
              <w:suppressLineNumbers w:val="0"/>
              <w:shd w:val="clear"/>
              <w:adjustRightInd w:val="0"/>
              <w:snapToGrid w:val="0"/>
              <w:spacing w:before="0" w:beforeAutospacing="0" w:after="0" w:afterAutospacing="0" w:line="360" w:lineRule="exact"/>
              <w:ind w:left="0" w:right="0" w:firstLine="0" w:firstLineChars="0"/>
              <w:rPr>
                <w:rFonts w:hint="default" w:eastAsiaTheme="minorEastAsia"/>
                <w:color w:val="000000" w:themeColor="text1"/>
                <w:szCs w:val="21"/>
                <w:highlight w:val="none"/>
              </w:rPr>
            </w:pPr>
            <w:r>
              <w:rPr>
                <w:rFonts w:hint="eastAsia" w:hAnsiTheme="minorEastAsia" w:eastAsiaTheme="minorEastAsia"/>
                <w:color w:val="000000" w:themeColor="text1"/>
                <w:szCs w:val="21"/>
                <w:highlight w:val="none"/>
              </w:rPr>
              <w:t>谈判</w:t>
            </w:r>
            <w:r>
              <w:rPr>
                <w:rFonts w:hint="default" w:hAnsiTheme="minorEastAsia" w:eastAsiaTheme="minorEastAsia"/>
                <w:color w:val="000000" w:themeColor="text1"/>
                <w:szCs w:val="21"/>
                <w:highlight w:val="none"/>
              </w:rPr>
              <w:t>有效期</w:t>
            </w:r>
          </w:p>
        </w:tc>
        <w:tc>
          <w:tcPr>
            <w:tcW w:w="5581" w:type="dxa"/>
            <w:tcBorders>
              <w:top w:val="single" w:color="auto" w:sz="4" w:space="0"/>
              <w:left w:val="single" w:color="auto" w:sz="4" w:space="0"/>
              <w:bottom w:val="single" w:color="auto" w:sz="4" w:space="0"/>
              <w:right w:val="single" w:color="auto" w:sz="4" w:space="0"/>
            </w:tcBorders>
            <w:vAlign w:val="center"/>
          </w:tcPr>
          <w:p w14:paraId="7669C521">
            <w:pPr>
              <w:keepNext w:val="0"/>
              <w:keepLines/>
              <w:widowControl/>
              <w:suppressLineNumbers w:val="0"/>
              <w:shd w:val="clear"/>
              <w:adjustRightInd w:val="0"/>
              <w:snapToGrid w:val="0"/>
              <w:spacing w:before="0" w:beforeAutospacing="0" w:after="0" w:afterAutospacing="0" w:line="360" w:lineRule="exact"/>
              <w:ind w:left="0" w:right="0" w:firstLine="0" w:firstLineChars="0"/>
              <w:rPr>
                <w:rFonts w:hint="default" w:eastAsiaTheme="minorEastAsia"/>
                <w:color w:val="000000" w:themeColor="text1"/>
                <w:szCs w:val="21"/>
                <w:highlight w:val="none"/>
              </w:rPr>
            </w:pPr>
            <w:r>
              <w:rPr>
                <w:rFonts w:hint="eastAsia" w:hAnsiTheme="minorEastAsia" w:eastAsiaTheme="minorEastAsia"/>
                <w:color w:val="000000" w:themeColor="text1"/>
                <w:szCs w:val="21"/>
                <w:highlight w:val="none"/>
              </w:rPr>
              <w:t>响应</w:t>
            </w:r>
            <w:r>
              <w:rPr>
                <w:rFonts w:hint="default" w:hAnsiTheme="minorEastAsia" w:eastAsiaTheme="minorEastAsia"/>
                <w:color w:val="000000" w:themeColor="text1"/>
                <w:szCs w:val="21"/>
                <w:highlight w:val="none"/>
              </w:rPr>
              <w:t>文件递交截止日后</w:t>
            </w:r>
            <w:r>
              <w:rPr>
                <w:rFonts w:hint="eastAsia" w:eastAsiaTheme="minorEastAsia"/>
                <w:color w:val="000000" w:themeColor="text1"/>
                <w:szCs w:val="21"/>
                <w:highlight w:val="none"/>
                <w:u w:val="single"/>
              </w:rPr>
              <w:t xml:space="preserve"> </w:t>
            </w:r>
            <w:r>
              <w:rPr>
                <w:rFonts w:hint="eastAsia" w:eastAsiaTheme="minorEastAsia"/>
                <w:color w:val="000000" w:themeColor="text1"/>
                <w:szCs w:val="21"/>
                <w:highlight w:val="none"/>
                <w:u w:val="single"/>
                <w:lang w:val="en-US" w:eastAsia="zh-CN"/>
              </w:rPr>
              <w:t>90</w:t>
            </w:r>
            <w:r>
              <w:rPr>
                <w:rFonts w:hint="eastAsia" w:eastAsiaTheme="minorEastAsia"/>
                <w:color w:val="000000" w:themeColor="text1"/>
                <w:szCs w:val="21"/>
                <w:highlight w:val="none"/>
                <w:u w:val="single"/>
              </w:rPr>
              <w:t xml:space="preserve"> </w:t>
            </w:r>
            <w:r>
              <w:rPr>
                <w:rFonts w:hint="default" w:hAnsiTheme="minorEastAsia" w:eastAsiaTheme="minorEastAsia"/>
                <w:color w:val="000000" w:themeColor="text1"/>
                <w:szCs w:val="21"/>
                <w:highlight w:val="none"/>
              </w:rPr>
              <w:t>日历天</w:t>
            </w:r>
          </w:p>
        </w:tc>
      </w:tr>
      <w:tr w14:paraId="6E9F3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12" w:type="dxa"/>
            <w:tcBorders>
              <w:top w:val="single" w:color="auto" w:sz="4" w:space="0"/>
              <w:left w:val="single" w:color="auto" w:sz="4" w:space="0"/>
              <w:bottom w:val="single" w:color="auto" w:sz="4" w:space="0"/>
              <w:right w:val="single" w:color="auto" w:sz="4" w:space="0"/>
            </w:tcBorders>
            <w:vAlign w:val="center"/>
          </w:tcPr>
          <w:p w14:paraId="542B806F">
            <w:pPr>
              <w:keepNext w:val="0"/>
              <w:keepLines/>
              <w:widowControl/>
              <w:suppressLineNumbers w:val="0"/>
              <w:shd w:val="clear"/>
              <w:adjustRightInd w:val="0"/>
              <w:snapToGrid w:val="0"/>
              <w:spacing w:before="0" w:beforeAutospacing="0" w:after="0" w:afterAutospacing="0" w:line="360" w:lineRule="exact"/>
              <w:ind w:left="0" w:right="0" w:firstLine="0" w:firstLineChars="0"/>
              <w:jc w:val="center"/>
              <w:rPr>
                <w:rFonts w:hint="default" w:eastAsiaTheme="minorEastAsia"/>
                <w:color w:val="000000" w:themeColor="text1"/>
                <w:szCs w:val="21"/>
                <w:highlight w:val="none"/>
              </w:rPr>
            </w:pPr>
            <w:r>
              <w:rPr>
                <w:rFonts w:hint="default" w:eastAsiaTheme="minorEastAsia"/>
                <w:color w:val="000000" w:themeColor="text1"/>
                <w:szCs w:val="21"/>
                <w:highlight w:val="none"/>
              </w:rPr>
              <w:t>3.4.1</w:t>
            </w:r>
          </w:p>
        </w:tc>
        <w:tc>
          <w:tcPr>
            <w:tcW w:w="2269" w:type="dxa"/>
            <w:tcBorders>
              <w:top w:val="single" w:color="auto" w:sz="4" w:space="0"/>
              <w:left w:val="single" w:color="auto" w:sz="4" w:space="0"/>
              <w:bottom w:val="single" w:color="auto" w:sz="4" w:space="0"/>
              <w:right w:val="single" w:color="auto" w:sz="4" w:space="0"/>
            </w:tcBorders>
            <w:vAlign w:val="center"/>
          </w:tcPr>
          <w:p w14:paraId="1862B4D2">
            <w:pPr>
              <w:keepNext w:val="0"/>
              <w:keepLines/>
              <w:widowControl/>
              <w:suppressLineNumbers w:val="0"/>
              <w:shd w:val="clear"/>
              <w:adjustRightInd w:val="0"/>
              <w:snapToGrid w:val="0"/>
              <w:spacing w:before="0" w:beforeAutospacing="0" w:after="0" w:afterAutospacing="0" w:line="360" w:lineRule="exact"/>
              <w:ind w:left="0" w:right="0" w:firstLine="0" w:firstLineChars="0"/>
              <w:rPr>
                <w:rFonts w:hint="default" w:eastAsiaTheme="minorEastAsia"/>
                <w:color w:val="000000" w:themeColor="text1"/>
                <w:szCs w:val="21"/>
                <w:highlight w:val="none"/>
              </w:rPr>
            </w:pPr>
            <w:r>
              <w:rPr>
                <w:rFonts w:hint="eastAsia" w:hAnsiTheme="minorEastAsia" w:eastAsiaTheme="minorEastAsia"/>
                <w:color w:val="000000" w:themeColor="text1"/>
                <w:szCs w:val="21"/>
                <w:highlight w:val="none"/>
              </w:rPr>
              <w:t>谈判</w:t>
            </w:r>
            <w:r>
              <w:rPr>
                <w:rFonts w:hint="default" w:hAnsiTheme="minorEastAsia" w:eastAsiaTheme="minorEastAsia"/>
                <w:color w:val="000000" w:themeColor="text1"/>
                <w:szCs w:val="21"/>
                <w:highlight w:val="none"/>
              </w:rPr>
              <w:t>保证金</w:t>
            </w:r>
          </w:p>
        </w:tc>
        <w:tc>
          <w:tcPr>
            <w:tcW w:w="5581" w:type="dxa"/>
            <w:tcBorders>
              <w:top w:val="single" w:color="auto" w:sz="4" w:space="0"/>
              <w:left w:val="single" w:color="auto" w:sz="4" w:space="0"/>
              <w:bottom w:val="single" w:color="auto" w:sz="4" w:space="0"/>
              <w:right w:val="single" w:color="auto" w:sz="4" w:space="0"/>
            </w:tcBorders>
          </w:tcPr>
          <w:p w14:paraId="6FBA6697">
            <w:pPr>
              <w:keepNext w:val="0"/>
              <w:keepLines/>
              <w:widowControl/>
              <w:suppressLineNumbers w:val="0"/>
              <w:shd w:val="clear"/>
              <w:snapToGrid w:val="0"/>
              <w:spacing w:before="0" w:beforeAutospacing="0" w:after="0" w:afterAutospacing="0" w:line="360" w:lineRule="exact"/>
              <w:ind w:left="0" w:right="0" w:firstLine="0" w:firstLineChars="0"/>
              <w:jc w:val="left"/>
              <w:rPr>
                <w:rFonts w:hint="default" w:hAnsi="宋体"/>
                <w:color w:val="000000"/>
                <w:szCs w:val="21"/>
                <w:highlight w:val="none"/>
              </w:rPr>
            </w:pPr>
            <w:r>
              <w:rPr>
                <w:rFonts w:hint="eastAsia" w:hAnsi="宋体"/>
                <w:color w:val="000000"/>
                <w:szCs w:val="21"/>
                <w:highlight w:val="none"/>
              </w:rPr>
              <w:t>一、谈判保证金的形式：转账、电汇、网银形式</w:t>
            </w:r>
          </w:p>
          <w:p w14:paraId="32C2924B">
            <w:pPr>
              <w:keepNext w:val="0"/>
              <w:keepLines/>
              <w:widowControl/>
              <w:suppressLineNumbers w:val="0"/>
              <w:shd w:val="clear"/>
              <w:snapToGrid w:val="0"/>
              <w:spacing w:before="0" w:beforeAutospacing="0" w:after="0" w:afterAutospacing="0" w:line="360" w:lineRule="exact"/>
              <w:ind w:left="0" w:right="0" w:firstLine="0" w:firstLineChars="0"/>
              <w:jc w:val="left"/>
              <w:rPr>
                <w:rFonts w:hint="eastAsia" w:hAnsi="宋体" w:eastAsia="宋体"/>
                <w:color w:val="000000"/>
                <w:szCs w:val="21"/>
                <w:highlight w:val="yellow"/>
                <w:lang w:eastAsia="zh-CN"/>
              </w:rPr>
            </w:pPr>
            <w:r>
              <w:rPr>
                <w:rFonts w:hint="eastAsia" w:hAnsi="宋体"/>
                <w:color w:val="000000"/>
                <w:szCs w:val="21"/>
                <w:highlight w:val="none"/>
              </w:rPr>
              <w:t>二、谈判保证金的金额</w:t>
            </w:r>
            <w:r>
              <w:rPr>
                <w:rFonts w:hint="eastAsia" w:hAnsi="宋体"/>
                <w:color w:val="000000"/>
                <w:szCs w:val="21"/>
                <w:highlight w:val="yellow"/>
              </w:rPr>
              <w:t>：RMB￥</w:t>
            </w:r>
            <w:r>
              <w:rPr>
                <w:rFonts w:hint="eastAsia" w:hAnsi="宋体"/>
                <w:color w:val="000000"/>
                <w:szCs w:val="21"/>
                <w:highlight w:val="yellow"/>
                <w:u w:val="single"/>
              </w:rPr>
              <w:t xml:space="preserve"> </w:t>
            </w:r>
            <w:r>
              <w:rPr>
                <w:rFonts w:hint="eastAsia" w:hAnsi="宋体"/>
                <w:b/>
                <w:bCs/>
                <w:color w:val="000000"/>
                <w:szCs w:val="21"/>
                <w:highlight w:val="yellow"/>
                <w:u w:val="single"/>
                <w:lang w:val="en-US" w:eastAsia="zh-CN"/>
              </w:rPr>
              <w:t>10000.00</w:t>
            </w:r>
            <w:r>
              <w:rPr>
                <w:rFonts w:hint="eastAsia" w:hAnsi="宋体"/>
                <w:color w:val="000000"/>
                <w:szCs w:val="21"/>
                <w:highlight w:val="yellow"/>
                <w:u w:val="single"/>
              </w:rPr>
              <w:t xml:space="preserve"> </w:t>
            </w:r>
            <w:r>
              <w:rPr>
                <w:rFonts w:hint="eastAsia" w:hAnsi="宋体"/>
                <w:color w:val="000000"/>
                <w:szCs w:val="21"/>
                <w:highlight w:val="yellow"/>
              </w:rPr>
              <w:t>元</w:t>
            </w:r>
            <w:r>
              <w:rPr>
                <w:rFonts w:hint="eastAsia" w:hAnsi="宋体"/>
                <w:color w:val="000000"/>
                <w:szCs w:val="21"/>
                <w:highlight w:val="yellow"/>
                <w:lang w:eastAsia="zh-CN"/>
              </w:rPr>
              <w:t>（</w:t>
            </w:r>
            <w:r>
              <w:rPr>
                <w:rFonts w:hint="eastAsia" w:hAnsi="宋体"/>
                <w:color w:val="000000"/>
                <w:szCs w:val="21"/>
                <w:highlight w:val="yellow"/>
              </w:rPr>
              <w:t>大写：人民币</w:t>
            </w:r>
            <w:r>
              <w:rPr>
                <w:rFonts w:hint="eastAsia" w:hAnsi="宋体"/>
                <w:color w:val="000000"/>
                <w:szCs w:val="21"/>
                <w:highlight w:val="yellow"/>
                <w:u w:val="single"/>
              </w:rPr>
              <w:t xml:space="preserve"> </w:t>
            </w:r>
            <w:r>
              <w:rPr>
                <w:rFonts w:hint="eastAsia" w:hAnsi="宋体"/>
                <w:b/>
                <w:bCs/>
                <w:color w:val="000000"/>
                <w:szCs w:val="21"/>
                <w:highlight w:val="yellow"/>
                <w:u w:val="single"/>
                <w:lang w:eastAsia="zh-CN"/>
              </w:rPr>
              <w:t>壹万</w:t>
            </w:r>
            <w:r>
              <w:rPr>
                <w:rFonts w:hint="eastAsia" w:hAnsi="宋体"/>
                <w:color w:val="000000"/>
                <w:szCs w:val="21"/>
                <w:highlight w:val="yellow"/>
                <w:u w:val="single"/>
              </w:rPr>
              <w:t xml:space="preserve"> </w:t>
            </w:r>
            <w:r>
              <w:rPr>
                <w:rFonts w:hint="eastAsia" w:hAnsi="宋体"/>
                <w:color w:val="000000"/>
                <w:szCs w:val="21"/>
                <w:highlight w:val="yellow"/>
              </w:rPr>
              <w:t>元整</w:t>
            </w:r>
            <w:r>
              <w:rPr>
                <w:rFonts w:hint="eastAsia" w:hAnsi="宋体"/>
                <w:color w:val="000000"/>
                <w:szCs w:val="21"/>
                <w:highlight w:val="yellow"/>
                <w:lang w:eastAsia="zh-CN"/>
              </w:rPr>
              <w:t>）</w:t>
            </w:r>
          </w:p>
          <w:p w14:paraId="5741E4A6">
            <w:pPr>
              <w:keepNext w:val="0"/>
              <w:keepLines/>
              <w:widowControl/>
              <w:suppressLineNumbers w:val="0"/>
              <w:shd w:val="clear"/>
              <w:snapToGrid w:val="0"/>
              <w:spacing w:before="0" w:beforeAutospacing="0" w:after="0" w:afterAutospacing="0" w:line="360" w:lineRule="exact"/>
              <w:ind w:left="0" w:right="0" w:firstLine="0" w:firstLineChars="0"/>
              <w:jc w:val="left"/>
              <w:rPr>
                <w:rFonts w:hint="default" w:hAnsi="宋体"/>
                <w:color w:val="000000"/>
                <w:szCs w:val="21"/>
                <w:highlight w:val="none"/>
              </w:rPr>
            </w:pPr>
            <w:r>
              <w:rPr>
                <w:rFonts w:hint="eastAsia" w:hAnsi="宋体"/>
                <w:color w:val="000000"/>
                <w:szCs w:val="21"/>
                <w:highlight w:val="none"/>
              </w:rPr>
              <w:t>三、收款人信息：</w:t>
            </w:r>
          </w:p>
          <w:p w14:paraId="1E28EB25">
            <w:pPr>
              <w:keepNext w:val="0"/>
              <w:keepLines/>
              <w:widowControl/>
              <w:suppressLineNumbers w:val="0"/>
              <w:shd w:val="clear"/>
              <w:snapToGrid w:val="0"/>
              <w:spacing w:before="0" w:beforeAutospacing="0" w:after="0" w:afterAutospacing="0" w:line="360" w:lineRule="exact"/>
              <w:ind w:left="0" w:right="0" w:firstLine="0" w:firstLineChars="0"/>
              <w:jc w:val="left"/>
              <w:rPr>
                <w:rFonts w:hint="default" w:hAnsi="宋体"/>
                <w:color w:val="000000"/>
                <w:szCs w:val="21"/>
                <w:highlight w:val="none"/>
              </w:rPr>
            </w:pPr>
            <w:r>
              <w:rPr>
                <w:rFonts w:hint="eastAsia" w:hAnsi="宋体"/>
                <w:color w:val="000000"/>
                <w:szCs w:val="21"/>
                <w:highlight w:val="none"/>
              </w:rPr>
              <w:t>户名：</w:t>
            </w:r>
            <w:r>
              <w:rPr>
                <w:rFonts w:hint="eastAsia" w:hAnsi="宋体"/>
                <w:b/>
                <w:bCs/>
                <w:color w:val="000000"/>
                <w:szCs w:val="21"/>
                <w:highlight w:val="none"/>
                <w:u w:val="single"/>
                <w:lang w:eastAsia="zh-CN"/>
              </w:rPr>
              <w:t>连云港徐圩城建工程有限公司</w:t>
            </w:r>
          </w:p>
          <w:p w14:paraId="5592DE37">
            <w:pPr>
              <w:keepNext w:val="0"/>
              <w:keepLines/>
              <w:widowControl/>
              <w:suppressLineNumbers w:val="0"/>
              <w:shd w:val="clear"/>
              <w:snapToGrid w:val="0"/>
              <w:spacing w:before="0" w:beforeAutospacing="0" w:after="0" w:afterAutospacing="0" w:line="360" w:lineRule="exact"/>
              <w:ind w:left="0" w:right="0" w:firstLine="0" w:firstLineChars="0"/>
              <w:jc w:val="left"/>
              <w:rPr>
                <w:rFonts w:hint="default" w:hAnsi="宋体"/>
                <w:color w:val="000000"/>
                <w:szCs w:val="21"/>
                <w:highlight w:val="none"/>
              </w:rPr>
            </w:pPr>
            <w:r>
              <w:rPr>
                <w:rFonts w:hint="eastAsia" w:hAnsi="宋体"/>
                <w:color w:val="000000"/>
                <w:szCs w:val="21"/>
                <w:highlight w:val="none"/>
              </w:rPr>
              <w:t>开户银行：</w:t>
            </w:r>
            <w:r>
              <w:rPr>
                <w:rFonts w:hint="eastAsia" w:hAnsi="宋体"/>
                <w:b/>
                <w:bCs/>
                <w:color w:val="000000"/>
                <w:szCs w:val="21"/>
                <w:highlight w:val="none"/>
                <w:u w:val="single"/>
              </w:rPr>
              <w:t>中国建设银行股份有限公司连云港徐圩支行</w:t>
            </w:r>
            <w:r>
              <w:rPr>
                <w:rFonts w:hint="eastAsia" w:hAnsi="宋体"/>
                <w:color w:val="000000"/>
                <w:szCs w:val="21"/>
                <w:highlight w:val="none"/>
              </w:rPr>
              <w:t xml:space="preserve"> </w:t>
            </w:r>
          </w:p>
          <w:p w14:paraId="3C971AE2">
            <w:pPr>
              <w:keepNext w:val="0"/>
              <w:keepLines/>
              <w:widowControl/>
              <w:suppressLineNumbers w:val="0"/>
              <w:shd w:val="clear"/>
              <w:snapToGrid w:val="0"/>
              <w:spacing w:before="0" w:beforeAutospacing="0" w:after="0" w:afterAutospacing="0" w:line="360" w:lineRule="exact"/>
              <w:ind w:left="0" w:right="0" w:firstLine="0" w:firstLineChars="0"/>
              <w:jc w:val="left"/>
              <w:rPr>
                <w:rFonts w:hint="default"/>
                <w:szCs w:val="21"/>
                <w:highlight w:val="none"/>
              </w:rPr>
            </w:pPr>
            <w:r>
              <w:rPr>
                <w:rFonts w:hint="eastAsia" w:hAnsi="宋体"/>
                <w:color w:val="000000"/>
                <w:szCs w:val="21"/>
                <w:highlight w:val="none"/>
              </w:rPr>
              <w:t>账号：</w:t>
            </w:r>
            <w:r>
              <w:rPr>
                <w:rFonts w:hint="eastAsia" w:ascii="Times New Roman" w:hAnsi="Times New Roman"/>
                <w:b w:val="0"/>
                <w:bCs w:val="0"/>
                <w:szCs w:val="21"/>
                <w:highlight w:val="yellow"/>
                <w:u w:val="single"/>
              </w:rPr>
              <w:t>320501104728000003</w:t>
            </w:r>
            <w:bookmarkStart w:id="251" w:name="_GoBack"/>
            <w:bookmarkEnd w:id="251"/>
            <w:r>
              <w:rPr>
                <w:rFonts w:hint="eastAsia" w:ascii="Times New Roman" w:hAnsi="Times New Roman"/>
                <w:b w:val="0"/>
                <w:bCs w:val="0"/>
                <w:szCs w:val="21"/>
                <w:highlight w:val="yellow"/>
                <w:u w:val="single"/>
              </w:rPr>
              <w:t>18</w:t>
            </w:r>
            <w:r>
              <w:rPr>
                <w:rFonts w:hint="eastAsia"/>
                <w:szCs w:val="21"/>
                <w:highlight w:val="yellow"/>
              </w:rPr>
              <w:t xml:space="preserve"> </w:t>
            </w:r>
            <w:r>
              <w:rPr>
                <w:rFonts w:hint="eastAsia"/>
                <w:szCs w:val="21"/>
                <w:highlight w:val="none"/>
              </w:rPr>
              <w:t xml:space="preserve"> </w:t>
            </w:r>
          </w:p>
          <w:p w14:paraId="77F0413A">
            <w:pPr>
              <w:pStyle w:val="18"/>
              <w:keepNext w:val="0"/>
              <w:keepLines/>
              <w:widowControl/>
              <w:suppressLineNumbers w:val="0"/>
              <w:shd w:val="clear"/>
              <w:spacing w:before="0" w:beforeAutospacing="0" w:afterAutospacing="0" w:line="360" w:lineRule="exact"/>
              <w:ind w:left="0" w:right="63" w:firstLine="0" w:firstLineChars="0"/>
              <w:jc w:val="left"/>
              <w:rPr>
                <w:rFonts w:hint="default"/>
                <w:szCs w:val="21"/>
                <w:highlight w:val="none"/>
              </w:rPr>
            </w:pPr>
            <w:r>
              <w:rPr>
                <w:rFonts w:hint="eastAsia"/>
                <w:szCs w:val="21"/>
                <w:highlight w:val="none"/>
              </w:rPr>
              <w:t>谈判</w:t>
            </w:r>
            <w:r>
              <w:rPr>
                <w:rFonts w:hint="default"/>
                <w:szCs w:val="21"/>
                <w:highlight w:val="none"/>
              </w:rPr>
              <w:t>保证金缴纳时应注明：</w:t>
            </w:r>
            <w:r>
              <w:rPr>
                <w:rFonts w:hint="eastAsia"/>
                <w:szCs w:val="21"/>
                <w:highlight w:val="none"/>
                <w:u w:val="single"/>
              </w:rPr>
              <w:t xml:space="preserve"> </w:t>
            </w:r>
            <w:r>
              <w:rPr>
                <w:rFonts w:hint="eastAsia"/>
                <w:szCs w:val="21"/>
                <w:highlight w:val="none"/>
                <w:u w:val="single"/>
                <w:lang w:eastAsia="zh-CN"/>
              </w:rPr>
              <w:t>物流集散道路工程EPC项目-道路工程劳务</w:t>
            </w:r>
            <w:r>
              <w:rPr>
                <w:rFonts w:hint="eastAsia"/>
                <w:szCs w:val="21"/>
                <w:highlight w:val="none"/>
                <w:u w:val="single"/>
              </w:rPr>
              <w:t xml:space="preserve"> </w:t>
            </w:r>
            <w:r>
              <w:rPr>
                <w:rFonts w:hint="default"/>
                <w:szCs w:val="21"/>
                <w:highlight w:val="none"/>
              </w:rPr>
              <w:t>保证金（如字数过多可简写项目名称关键字）</w:t>
            </w:r>
          </w:p>
          <w:p w14:paraId="164DD730">
            <w:pPr>
              <w:keepNext w:val="0"/>
              <w:keepLines/>
              <w:widowControl/>
              <w:suppressLineNumbers w:val="0"/>
              <w:shd w:val="clear"/>
              <w:snapToGrid w:val="0"/>
              <w:spacing w:before="0" w:beforeAutospacing="0" w:after="0" w:afterAutospacing="0" w:line="360" w:lineRule="exact"/>
              <w:ind w:left="0" w:right="0" w:firstLine="0" w:firstLineChars="0"/>
              <w:jc w:val="left"/>
              <w:rPr>
                <w:rFonts w:hint="default" w:ascii="Times New Roman" w:hAnsi="Times New Roman"/>
                <w:color w:val="000000"/>
                <w:szCs w:val="21"/>
                <w:highlight w:val="none"/>
              </w:rPr>
            </w:pPr>
            <w:r>
              <w:rPr>
                <w:rFonts w:hint="eastAsia" w:ascii="Times New Roman" w:hAnsi="Times New Roman"/>
                <w:color w:val="000000"/>
                <w:szCs w:val="21"/>
                <w:highlight w:val="none"/>
              </w:rPr>
              <w:t>注意事项：</w:t>
            </w:r>
          </w:p>
          <w:p w14:paraId="4A56643C">
            <w:pPr>
              <w:keepNext w:val="0"/>
              <w:keepLines/>
              <w:widowControl/>
              <w:suppressLineNumbers w:val="0"/>
              <w:shd w:val="clear"/>
              <w:snapToGrid w:val="0"/>
              <w:spacing w:before="0" w:beforeAutospacing="0" w:after="0" w:afterAutospacing="0" w:line="360" w:lineRule="exact"/>
              <w:ind w:left="0" w:right="0" w:firstLine="0" w:firstLineChars="0"/>
              <w:jc w:val="left"/>
              <w:rPr>
                <w:rFonts w:hint="default" w:ascii="Times New Roman" w:hAnsi="Times New Roman"/>
                <w:color w:val="000000"/>
                <w:szCs w:val="21"/>
                <w:highlight w:val="none"/>
              </w:rPr>
            </w:pPr>
            <w:r>
              <w:rPr>
                <w:rFonts w:hint="eastAsia" w:ascii="Times New Roman" w:hAnsi="Times New Roman"/>
                <w:color w:val="000000"/>
                <w:szCs w:val="21"/>
                <w:highlight w:val="none"/>
              </w:rPr>
              <w:t>1. 采用转账、电汇、网银等形式缴纳保证金的，保证金应以供应商的存款账户缴纳，</w:t>
            </w:r>
            <w:r>
              <w:rPr>
                <w:rFonts w:hint="eastAsia" w:ascii="Times New Roman" w:hAnsi="Times New Roman"/>
                <w:b/>
                <w:bCs/>
                <w:color w:val="000000"/>
                <w:szCs w:val="21"/>
                <w:highlight w:val="none"/>
              </w:rPr>
              <w:t>以个人、企业的办事处、分公司、子公司名义或从他人账户缴纳的保证金无效</w:t>
            </w:r>
            <w:r>
              <w:rPr>
                <w:rFonts w:hint="eastAsia" w:ascii="Times New Roman" w:hAnsi="Times New Roman"/>
                <w:b/>
                <w:bCs/>
                <w:color w:val="000000"/>
                <w:szCs w:val="21"/>
                <w:highlight w:val="none"/>
                <w:lang w:eastAsia="zh-CN"/>
              </w:rPr>
              <w:t>。</w:t>
            </w:r>
            <w:r>
              <w:rPr>
                <w:rFonts w:hint="eastAsia" w:ascii="Times New Roman" w:hAnsi="Times New Roman"/>
                <w:color w:val="000000"/>
                <w:szCs w:val="21"/>
                <w:highlight w:val="none"/>
              </w:rPr>
              <w:t>谈判保证金必须在响应文件递交截止时间前足额到账，超过谈判文件规定和要求递交谈判保证金的其响应文件无效；</w:t>
            </w:r>
          </w:p>
          <w:p w14:paraId="387D2942">
            <w:pPr>
              <w:keepNext w:val="0"/>
              <w:keepLines/>
              <w:widowControl/>
              <w:suppressLineNumbers w:val="0"/>
              <w:shd w:val="clear"/>
              <w:snapToGrid w:val="0"/>
              <w:spacing w:before="0" w:beforeAutospacing="0" w:after="0" w:afterAutospacing="0" w:line="360" w:lineRule="exact"/>
              <w:ind w:left="0" w:right="0" w:firstLine="0" w:firstLineChars="0"/>
              <w:jc w:val="left"/>
              <w:rPr>
                <w:rFonts w:hint="default" w:eastAsiaTheme="minorEastAsia"/>
                <w:b/>
                <w:highlight w:val="none"/>
              </w:rPr>
            </w:pPr>
            <w:r>
              <w:rPr>
                <w:rFonts w:hint="eastAsia" w:ascii="Times New Roman" w:hAnsi="Times New Roman"/>
                <w:color w:val="000000"/>
                <w:szCs w:val="21"/>
                <w:highlight w:val="none"/>
              </w:rPr>
              <w:t>2. 供应商应充分考虑保证金缴纳时间段内的银行处理业务时间以及节假日等客观因素，确保在工作日及时汇出并保证按时到账。</w:t>
            </w:r>
          </w:p>
        </w:tc>
      </w:tr>
      <w:tr w14:paraId="13F40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12" w:type="dxa"/>
            <w:tcBorders>
              <w:top w:val="single" w:color="auto" w:sz="4" w:space="0"/>
              <w:left w:val="single" w:color="auto" w:sz="4" w:space="0"/>
              <w:bottom w:val="single" w:color="auto" w:sz="4" w:space="0"/>
              <w:right w:val="single" w:color="auto" w:sz="4" w:space="0"/>
            </w:tcBorders>
            <w:vAlign w:val="center"/>
          </w:tcPr>
          <w:p w14:paraId="73DEF551">
            <w:pPr>
              <w:keepNext w:val="0"/>
              <w:keepLines/>
              <w:widowControl/>
              <w:suppressLineNumbers w:val="0"/>
              <w:shd w:val="clear"/>
              <w:adjustRightInd w:val="0"/>
              <w:snapToGrid w:val="0"/>
              <w:spacing w:before="0" w:beforeAutospacing="0" w:after="0" w:afterAutospacing="0" w:line="360" w:lineRule="exact"/>
              <w:ind w:left="0" w:right="0" w:firstLine="0" w:firstLineChars="0"/>
              <w:jc w:val="center"/>
              <w:rPr>
                <w:rFonts w:hint="default" w:eastAsiaTheme="minorEastAsia"/>
                <w:color w:val="000000" w:themeColor="text1"/>
                <w:szCs w:val="21"/>
                <w:highlight w:val="none"/>
              </w:rPr>
            </w:pPr>
            <w:r>
              <w:rPr>
                <w:rFonts w:hint="eastAsia" w:eastAsiaTheme="minorEastAsia"/>
                <w:color w:val="000000" w:themeColor="text1"/>
                <w:szCs w:val="21"/>
                <w:highlight w:val="none"/>
              </w:rPr>
              <w:t>3.4.4</w:t>
            </w:r>
          </w:p>
        </w:tc>
        <w:tc>
          <w:tcPr>
            <w:tcW w:w="2269" w:type="dxa"/>
            <w:tcBorders>
              <w:top w:val="single" w:color="auto" w:sz="4" w:space="0"/>
              <w:left w:val="single" w:color="auto" w:sz="4" w:space="0"/>
              <w:bottom w:val="single" w:color="auto" w:sz="4" w:space="0"/>
              <w:right w:val="single" w:color="auto" w:sz="4" w:space="0"/>
            </w:tcBorders>
            <w:vAlign w:val="center"/>
          </w:tcPr>
          <w:p w14:paraId="4A740E1C">
            <w:pPr>
              <w:keepNext w:val="0"/>
              <w:keepLines/>
              <w:widowControl/>
              <w:suppressLineNumbers w:val="0"/>
              <w:shd w:val="clear"/>
              <w:adjustRightInd w:val="0"/>
              <w:snapToGrid w:val="0"/>
              <w:spacing w:before="0" w:beforeAutospacing="0" w:after="0" w:afterAutospacing="0" w:line="360" w:lineRule="exact"/>
              <w:ind w:left="0" w:right="0" w:firstLine="0" w:firstLineChars="0"/>
              <w:rPr>
                <w:rFonts w:hint="default" w:hAnsiTheme="minorEastAsia" w:eastAsiaTheme="minorEastAsia"/>
                <w:color w:val="000000" w:themeColor="text1"/>
                <w:szCs w:val="21"/>
                <w:highlight w:val="none"/>
              </w:rPr>
            </w:pPr>
            <w:r>
              <w:rPr>
                <w:rFonts w:hint="default" w:hAnsiTheme="minorEastAsia" w:eastAsiaTheme="minorEastAsia"/>
                <w:color w:val="000000" w:themeColor="text1"/>
                <w:szCs w:val="21"/>
                <w:highlight w:val="none"/>
              </w:rPr>
              <w:t>谈判保证金不予退还的情形</w:t>
            </w:r>
          </w:p>
        </w:tc>
        <w:tc>
          <w:tcPr>
            <w:tcW w:w="5581" w:type="dxa"/>
            <w:tcBorders>
              <w:top w:val="single" w:color="auto" w:sz="4" w:space="0"/>
              <w:left w:val="single" w:color="auto" w:sz="4" w:space="0"/>
              <w:bottom w:val="single" w:color="auto" w:sz="4" w:space="0"/>
              <w:right w:val="single" w:color="auto" w:sz="4" w:space="0"/>
            </w:tcBorders>
          </w:tcPr>
          <w:p w14:paraId="25D36E6B">
            <w:pPr>
              <w:keepNext w:val="0"/>
              <w:keepLines/>
              <w:widowControl/>
              <w:suppressLineNumbers w:val="0"/>
              <w:shd w:val="clear"/>
              <w:snapToGrid w:val="0"/>
              <w:spacing w:before="0" w:beforeAutospacing="0" w:after="0" w:afterAutospacing="0" w:line="360" w:lineRule="exact"/>
              <w:ind w:left="0" w:right="0" w:firstLine="0" w:firstLineChars="0"/>
              <w:jc w:val="left"/>
              <w:rPr>
                <w:rFonts w:hint="default" w:hAnsiTheme="minorEastAsia" w:eastAsiaTheme="minorEastAsia"/>
                <w:color w:val="000000" w:themeColor="text1"/>
                <w:szCs w:val="21"/>
                <w:highlight w:val="none"/>
              </w:rPr>
            </w:pPr>
            <w:r>
              <w:rPr>
                <w:rFonts w:hint="eastAsia" w:hAnsiTheme="minorEastAsia" w:eastAsiaTheme="minorEastAsia"/>
                <w:color w:val="000000" w:themeColor="text1"/>
                <w:szCs w:val="21"/>
                <w:highlight w:val="none"/>
              </w:rPr>
              <w:t>1.</w:t>
            </w:r>
            <w:r>
              <w:rPr>
                <w:rFonts w:hint="default" w:hAnsiTheme="minorEastAsia" w:eastAsiaTheme="minorEastAsia"/>
                <w:color w:val="000000" w:themeColor="text1"/>
                <w:szCs w:val="21"/>
                <w:highlight w:val="none"/>
              </w:rPr>
              <w:t>供应商在</w:t>
            </w:r>
            <w:r>
              <w:rPr>
                <w:rFonts w:hint="eastAsia" w:hAnsiTheme="minorEastAsia" w:eastAsiaTheme="minorEastAsia"/>
                <w:color w:val="000000" w:themeColor="text1"/>
                <w:szCs w:val="21"/>
                <w:highlight w:val="none"/>
              </w:rPr>
              <w:t>谈判</w:t>
            </w:r>
            <w:r>
              <w:rPr>
                <w:rFonts w:hint="default" w:hAnsiTheme="minorEastAsia" w:eastAsiaTheme="minorEastAsia"/>
                <w:color w:val="000000" w:themeColor="text1"/>
                <w:szCs w:val="21"/>
                <w:highlight w:val="none"/>
              </w:rPr>
              <w:t>有效期内撤销或修改响应文件的；</w:t>
            </w:r>
          </w:p>
          <w:p w14:paraId="12DCD918">
            <w:pPr>
              <w:keepNext w:val="0"/>
              <w:keepLines/>
              <w:widowControl/>
              <w:suppressLineNumbers w:val="0"/>
              <w:shd w:val="clear"/>
              <w:snapToGrid w:val="0"/>
              <w:spacing w:before="0" w:beforeAutospacing="0" w:after="0" w:afterAutospacing="0" w:line="360" w:lineRule="exact"/>
              <w:ind w:left="0" w:right="0" w:firstLine="0" w:firstLineChars="0"/>
              <w:jc w:val="left"/>
              <w:rPr>
                <w:rFonts w:hint="default" w:hAnsiTheme="minorEastAsia" w:eastAsiaTheme="minorEastAsia"/>
                <w:color w:val="000000" w:themeColor="text1"/>
                <w:szCs w:val="21"/>
                <w:highlight w:val="none"/>
              </w:rPr>
            </w:pPr>
            <w:r>
              <w:rPr>
                <w:rFonts w:hint="eastAsia" w:hAnsiTheme="minorEastAsia" w:eastAsiaTheme="minorEastAsia"/>
                <w:color w:val="000000" w:themeColor="text1"/>
                <w:szCs w:val="21"/>
                <w:highlight w:val="none"/>
              </w:rPr>
              <w:t>2.</w:t>
            </w:r>
            <w:r>
              <w:rPr>
                <w:rFonts w:hint="default" w:hAnsiTheme="minorEastAsia" w:eastAsiaTheme="minorEastAsia"/>
                <w:color w:val="000000" w:themeColor="text1"/>
                <w:szCs w:val="21"/>
                <w:highlight w:val="none"/>
              </w:rPr>
              <w:t>除因不可抗力或谈判文件认可的情形以外，成交供应商不与采购人签订合同的；</w:t>
            </w:r>
          </w:p>
          <w:p w14:paraId="0D18C1F3">
            <w:pPr>
              <w:keepNext w:val="0"/>
              <w:keepLines/>
              <w:widowControl/>
              <w:suppressLineNumbers w:val="0"/>
              <w:shd w:val="clear"/>
              <w:snapToGrid w:val="0"/>
              <w:spacing w:before="0" w:beforeAutospacing="0" w:after="0" w:afterAutospacing="0" w:line="360" w:lineRule="exact"/>
              <w:ind w:left="0" w:right="0" w:firstLine="0" w:firstLineChars="0"/>
              <w:jc w:val="left"/>
              <w:rPr>
                <w:rFonts w:hint="default" w:hAnsiTheme="minorEastAsia" w:eastAsiaTheme="minorEastAsia"/>
                <w:color w:val="000000" w:themeColor="text1"/>
                <w:szCs w:val="21"/>
                <w:highlight w:val="none"/>
              </w:rPr>
            </w:pPr>
            <w:r>
              <w:rPr>
                <w:rFonts w:hint="eastAsia" w:hAnsiTheme="minorEastAsia" w:eastAsiaTheme="minorEastAsia"/>
                <w:color w:val="000000" w:themeColor="text1"/>
                <w:szCs w:val="21"/>
                <w:highlight w:val="none"/>
              </w:rPr>
              <w:t>3.成交</w:t>
            </w:r>
            <w:r>
              <w:rPr>
                <w:rFonts w:hint="default" w:hAnsiTheme="minorEastAsia" w:eastAsiaTheme="minorEastAsia"/>
                <w:color w:val="000000" w:themeColor="text1"/>
                <w:szCs w:val="21"/>
                <w:highlight w:val="none"/>
              </w:rPr>
              <w:t>供应商在签订合同时向采购人提出附加条件的；</w:t>
            </w:r>
          </w:p>
          <w:p w14:paraId="497BB315">
            <w:pPr>
              <w:keepNext w:val="0"/>
              <w:keepLines/>
              <w:widowControl/>
              <w:suppressLineNumbers w:val="0"/>
              <w:shd w:val="clear"/>
              <w:snapToGrid w:val="0"/>
              <w:spacing w:before="0" w:beforeAutospacing="0" w:after="0" w:afterAutospacing="0" w:line="360" w:lineRule="exact"/>
              <w:ind w:left="0" w:right="0" w:firstLine="0" w:firstLineChars="0"/>
              <w:jc w:val="left"/>
              <w:rPr>
                <w:rFonts w:hint="default" w:hAnsiTheme="minorEastAsia" w:eastAsiaTheme="minorEastAsia"/>
                <w:color w:val="000000" w:themeColor="text1"/>
                <w:szCs w:val="21"/>
                <w:highlight w:val="none"/>
              </w:rPr>
            </w:pPr>
            <w:r>
              <w:rPr>
                <w:rFonts w:hint="eastAsia" w:hAnsiTheme="minorEastAsia" w:eastAsiaTheme="minorEastAsia"/>
                <w:color w:val="000000" w:themeColor="text1"/>
                <w:szCs w:val="21"/>
                <w:highlight w:val="none"/>
              </w:rPr>
              <w:t>4.成交</w:t>
            </w:r>
            <w:r>
              <w:rPr>
                <w:rFonts w:hint="default" w:hAnsiTheme="minorEastAsia" w:eastAsiaTheme="minorEastAsia"/>
                <w:color w:val="000000" w:themeColor="text1"/>
                <w:szCs w:val="21"/>
                <w:highlight w:val="none"/>
              </w:rPr>
              <w:t>供应商不按照谈判文件要求提交履约保证金的；</w:t>
            </w:r>
          </w:p>
          <w:p w14:paraId="54E6D69B">
            <w:pPr>
              <w:keepNext w:val="0"/>
              <w:keepLines/>
              <w:widowControl/>
              <w:suppressLineNumbers w:val="0"/>
              <w:shd w:val="clear"/>
              <w:snapToGrid w:val="0"/>
              <w:spacing w:before="0" w:beforeAutospacing="0" w:after="0" w:afterAutospacing="0" w:line="360" w:lineRule="exact"/>
              <w:ind w:left="0" w:right="0" w:firstLine="0" w:firstLineChars="0"/>
              <w:jc w:val="left"/>
              <w:rPr>
                <w:rFonts w:hint="default"/>
                <w:color w:val="000000" w:themeColor="text1"/>
                <w:szCs w:val="21"/>
                <w:highlight w:val="none"/>
              </w:rPr>
            </w:pPr>
            <w:r>
              <w:rPr>
                <w:rFonts w:hint="eastAsia" w:hAnsiTheme="minorEastAsia" w:eastAsiaTheme="minorEastAsia"/>
                <w:color w:val="000000" w:themeColor="text1"/>
                <w:szCs w:val="21"/>
                <w:highlight w:val="none"/>
              </w:rPr>
              <w:t>5.标中、标后被发现供应商存在恶意串通、出借（挂靠）资质、提供虚假承诺等违法违规行为的。</w:t>
            </w:r>
          </w:p>
        </w:tc>
      </w:tr>
      <w:tr w14:paraId="0EE78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jc w:val="center"/>
        </w:trPr>
        <w:tc>
          <w:tcPr>
            <w:tcW w:w="1212" w:type="dxa"/>
            <w:tcBorders>
              <w:top w:val="single" w:color="auto" w:sz="4" w:space="0"/>
              <w:left w:val="single" w:color="auto" w:sz="4" w:space="0"/>
              <w:bottom w:val="single" w:color="auto" w:sz="4" w:space="0"/>
              <w:right w:val="single" w:color="auto" w:sz="4" w:space="0"/>
            </w:tcBorders>
            <w:vAlign w:val="center"/>
          </w:tcPr>
          <w:p w14:paraId="39460261">
            <w:pPr>
              <w:keepNext w:val="0"/>
              <w:keepLines/>
              <w:widowControl/>
              <w:suppressLineNumbers w:val="0"/>
              <w:shd w:val="clear"/>
              <w:adjustRightInd w:val="0"/>
              <w:snapToGrid w:val="0"/>
              <w:spacing w:before="0" w:beforeAutospacing="0" w:after="0" w:afterAutospacing="0" w:line="360" w:lineRule="exact"/>
              <w:ind w:left="0" w:right="0" w:firstLine="0" w:firstLineChars="0"/>
              <w:jc w:val="center"/>
              <w:rPr>
                <w:rFonts w:hint="default" w:eastAsiaTheme="minorEastAsia"/>
                <w:color w:val="000000" w:themeColor="text1"/>
                <w:szCs w:val="21"/>
                <w:highlight w:val="none"/>
              </w:rPr>
            </w:pPr>
            <w:r>
              <w:rPr>
                <w:rFonts w:hint="default" w:eastAsiaTheme="minorEastAsia"/>
                <w:color w:val="000000" w:themeColor="text1"/>
                <w:szCs w:val="21"/>
                <w:highlight w:val="none"/>
              </w:rPr>
              <w:t>3.</w:t>
            </w:r>
            <w:r>
              <w:rPr>
                <w:rFonts w:hint="eastAsia" w:eastAsiaTheme="minorEastAsia"/>
                <w:color w:val="000000" w:themeColor="text1"/>
                <w:szCs w:val="21"/>
                <w:highlight w:val="none"/>
              </w:rPr>
              <w:t>5</w:t>
            </w:r>
          </w:p>
        </w:tc>
        <w:tc>
          <w:tcPr>
            <w:tcW w:w="2269" w:type="dxa"/>
            <w:tcBorders>
              <w:top w:val="single" w:color="auto" w:sz="4" w:space="0"/>
              <w:left w:val="single" w:color="auto" w:sz="4" w:space="0"/>
              <w:bottom w:val="single" w:color="auto" w:sz="4" w:space="0"/>
              <w:right w:val="single" w:color="auto" w:sz="4" w:space="0"/>
            </w:tcBorders>
            <w:vAlign w:val="center"/>
          </w:tcPr>
          <w:p w14:paraId="661F14F0">
            <w:pPr>
              <w:keepNext w:val="0"/>
              <w:keepLines/>
              <w:widowControl/>
              <w:suppressLineNumbers w:val="0"/>
              <w:shd w:val="clear"/>
              <w:spacing w:before="0" w:beforeAutospacing="0" w:after="0" w:afterAutospacing="0" w:line="360" w:lineRule="exact"/>
              <w:ind w:left="0" w:right="0" w:firstLine="0" w:firstLineChars="0"/>
              <w:rPr>
                <w:rFonts w:hint="default" w:eastAsiaTheme="minorEastAsia"/>
                <w:color w:val="000000" w:themeColor="text1"/>
                <w:szCs w:val="21"/>
                <w:highlight w:val="none"/>
              </w:rPr>
            </w:pPr>
            <w:r>
              <w:rPr>
                <w:rFonts w:hint="eastAsia" w:hAnsiTheme="minorEastAsia" w:eastAsiaTheme="minorEastAsia"/>
                <w:color w:val="000000" w:themeColor="text1"/>
                <w:szCs w:val="21"/>
                <w:highlight w:val="none"/>
              </w:rPr>
              <w:t>响应文件编制</w:t>
            </w:r>
          </w:p>
        </w:tc>
        <w:tc>
          <w:tcPr>
            <w:tcW w:w="5581" w:type="dxa"/>
            <w:tcBorders>
              <w:top w:val="single" w:color="auto" w:sz="4" w:space="0"/>
              <w:left w:val="single" w:color="auto" w:sz="4" w:space="0"/>
              <w:bottom w:val="single" w:color="auto" w:sz="4" w:space="0"/>
              <w:right w:val="single" w:color="auto" w:sz="4" w:space="0"/>
            </w:tcBorders>
          </w:tcPr>
          <w:p w14:paraId="20AA2663">
            <w:pPr>
              <w:keepNext w:val="0"/>
              <w:keepLines/>
              <w:widowControl/>
              <w:suppressLineNumbers w:val="0"/>
              <w:shd w:val="clear"/>
              <w:snapToGrid w:val="0"/>
              <w:spacing w:before="0" w:beforeAutospacing="0" w:after="0" w:afterAutospacing="0" w:line="360" w:lineRule="exact"/>
              <w:ind w:left="0" w:right="0" w:firstLine="0" w:firstLineChars="0"/>
              <w:jc w:val="left"/>
              <w:rPr>
                <w:rFonts w:hint="default" w:hAnsiTheme="minorEastAsia" w:eastAsiaTheme="minorEastAsia"/>
                <w:color w:val="000000" w:themeColor="text1"/>
                <w:szCs w:val="21"/>
                <w:highlight w:val="none"/>
              </w:rPr>
            </w:pPr>
            <w:r>
              <w:rPr>
                <w:rFonts w:hint="default" w:hAnsiTheme="minorEastAsia" w:eastAsiaTheme="minorEastAsia"/>
                <w:color w:val="000000" w:themeColor="text1"/>
                <w:szCs w:val="21"/>
                <w:highlight w:val="none"/>
              </w:rPr>
              <w:t>响应文件应按第</w:t>
            </w:r>
            <w:r>
              <w:rPr>
                <w:rFonts w:hint="eastAsia" w:hAnsiTheme="minorEastAsia" w:eastAsiaTheme="minorEastAsia"/>
                <w:color w:val="000000" w:themeColor="text1"/>
                <w:szCs w:val="21"/>
                <w:highlight w:val="none"/>
                <w:lang w:eastAsia="zh-CN"/>
              </w:rPr>
              <w:t>六</w:t>
            </w:r>
            <w:r>
              <w:rPr>
                <w:rFonts w:hint="default" w:hAnsiTheme="minorEastAsia" w:eastAsiaTheme="minorEastAsia"/>
                <w:color w:val="000000" w:themeColor="text1"/>
                <w:szCs w:val="21"/>
                <w:highlight w:val="none"/>
              </w:rPr>
              <w:t>章</w:t>
            </w:r>
            <w:r>
              <w:rPr>
                <w:rFonts w:hint="eastAsia" w:eastAsiaTheme="minorEastAsia"/>
                <w:color w:val="000000" w:themeColor="text1"/>
                <w:szCs w:val="21"/>
                <w:highlight w:val="none"/>
                <w:lang w:eastAsia="zh-CN"/>
              </w:rPr>
              <w:t>“</w:t>
            </w:r>
            <w:r>
              <w:rPr>
                <w:rFonts w:hint="default" w:hAnsiTheme="minorEastAsia" w:eastAsiaTheme="minorEastAsia"/>
                <w:color w:val="000000" w:themeColor="text1"/>
                <w:szCs w:val="21"/>
                <w:highlight w:val="none"/>
              </w:rPr>
              <w:t>响应文件格式</w:t>
            </w:r>
            <w:r>
              <w:rPr>
                <w:rFonts w:hint="eastAsia" w:eastAsiaTheme="minorEastAsia"/>
                <w:color w:val="000000" w:themeColor="text1"/>
                <w:szCs w:val="21"/>
                <w:highlight w:val="none"/>
                <w:lang w:eastAsia="zh-CN"/>
              </w:rPr>
              <w:t>”</w:t>
            </w:r>
            <w:r>
              <w:rPr>
                <w:rFonts w:hint="default" w:hAnsiTheme="minorEastAsia" w:eastAsiaTheme="minorEastAsia"/>
                <w:color w:val="000000" w:themeColor="text1"/>
                <w:szCs w:val="21"/>
                <w:highlight w:val="none"/>
              </w:rPr>
              <w:t>进行编写，如有必要可自行增加，作为响应文件的组成部分。</w:t>
            </w:r>
          </w:p>
          <w:p w14:paraId="59935844">
            <w:pPr>
              <w:keepNext w:val="0"/>
              <w:keepLines/>
              <w:widowControl/>
              <w:suppressLineNumbers w:val="0"/>
              <w:shd w:val="clear"/>
              <w:snapToGrid w:val="0"/>
              <w:spacing w:before="0" w:beforeAutospacing="0" w:after="0" w:afterAutospacing="0" w:line="360" w:lineRule="exact"/>
              <w:ind w:left="0" w:right="0" w:firstLine="0" w:firstLineChars="0"/>
              <w:jc w:val="left"/>
              <w:rPr>
                <w:rFonts w:hint="default"/>
                <w:highlight w:val="none"/>
              </w:rPr>
            </w:pPr>
            <w:r>
              <w:rPr>
                <w:rFonts w:hint="eastAsia" w:hAnsi="宋体"/>
                <w:color w:val="000000" w:themeColor="text1"/>
                <w:szCs w:val="21"/>
                <w:highlight w:val="none"/>
              </w:rPr>
              <w:t>本项目谈判</w:t>
            </w:r>
            <w:r>
              <w:rPr>
                <w:rFonts w:hint="eastAsia" w:hAnsi="宋体"/>
                <w:color w:val="000000" w:themeColor="text1"/>
                <w:szCs w:val="21"/>
                <w:highlight w:val="none"/>
                <w:lang w:val="en-US" w:eastAsia="zh-CN"/>
              </w:rPr>
              <w:t xml:space="preserve"> </w:t>
            </w:r>
            <w:r>
              <w:rPr>
                <w:rFonts w:hint="eastAsia" w:hAnsi="宋体"/>
                <w:color w:val="000000" w:themeColor="text1"/>
                <w:szCs w:val="21"/>
                <w:highlight w:val="none"/>
              </w:rPr>
              <w:t>活动采用远程</w:t>
            </w:r>
            <w:r>
              <w:rPr>
                <w:rFonts w:hint="default" w:hAnsi="宋体"/>
                <w:color w:val="000000" w:themeColor="text1"/>
                <w:szCs w:val="21"/>
                <w:highlight w:val="none"/>
              </w:rPr>
              <w:t>不见面方式</w:t>
            </w:r>
            <w:r>
              <w:rPr>
                <w:rFonts w:hint="eastAsia" w:hAnsi="宋体"/>
                <w:color w:val="000000" w:themeColor="text1"/>
                <w:szCs w:val="21"/>
                <w:highlight w:val="none"/>
              </w:rPr>
              <w:t>进行，供应商</w:t>
            </w:r>
            <w:r>
              <w:rPr>
                <w:rFonts w:hint="default" w:hAnsi="宋体"/>
                <w:color w:val="000000" w:themeColor="text1"/>
                <w:szCs w:val="21"/>
                <w:highlight w:val="none"/>
              </w:rPr>
              <w:t>无需提供纸质响应文件。</w:t>
            </w:r>
            <w:r>
              <w:rPr>
                <w:rFonts w:hint="default" w:hAnsi="宋体"/>
                <w:b w:val="0"/>
                <w:bCs w:val="0"/>
                <w:color w:val="000000" w:themeColor="text1"/>
                <w:szCs w:val="21"/>
                <w:highlight w:val="none"/>
              </w:rPr>
              <w:t>成交结果公示期结束后成交供应商需提供</w:t>
            </w:r>
            <w:r>
              <w:rPr>
                <w:rFonts w:hint="eastAsia" w:hAnsi="宋体"/>
                <w:b w:val="0"/>
                <w:bCs w:val="0"/>
                <w:color w:val="000000" w:themeColor="text1"/>
                <w:szCs w:val="21"/>
                <w:highlight w:val="none"/>
                <w:lang w:eastAsia="zh-CN"/>
              </w:rPr>
              <w:t>两份</w:t>
            </w:r>
            <w:r>
              <w:rPr>
                <w:rFonts w:hint="default" w:hAnsi="宋体"/>
                <w:b w:val="0"/>
                <w:bCs w:val="0"/>
                <w:color w:val="000000" w:themeColor="text1"/>
                <w:szCs w:val="21"/>
                <w:highlight w:val="none"/>
              </w:rPr>
              <w:t>纸质完整响应文件，</w:t>
            </w:r>
            <w:r>
              <w:rPr>
                <w:rFonts w:hint="default" w:hAnsi="宋体"/>
                <w:b/>
                <w:bCs/>
                <w:color w:val="000000" w:themeColor="text1"/>
                <w:szCs w:val="21"/>
                <w:highlight w:val="none"/>
              </w:rPr>
              <w:t>其中正本一份</w:t>
            </w:r>
            <w:r>
              <w:rPr>
                <w:rFonts w:hint="eastAsia" w:hAnsi="宋体"/>
                <w:b/>
                <w:bCs/>
                <w:color w:val="000000" w:themeColor="text1"/>
                <w:szCs w:val="21"/>
                <w:highlight w:val="none"/>
                <w:lang w:eastAsia="zh-CN"/>
              </w:rPr>
              <w:t>，</w:t>
            </w:r>
            <w:r>
              <w:rPr>
                <w:rFonts w:hint="default" w:hAnsi="宋体"/>
                <w:b/>
                <w:bCs/>
                <w:color w:val="000000" w:themeColor="text1"/>
                <w:szCs w:val="21"/>
                <w:highlight w:val="none"/>
              </w:rPr>
              <w:t>副本</w:t>
            </w:r>
            <w:r>
              <w:rPr>
                <w:rFonts w:hint="eastAsia" w:hAnsi="宋体"/>
                <w:b/>
                <w:bCs/>
                <w:color w:val="000000" w:themeColor="text1"/>
                <w:szCs w:val="21"/>
                <w:highlight w:val="none"/>
                <w:lang w:eastAsia="zh-CN"/>
              </w:rPr>
              <w:t>一</w:t>
            </w:r>
            <w:r>
              <w:rPr>
                <w:rFonts w:hint="default" w:hAnsi="宋体"/>
                <w:b/>
                <w:bCs/>
                <w:color w:val="000000" w:themeColor="text1"/>
                <w:szCs w:val="21"/>
                <w:highlight w:val="none"/>
              </w:rPr>
              <w:t>份。</w:t>
            </w:r>
          </w:p>
        </w:tc>
      </w:tr>
      <w:tr w14:paraId="3D638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212" w:type="dxa"/>
            <w:tcBorders>
              <w:top w:val="single" w:color="auto" w:sz="4" w:space="0"/>
              <w:left w:val="single" w:color="auto" w:sz="4" w:space="0"/>
              <w:bottom w:val="single" w:color="auto" w:sz="4" w:space="0"/>
              <w:right w:val="single" w:color="auto" w:sz="4" w:space="0"/>
            </w:tcBorders>
            <w:vAlign w:val="center"/>
          </w:tcPr>
          <w:p w14:paraId="7277E094">
            <w:pPr>
              <w:keepNext w:val="0"/>
              <w:keepLines/>
              <w:widowControl/>
              <w:suppressLineNumbers w:val="0"/>
              <w:shd w:val="clear"/>
              <w:adjustRightInd w:val="0"/>
              <w:snapToGrid w:val="0"/>
              <w:spacing w:before="0" w:beforeAutospacing="0" w:after="0" w:afterAutospacing="0" w:line="360" w:lineRule="exact"/>
              <w:ind w:left="0" w:right="0" w:firstLine="0" w:firstLineChars="0"/>
              <w:jc w:val="center"/>
              <w:rPr>
                <w:rFonts w:hint="default" w:eastAsiaTheme="minorEastAsia"/>
                <w:color w:val="000000" w:themeColor="text1"/>
                <w:szCs w:val="21"/>
                <w:highlight w:val="none"/>
              </w:rPr>
            </w:pPr>
            <w:r>
              <w:rPr>
                <w:rFonts w:hint="default" w:eastAsiaTheme="minorEastAsia"/>
                <w:color w:val="000000" w:themeColor="text1"/>
                <w:szCs w:val="21"/>
                <w:highlight w:val="none"/>
              </w:rPr>
              <w:t>4.</w:t>
            </w:r>
            <w:r>
              <w:rPr>
                <w:rFonts w:hint="eastAsia" w:eastAsiaTheme="minorEastAsia"/>
                <w:color w:val="000000" w:themeColor="text1"/>
                <w:szCs w:val="21"/>
                <w:highlight w:val="none"/>
              </w:rPr>
              <w:t>1.1</w:t>
            </w:r>
          </w:p>
        </w:tc>
        <w:tc>
          <w:tcPr>
            <w:tcW w:w="2269" w:type="dxa"/>
            <w:tcBorders>
              <w:top w:val="single" w:color="auto" w:sz="4" w:space="0"/>
              <w:left w:val="single" w:color="auto" w:sz="4" w:space="0"/>
              <w:bottom w:val="single" w:color="auto" w:sz="4" w:space="0"/>
              <w:right w:val="single" w:color="auto" w:sz="4" w:space="0"/>
            </w:tcBorders>
            <w:vAlign w:val="center"/>
          </w:tcPr>
          <w:p w14:paraId="346BFF1C">
            <w:pPr>
              <w:keepNext w:val="0"/>
              <w:keepLines/>
              <w:widowControl/>
              <w:suppressLineNumbers w:val="0"/>
              <w:shd w:val="clear"/>
              <w:adjustRightInd w:val="0"/>
              <w:snapToGrid w:val="0"/>
              <w:spacing w:before="0" w:beforeAutospacing="0" w:after="0" w:afterAutospacing="0" w:line="360" w:lineRule="exact"/>
              <w:ind w:left="0" w:right="0" w:firstLine="0" w:firstLineChars="0"/>
              <w:rPr>
                <w:rFonts w:hint="default" w:eastAsiaTheme="minorEastAsia"/>
                <w:color w:val="000000" w:themeColor="text1"/>
                <w:szCs w:val="21"/>
                <w:highlight w:val="none"/>
              </w:rPr>
            </w:pPr>
            <w:r>
              <w:rPr>
                <w:rFonts w:hint="eastAsia" w:hAnsiTheme="minorEastAsia" w:eastAsiaTheme="minorEastAsia"/>
                <w:color w:val="000000" w:themeColor="text1"/>
                <w:szCs w:val="21"/>
                <w:highlight w:val="none"/>
              </w:rPr>
              <w:t>响应文件递交</w:t>
            </w:r>
            <w:r>
              <w:rPr>
                <w:rFonts w:hint="default" w:hAnsiTheme="minorEastAsia" w:eastAsiaTheme="minorEastAsia"/>
                <w:color w:val="000000" w:themeColor="text1"/>
                <w:szCs w:val="21"/>
                <w:highlight w:val="none"/>
              </w:rPr>
              <w:t>截止时间</w:t>
            </w:r>
          </w:p>
        </w:tc>
        <w:tc>
          <w:tcPr>
            <w:tcW w:w="5581" w:type="dxa"/>
            <w:tcBorders>
              <w:top w:val="single" w:color="auto" w:sz="4" w:space="0"/>
              <w:left w:val="single" w:color="auto" w:sz="4" w:space="0"/>
              <w:bottom w:val="single" w:color="auto" w:sz="4" w:space="0"/>
              <w:right w:val="single" w:color="auto" w:sz="4" w:space="0"/>
            </w:tcBorders>
            <w:vAlign w:val="center"/>
          </w:tcPr>
          <w:p w14:paraId="5DE31621">
            <w:pPr>
              <w:keepNext w:val="0"/>
              <w:keepLines/>
              <w:widowControl/>
              <w:suppressLineNumbers w:val="0"/>
              <w:shd w:val="clear"/>
              <w:adjustRightInd w:val="0"/>
              <w:snapToGrid w:val="0"/>
              <w:spacing w:before="0" w:beforeAutospacing="0" w:after="0" w:afterAutospacing="0" w:line="360" w:lineRule="exact"/>
              <w:ind w:left="0" w:right="0" w:firstLine="0" w:firstLineChars="0"/>
              <w:rPr>
                <w:rFonts w:hint="default" w:eastAsiaTheme="minorEastAsia"/>
                <w:color w:val="000000" w:themeColor="text1"/>
                <w:szCs w:val="21"/>
                <w:highlight w:val="none"/>
              </w:rPr>
            </w:pPr>
            <w:r>
              <w:rPr>
                <w:rFonts w:hint="default" w:eastAsiaTheme="minorEastAsia"/>
                <w:b/>
                <w:bCs/>
                <w:color w:val="FF0000"/>
                <w:szCs w:val="21"/>
                <w:highlight w:val="none"/>
                <w:u w:val="single"/>
              </w:rPr>
              <w:t>202</w:t>
            </w:r>
            <w:r>
              <w:rPr>
                <w:rFonts w:hint="eastAsia" w:eastAsiaTheme="minorEastAsia"/>
                <w:b/>
                <w:bCs/>
                <w:color w:val="FF0000"/>
                <w:szCs w:val="21"/>
                <w:highlight w:val="none"/>
                <w:u w:val="single"/>
                <w:lang w:val="en-US" w:eastAsia="zh-CN"/>
              </w:rPr>
              <w:t>6</w:t>
            </w:r>
            <w:r>
              <w:rPr>
                <w:rFonts w:hint="default" w:hAnsiTheme="minorEastAsia" w:eastAsiaTheme="minorEastAsia"/>
                <w:b/>
                <w:bCs/>
                <w:color w:val="FF0000"/>
                <w:szCs w:val="21"/>
                <w:highlight w:val="none"/>
              </w:rPr>
              <w:t>年</w:t>
            </w:r>
            <w:r>
              <w:rPr>
                <w:rFonts w:hint="eastAsia" w:hAnsiTheme="minorEastAsia" w:eastAsiaTheme="minorEastAsia"/>
                <w:b/>
                <w:bCs/>
                <w:color w:val="FF0000"/>
                <w:szCs w:val="21"/>
                <w:highlight w:val="none"/>
                <w:u w:val="single"/>
              </w:rPr>
              <w:t xml:space="preserve"> </w:t>
            </w:r>
            <w:r>
              <w:rPr>
                <w:rFonts w:hint="eastAsia" w:hAnsiTheme="minorEastAsia" w:eastAsiaTheme="minorEastAsia"/>
                <w:b/>
                <w:bCs/>
                <w:color w:val="FF0000"/>
                <w:szCs w:val="21"/>
                <w:highlight w:val="none"/>
                <w:u w:val="single"/>
                <w:lang w:val="en-US" w:eastAsia="zh-CN"/>
              </w:rPr>
              <w:t xml:space="preserve">10 </w:t>
            </w:r>
            <w:r>
              <w:rPr>
                <w:rFonts w:hint="default" w:hAnsiTheme="minorEastAsia" w:eastAsiaTheme="minorEastAsia"/>
                <w:b/>
                <w:bCs/>
                <w:color w:val="FF0000"/>
                <w:szCs w:val="21"/>
                <w:highlight w:val="none"/>
              </w:rPr>
              <w:t>月</w:t>
            </w:r>
            <w:r>
              <w:rPr>
                <w:rFonts w:hint="eastAsia" w:hAnsiTheme="minorEastAsia" w:eastAsiaTheme="minorEastAsia"/>
                <w:b/>
                <w:bCs/>
                <w:color w:val="FF0000"/>
                <w:szCs w:val="21"/>
                <w:highlight w:val="none"/>
                <w:u w:val="single"/>
              </w:rPr>
              <w:t xml:space="preserve"> </w:t>
            </w:r>
            <w:r>
              <w:rPr>
                <w:rFonts w:hint="eastAsia" w:hAnsiTheme="minorEastAsia" w:eastAsiaTheme="minorEastAsia"/>
                <w:b/>
                <w:bCs/>
                <w:color w:val="FF0000"/>
                <w:szCs w:val="21"/>
                <w:highlight w:val="none"/>
                <w:u w:val="single"/>
                <w:lang w:val="en-US" w:eastAsia="zh-CN"/>
              </w:rPr>
              <w:t xml:space="preserve">30  </w:t>
            </w:r>
            <w:r>
              <w:rPr>
                <w:rFonts w:hint="default" w:hAnsiTheme="minorEastAsia" w:eastAsiaTheme="minorEastAsia"/>
                <w:b/>
                <w:bCs/>
                <w:color w:val="FF0000"/>
                <w:szCs w:val="21"/>
                <w:highlight w:val="none"/>
              </w:rPr>
              <w:t>日</w:t>
            </w:r>
            <w:r>
              <w:rPr>
                <w:rFonts w:hint="eastAsia" w:hAnsiTheme="minorEastAsia" w:eastAsiaTheme="minorEastAsia"/>
                <w:b/>
                <w:bCs/>
                <w:color w:val="FF0000"/>
                <w:szCs w:val="21"/>
                <w:highlight w:val="none"/>
                <w:lang w:val="en-US" w:eastAsia="zh-CN"/>
              </w:rPr>
              <w:t>下</w:t>
            </w:r>
            <w:r>
              <w:rPr>
                <w:rFonts w:hint="eastAsia" w:hAnsiTheme="minorEastAsia" w:eastAsiaTheme="minorEastAsia"/>
                <w:b/>
                <w:bCs/>
                <w:color w:val="FF0000"/>
                <w:szCs w:val="21"/>
                <w:highlight w:val="none"/>
                <w:lang w:eastAsia="zh-CN"/>
              </w:rPr>
              <w:t>午</w:t>
            </w:r>
            <w:r>
              <w:rPr>
                <w:rFonts w:hint="eastAsia" w:hAnsiTheme="minorEastAsia" w:eastAsiaTheme="minorEastAsia"/>
                <w:b/>
                <w:bCs/>
                <w:color w:val="FF0000"/>
                <w:szCs w:val="21"/>
                <w:highlight w:val="none"/>
                <w:u w:val="single"/>
              </w:rPr>
              <w:t xml:space="preserve"> </w:t>
            </w:r>
            <w:r>
              <w:rPr>
                <w:rFonts w:hint="eastAsia" w:hAnsiTheme="minorEastAsia" w:eastAsiaTheme="minorEastAsia"/>
                <w:b/>
                <w:bCs/>
                <w:color w:val="FF0000"/>
                <w:szCs w:val="21"/>
                <w:highlight w:val="none"/>
                <w:u w:val="single"/>
                <w:lang w:val="en-US" w:eastAsia="zh-CN"/>
              </w:rPr>
              <w:t xml:space="preserve">15 </w:t>
            </w:r>
            <w:r>
              <w:rPr>
                <w:rFonts w:hint="default" w:hAnsiTheme="minorEastAsia" w:eastAsiaTheme="minorEastAsia"/>
                <w:b/>
                <w:bCs/>
                <w:color w:val="FF0000"/>
                <w:szCs w:val="21"/>
                <w:highlight w:val="none"/>
              </w:rPr>
              <w:t>时</w:t>
            </w:r>
            <w:r>
              <w:rPr>
                <w:rFonts w:hint="eastAsia" w:hAnsiTheme="minorEastAsia" w:eastAsiaTheme="minorEastAsia"/>
                <w:b/>
                <w:bCs/>
                <w:color w:val="FF0000"/>
                <w:szCs w:val="21"/>
                <w:highlight w:val="none"/>
                <w:u w:val="single"/>
              </w:rPr>
              <w:t xml:space="preserve"> </w:t>
            </w:r>
            <w:r>
              <w:rPr>
                <w:rFonts w:hint="eastAsia" w:hAnsiTheme="minorEastAsia" w:eastAsiaTheme="minorEastAsia"/>
                <w:b/>
                <w:bCs/>
                <w:color w:val="FF0000"/>
                <w:szCs w:val="21"/>
                <w:highlight w:val="none"/>
                <w:u w:val="single"/>
                <w:lang w:val="en-US" w:eastAsia="zh-CN"/>
              </w:rPr>
              <w:t xml:space="preserve">30 </w:t>
            </w:r>
            <w:r>
              <w:rPr>
                <w:rFonts w:hint="eastAsia" w:hAnsiTheme="minorEastAsia" w:eastAsiaTheme="minorEastAsia"/>
                <w:b/>
                <w:bCs/>
                <w:color w:val="FF0000"/>
                <w:szCs w:val="21"/>
                <w:highlight w:val="none"/>
                <w:u w:val="single"/>
              </w:rPr>
              <w:t xml:space="preserve"> </w:t>
            </w:r>
            <w:r>
              <w:rPr>
                <w:rFonts w:hint="default" w:hAnsiTheme="minorEastAsia" w:eastAsiaTheme="minorEastAsia"/>
                <w:b/>
                <w:bCs/>
                <w:color w:val="FF0000"/>
                <w:szCs w:val="21"/>
                <w:highlight w:val="none"/>
              </w:rPr>
              <w:t>分</w:t>
            </w:r>
          </w:p>
        </w:tc>
      </w:tr>
      <w:tr w14:paraId="082E6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 w:hRule="atLeast"/>
          <w:jc w:val="center"/>
        </w:trPr>
        <w:tc>
          <w:tcPr>
            <w:tcW w:w="1212" w:type="dxa"/>
            <w:tcBorders>
              <w:top w:val="single" w:color="auto" w:sz="4" w:space="0"/>
              <w:left w:val="single" w:color="auto" w:sz="4" w:space="0"/>
              <w:bottom w:val="single" w:color="auto" w:sz="4" w:space="0"/>
              <w:right w:val="single" w:color="auto" w:sz="4" w:space="0"/>
            </w:tcBorders>
            <w:vAlign w:val="center"/>
          </w:tcPr>
          <w:p w14:paraId="68836B33">
            <w:pPr>
              <w:keepNext w:val="0"/>
              <w:keepLines/>
              <w:widowControl/>
              <w:suppressLineNumbers w:val="0"/>
              <w:shd w:val="clear"/>
              <w:adjustRightInd w:val="0"/>
              <w:snapToGrid w:val="0"/>
              <w:spacing w:before="0" w:beforeAutospacing="0" w:after="0" w:afterAutospacing="0" w:line="360" w:lineRule="exact"/>
              <w:ind w:left="0" w:right="0" w:firstLine="0" w:firstLineChars="0"/>
              <w:jc w:val="center"/>
              <w:rPr>
                <w:rFonts w:hint="default" w:eastAsiaTheme="minorEastAsia"/>
                <w:color w:val="000000" w:themeColor="text1"/>
                <w:szCs w:val="21"/>
                <w:highlight w:val="none"/>
              </w:rPr>
            </w:pPr>
            <w:r>
              <w:rPr>
                <w:rFonts w:hint="default" w:eastAsiaTheme="minorEastAsia"/>
                <w:color w:val="000000" w:themeColor="text1"/>
                <w:szCs w:val="21"/>
                <w:highlight w:val="none"/>
              </w:rPr>
              <w:t>4.</w:t>
            </w:r>
            <w:r>
              <w:rPr>
                <w:rFonts w:hint="eastAsia" w:eastAsiaTheme="minorEastAsia"/>
                <w:color w:val="000000" w:themeColor="text1"/>
                <w:szCs w:val="21"/>
                <w:highlight w:val="none"/>
              </w:rPr>
              <w:t>1.2</w:t>
            </w:r>
          </w:p>
        </w:tc>
        <w:tc>
          <w:tcPr>
            <w:tcW w:w="2269" w:type="dxa"/>
            <w:tcBorders>
              <w:top w:val="single" w:color="auto" w:sz="4" w:space="0"/>
              <w:left w:val="single" w:color="auto" w:sz="4" w:space="0"/>
              <w:bottom w:val="single" w:color="auto" w:sz="4" w:space="0"/>
              <w:right w:val="single" w:color="auto" w:sz="4" w:space="0"/>
            </w:tcBorders>
            <w:vAlign w:val="center"/>
          </w:tcPr>
          <w:p w14:paraId="6B756F88">
            <w:pPr>
              <w:keepNext w:val="0"/>
              <w:keepLines/>
              <w:widowControl/>
              <w:suppressLineNumbers w:val="0"/>
              <w:shd w:val="clear"/>
              <w:adjustRightInd w:val="0"/>
              <w:snapToGrid w:val="0"/>
              <w:spacing w:before="0" w:beforeAutospacing="0" w:after="0" w:afterAutospacing="0" w:line="360" w:lineRule="exact"/>
              <w:ind w:left="0" w:right="0" w:firstLine="0" w:firstLineChars="0"/>
              <w:rPr>
                <w:rFonts w:hint="default" w:eastAsiaTheme="minorEastAsia"/>
                <w:color w:val="000000" w:themeColor="text1"/>
                <w:szCs w:val="21"/>
                <w:highlight w:val="none"/>
              </w:rPr>
            </w:pPr>
            <w:r>
              <w:rPr>
                <w:rFonts w:hint="eastAsia" w:hAnsiTheme="minorEastAsia" w:eastAsiaTheme="minorEastAsia"/>
                <w:color w:val="000000" w:themeColor="text1"/>
                <w:szCs w:val="21"/>
                <w:highlight w:val="none"/>
              </w:rPr>
              <w:t>响应</w:t>
            </w:r>
            <w:r>
              <w:rPr>
                <w:rFonts w:hint="default" w:hAnsiTheme="minorEastAsia" w:eastAsiaTheme="minorEastAsia"/>
                <w:color w:val="000000" w:themeColor="text1"/>
                <w:szCs w:val="21"/>
                <w:highlight w:val="none"/>
              </w:rPr>
              <w:t>文件</w:t>
            </w:r>
            <w:r>
              <w:rPr>
                <w:rFonts w:hint="eastAsia" w:hAnsiTheme="minorEastAsia" w:eastAsiaTheme="minorEastAsia"/>
                <w:color w:val="000000" w:themeColor="text1"/>
                <w:szCs w:val="21"/>
                <w:highlight w:val="none"/>
              </w:rPr>
              <w:t>递交</w:t>
            </w:r>
            <w:r>
              <w:rPr>
                <w:rFonts w:hint="default" w:hAnsiTheme="minorEastAsia" w:eastAsiaTheme="minorEastAsia"/>
                <w:color w:val="000000" w:themeColor="text1"/>
                <w:szCs w:val="21"/>
                <w:highlight w:val="none"/>
              </w:rPr>
              <w:t>地点</w:t>
            </w:r>
          </w:p>
        </w:tc>
        <w:tc>
          <w:tcPr>
            <w:tcW w:w="5581" w:type="dxa"/>
            <w:tcBorders>
              <w:top w:val="single" w:color="auto" w:sz="4" w:space="0"/>
              <w:left w:val="single" w:color="auto" w:sz="4" w:space="0"/>
              <w:bottom w:val="single" w:color="auto" w:sz="4" w:space="0"/>
              <w:right w:val="single" w:color="auto" w:sz="4" w:space="0"/>
            </w:tcBorders>
          </w:tcPr>
          <w:p w14:paraId="6BEB2395">
            <w:pPr>
              <w:keepNext w:val="0"/>
              <w:keepLines/>
              <w:widowControl/>
              <w:suppressLineNumbers w:val="0"/>
              <w:adjustRightInd w:val="0"/>
              <w:snapToGrid w:val="0"/>
              <w:spacing w:before="0" w:beforeAutospacing="0" w:after="0" w:afterAutospacing="0" w:line="360" w:lineRule="exact"/>
              <w:ind w:left="0" w:right="0" w:firstLine="0" w:firstLineChars="0"/>
              <w:jc w:val="left"/>
              <w:rPr>
                <w:rFonts w:hint="default" w:hAnsiTheme="minorEastAsia" w:eastAsiaTheme="minorEastAsia"/>
                <w:color w:val="000000" w:themeColor="text1"/>
                <w:szCs w:val="21"/>
              </w:rPr>
            </w:pPr>
            <w:r>
              <w:rPr>
                <w:rFonts w:hint="default" w:hAnsiTheme="minorEastAsia" w:eastAsiaTheme="minorEastAsia"/>
                <w:color w:val="000000" w:themeColor="text1"/>
                <w:szCs w:val="21"/>
              </w:rPr>
              <w:t>本</w:t>
            </w:r>
            <w:r>
              <w:rPr>
                <w:rFonts w:hint="eastAsia" w:hAnsiTheme="minorEastAsia" w:eastAsiaTheme="minorEastAsia"/>
                <w:color w:val="000000" w:themeColor="text1"/>
                <w:szCs w:val="21"/>
              </w:rPr>
              <w:t>项目</w:t>
            </w:r>
            <w:r>
              <w:rPr>
                <w:rFonts w:hint="default" w:hAnsiTheme="minorEastAsia" w:eastAsiaTheme="minorEastAsia"/>
                <w:color w:val="000000" w:themeColor="text1"/>
                <w:szCs w:val="21"/>
              </w:rPr>
              <w:t>采用远程不见面</w:t>
            </w:r>
            <w:r>
              <w:rPr>
                <w:rFonts w:hint="eastAsia" w:hAnsiTheme="minorEastAsia" w:eastAsiaTheme="minorEastAsia"/>
                <w:color w:val="000000" w:themeColor="text1"/>
                <w:szCs w:val="21"/>
              </w:rPr>
              <w:t>线上</w:t>
            </w:r>
            <w:r>
              <w:rPr>
                <w:rFonts w:hint="default" w:hAnsiTheme="minorEastAsia" w:eastAsiaTheme="minorEastAsia"/>
                <w:color w:val="000000" w:themeColor="text1"/>
                <w:szCs w:val="21"/>
              </w:rPr>
              <w:t>交易模式，</w:t>
            </w:r>
            <w:r>
              <w:rPr>
                <w:rFonts w:hint="eastAsia" w:hAnsiTheme="minorEastAsia" w:eastAsiaTheme="minorEastAsia"/>
                <w:color w:val="000000" w:themeColor="text1"/>
                <w:szCs w:val="21"/>
              </w:rPr>
              <w:t>响应</w:t>
            </w:r>
            <w:r>
              <w:rPr>
                <w:rFonts w:hint="default" w:hAnsiTheme="minorEastAsia" w:eastAsiaTheme="minorEastAsia"/>
                <w:color w:val="000000" w:themeColor="text1"/>
                <w:szCs w:val="21"/>
              </w:rPr>
              <w:t>文件由</w:t>
            </w:r>
            <w:r>
              <w:rPr>
                <w:rFonts w:hint="eastAsia" w:hAnsiTheme="minorEastAsia" w:eastAsiaTheme="minorEastAsia"/>
                <w:color w:val="000000" w:themeColor="text1"/>
                <w:szCs w:val="21"/>
              </w:rPr>
              <w:t>供应商</w:t>
            </w:r>
            <w:r>
              <w:rPr>
                <w:rFonts w:hint="default" w:hAnsiTheme="minorEastAsia" w:eastAsiaTheme="minorEastAsia"/>
                <w:color w:val="000000" w:themeColor="text1"/>
                <w:szCs w:val="21"/>
              </w:rPr>
              <w:t>在</w:t>
            </w:r>
            <w:r>
              <w:rPr>
                <w:rFonts w:hint="eastAsia" w:hAnsiTheme="minorEastAsia" w:eastAsiaTheme="minorEastAsia"/>
                <w:color w:val="000000" w:themeColor="text1"/>
                <w:szCs w:val="21"/>
              </w:rPr>
              <w:t>响应文件递交</w:t>
            </w:r>
            <w:r>
              <w:rPr>
                <w:rFonts w:hint="default" w:hAnsiTheme="minorEastAsia" w:eastAsiaTheme="minorEastAsia"/>
                <w:color w:val="000000" w:themeColor="text1"/>
                <w:szCs w:val="21"/>
              </w:rPr>
              <w:t>截止时间前自行在</w:t>
            </w:r>
            <w:r>
              <w:rPr>
                <w:rFonts w:hint="eastAsia" w:eastAsiaTheme="minorEastAsia"/>
                <w:color w:val="000000" w:themeColor="text1"/>
                <w:szCs w:val="21"/>
                <w:lang w:eastAsia="zh-CN"/>
              </w:rPr>
              <w:t>“方洋集团电子采购平台”</w:t>
            </w:r>
            <w:r>
              <w:rPr>
                <w:rFonts w:hint="default" w:hAnsiTheme="minorEastAsia" w:eastAsiaTheme="minorEastAsia"/>
                <w:color w:val="000000" w:themeColor="text1"/>
                <w:szCs w:val="21"/>
              </w:rPr>
              <w:t>上传。</w:t>
            </w:r>
          </w:p>
          <w:p w14:paraId="123BD809">
            <w:pPr>
              <w:keepNext w:val="0"/>
              <w:keepLines/>
              <w:widowControl/>
              <w:suppressLineNumbers w:val="0"/>
              <w:shd w:val="clear"/>
              <w:adjustRightInd w:val="0"/>
              <w:snapToGrid w:val="0"/>
              <w:spacing w:before="0" w:beforeAutospacing="0" w:after="0" w:afterAutospacing="0" w:line="360" w:lineRule="exact"/>
              <w:ind w:left="0" w:right="0" w:firstLine="0" w:firstLineChars="0"/>
              <w:jc w:val="left"/>
              <w:rPr>
                <w:rFonts w:hint="default" w:eastAsiaTheme="minorEastAsia"/>
                <w:color w:val="000000" w:themeColor="text1"/>
                <w:szCs w:val="21"/>
                <w:highlight w:val="none"/>
              </w:rPr>
            </w:pPr>
            <w:r>
              <w:rPr>
                <w:rFonts w:hint="eastAsia" w:hAnsiTheme="minorEastAsia" w:eastAsiaTheme="minorEastAsia"/>
                <w:color w:val="000000" w:themeColor="text1"/>
                <w:szCs w:val="21"/>
                <w:highlight w:val="none"/>
              </w:rPr>
              <w:t>上传流程详见</w:t>
            </w:r>
            <w:r>
              <w:rPr>
                <w:rFonts w:hint="eastAsia" w:hAnsiTheme="minorEastAsia" w:eastAsiaTheme="minorEastAsia"/>
                <w:color w:val="000000" w:themeColor="text1"/>
                <w:szCs w:val="21"/>
                <w:highlight w:val="none"/>
                <w:lang w:eastAsia="zh-CN"/>
              </w:rPr>
              <w:t>“方洋集团电子采购平台</w:t>
            </w:r>
            <w:r>
              <w:rPr>
                <w:rFonts w:hint="eastAsia" w:hAnsiTheme="minorEastAsia" w:eastAsiaTheme="minorEastAsia"/>
                <w:color w:val="000000" w:themeColor="text1"/>
                <w:szCs w:val="21"/>
                <w:highlight w:val="none"/>
              </w:rPr>
              <w:t>操作手册</w:t>
            </w:r>
            <w:r>
              <w:rPr>
                <w:rFonts w:hint="eastAsia" w:hAnsiTheme="minorEastAsia" w:eastAsiaTheme="minorEastAsia"/>
                <w:color w:val="000000" w:themeColor="text1"/>
                <w:szCs w:val="21"/>
                <w:highlight w:val="none"/>
                <w:lang w:eastAsia="zh-CN"/>
              </w:rPr>
              <w:t>”</w:t>
            </w:r>
            <w:r>
              <w:rPr>
                <w:rFonts w:hint="eastAsia" w:hAnsiTheme="minorEastAsia" w:eastAsiaTheme="minorEastAsia"/>
                <w:color w:val="000000" w:themeColor="text1"/>
                <w:szCs w:val="21"/>
                <w:highlight w:val="none"/>
              </w:rPr>
              <w:t>（</w:t>
            </w:r>
            <w:r>
              <w:rPr>
                <w:rFonts w:hint="eastAsia" w:hAnsiTheme="minorEastAsia" w:eastAsiaTheme="minorEastAsia"/>
                <w:color w:val="000000" w:themeColor="text1"/>
                <w:szCs w:val="21"/>
                <w:highlight w:val="none"/>
                <w:lang w:eastAsia="zh-CN"/>
              </w:rPr>
              <w:t>网址：</w:t>
            </w:r>
            <w:r>
              <w:rPr>
                <w:rFonts w:hint="eastAsia" w:hAnsi="宋体" w:eastAsia="宋体"/>
                <w:color w:val="000000"/>
                <w:szCs w:val="21"/>
                <w:highlight w:val="none"/>
                <w:lang w:eastAsia="zh-CN"/>
              </w:rPr>
              <w:t>https://cg.fygroup.com:29084/home/downloadCenter</w:t>
            </w:r>
            <w:r>
              <w:rPr>
                <w:rFonts w:hint="eastAsia" w:hAnsiTheme="minorEastAsia" w:eastAsiaTheme="minorEastAsia"/>
                <w:color w:val="000000" w:themeColor="text1"/>
                <w:szCs w:val="21"/>
                <w:highlight w:val="none"/>
              </w:rPr>
              <w:t>）</w:t>
            </w:r>
          </w:p>
        </w:tc>
      </w:tr>
      <w:tr w14:paraId="2F5F5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212" w:type="dxa"/>
            <w:tcBorders>
              <w:top w:val="single" w:color="auto" w:sz="4" w:space="0"/>
              <w:left w:val="single" w:color="auto" w:sz="4" w:space="0"/>
              <w:bottom w:val="single" w:color="auto" w:sz="4" w:space="0"/>
              <w:right w:val="single" w:color="auto" w:sz="4" w:space="0"/>
            </w:tcBorders>
            <w:vAlign w:val="center"/>
          </w:tcPr>
          <w:p w14:paraId="49F5B505">
            <w:pPr>
              <w:keepNext w:val="0"/>
              <w:keepLines/>
              <w:widowControl/>
              <w:suppressLineNumbers w:val="0"/>
              <w:shd w:val="clear"/>
              <w:adjustRightInd w:val="0"/>
              <w:snapToGrid w:val="0"/>
              <w:spacing w:before="0" w:beforeAutospacing="0" w:after="0" w:afterAutospacing="0" w:line="360" w:lineRule="exact"/>
              <w:ind w:left="0" w:right="0" w:firstLine="0" w:firstLineChars="0"/>
              <w:jc w:val="center"/>
              <w:rPr>
                <w:rFonts w:hint="default" w:eastAsiaTheme="minorEastAsia"/>
                <w:color w:val="000000" w:themeColor="text1"/>
                <w:szCs w:val="21"/>
                <w:highlight w:val="none"/>
              </w:rPr>
            </w:pPr>
            <w:r>
              <w:rPr>
                <w:rFonts w:hint="default" w:eastAsiaTheme="minorEastAsia"/>
                <w:color w:val="000000" w:themeColor="text1"/>
                <w:szCs w:val="21"/>
                <w:highlight w:val="none"/>
              </w:rPr>
              <w:t>5.1</w:t>
            </w:r>
            <w:r>
              <w:rPr>
                <w:rFonts w:hint="eastAsia" w:eastAsiaTheme="minorEastAsia"/>
                <w:color w:val="000000" w:themeColor="text1"/>
                <w:szCs w:val="21"/>
                <w:highlight w:val="none"/>
              </w:rPr>
              <w:t>.1</w:t>
            </w:r>
          </w:p>
        </w:tc>
        <w:tc>
          <w:tcPr>
            <w:tcW w:w="2269" w:type="dxa"/>
            <w:tcBorders>
              <w:top w:val="single" w:color="auto" w:sz="4" w:space="0"/>
              <w:left w:val="single" w:color="auto" w:sz="4" w:space="0"/>
              <w:bottom w:val="single" w:color="auto" w:sz="4" w:space="0"/>
              <w:right w:val="single" w:color="auto" w:sz="4" w:space="0"/>
            </w:tcBorders>
            <w:vAlign w:val="center"/>
          </w:tcPr>
          <w:p w14:paraId="6B0C37DE">
            <w:pPr>
              <w:keepNext w:val="0"/>
              <w:keepLines/>
              <w:widowControl/>
              <w:suppressLineNumbers w:val="0"/>
              <w:shd w:val="clear"/>
              <w:adjustRightInd w:val="0"/>
              <w:snapToGrid w:val="0"/>
              <w:spacing w:before="0" w:beforeAutospacing="0" w:after="0" w:afterAutospacing="0" w:line="360" w:lineRule="exact"/>
              <w:ind w:left="0" w:right="0" w:firstLine="0" w:firstLineChars="0"/>
              <w:rPr>
                <w:rFonts w:hint="default" w:eastAsiaTheme="minorEastAsia"/>
                <w:color w:val="000000" w:themeColor="text1"/>
                <w:szCs w:val="21"/>
                <w:highlight w:val="none"/>
              </w:rPr>
            </w:pPr>
            <w:r>
              <w:rPr>
                <w:rFonts w:hint="eastAsia" w:hAnsiTheme="minorEastAsia" w:eastAsiaTheme="minorEastAsia"/>
                <w:color w:val="000000" w:themeColor="text1"/>
                <w:szCs w:val="21"/>
                <w:highlight w:val="none"/>
              </w:rPr>
              <w:t>谈判</w:t>
            </w:r>
            <w:r>
              <w:rPr>
                <w:rFonts w:hint="default" w:hAnsiTheme="minorEastAsia" w:eastAsiaTheme="minorEastAsia"/>
                <w:color w:val="000000" w:themeColor="text1"/>
                <w:szCs w:val="21"/>
                <w:highlight w:val="none"/>
              </w:rPr>
              <w:t>时间和地点</w:t>
            </w:r>
          </w:p>
        </w:tc>
        <w:tc>
          <w:tcPr>
            <w:tcW w:w="5581" w:type="dxa"/>
            <w:tcBorders>
              <w:top w:val="single" w:color="auto" w:sz="4" w:space="0"/>
              <w:left w:val="single" w:color="auto" w:sz="4" w:space="0"/>
              <w:bottom w:val="single" w:color="auto" w:sz="4" w:space="0"/>
              <w:right w:val="single" w:color="auto" w:sz="4" w:space="0"/>
            </w:tcBorders>
          </w:tcPr>
          <w:p w14:paraId="4DED5189">
            <w:pPr>
              <w:keepNext w:val="0"/>
              <w:keepLines/>
              <w:widowControl/>
              <w:suppressLineNumbers w:val="0"/>
              <w:adjustRightInd w:val="0"/>
              <w:snapToGrid w:val="0"/>
              <w:spacing w:before="0" w:beforeAutospacing="0" w:after="0" w:afterAutospacing="0" w:line="360" w:lineRule="exact"/>
              <w:ind w:left="0" w:right="0" w:firstLine="0" w:firstLineChars="0"/>
              <w:jc w:val="left"/>
              <w:rPr>
                <w:rFonts w:hint="default" w:eastAsiaTheme="minorEastAsia"/>
                <w:color w:val="000000" w:themeColor="text1"/>
                <w:szCs w:val="21"/>
              </w:rPr>
            </w:pPr>
            <w:r>
              <w:rPr>
                <w:rFonts w:hint="eastAsia" w:hAnsiTheme="minorEastAsia" w:eastAsiaTheme="minorEastAsia"/>
                <w:color w:val="000000" w:themeColor="text1"/>
                <w:szCs w:val="21"/>
              </w:rPr>
              <w:t>谈判</w:t>
            </w:r>
            <w:r>
              <w:rPr>
                <w:rFonts w:hint="default" w:hAnsiTheme="minorEastAsia" w:eastAsiaTheme="minorEastAsia"/>
                <w:color w:val="000000" w:themeColor="text1"/>
                <w:szCs w:val="21"/>
              </w:rPr>
              <w:t>时间：同</w:t>
            </w:r>
            <w:r>
              <w:rPr>
                <w:rFonts w:hint="eastAsia" w:hAnsiTheme="minorEastAsia" w:eastAsiaTheme="minorEastAsia"/>
                <w:color w:val="000000" w:themeColor="text1"/>
                <w:szCs w:val="21"/>
              </w:rPr>
              <w:t>响应文件递交</w:t>
            </w:r>
            <w:r>
              <w:rPr>
                <w:rFonts w:hint="default" w:hAnsiTheme="minorEastAsia" w:eastAsiaTheme="minorEastAsia"/>
                <w:color w:val="000000" w:themeColor="text1"/>
                <w:szCs w:val="21"/>
              </w:rPr>
              <w:t>截止时间</w:t>
            </w:r>
            <w:r>
              <w:rPr>
                <w:rFonts w:hint="eastAsia" w:hAnsiTheme="minorEastAsia" w:eastAsiaTheme="minorEastAsia"/>
                <w:color w:val="000000" w:themeColor="text1"/>
                <w:szCs w:val="21"/>
              </w:rPr>
              <w:t>，远程采购项目的时间均以国家授时中心发布的时间为准。</w:t>
            </w:r>
          </w:p>
          <w:p w14:paraId="620A1595">
            <w:pPr>
              <w:keepNext w:val="0"/>
              <w:keepLines/>
              <w:widowControl/>
              <w:suppressLineNumbers w:val="0"/>
              <w:shd w:val="clear"/>
              <w:adjustRightInd w:val="0"/>
              <w:snapToGrid w:val="0"/>
              <w:spacing w:before="0" w:beforeAutospacing="0" w:after="0" w:afterAutospacing="0" w:line="360" w:lineRule="exact"/>
              <w:ind w:left="0" w:right="0" w:firstLine="0" w:firstLineChars="0"/>
              <w:jc w:val="left"/>
              <w:rPr>
                <w:rFonts w:hint="default" w:eastAsiaTheme="minorEastAsia"/>
                <w:color w:val="000000" w:themeColor="text1"/>
                <w:szCs w:val="21"/>
                <w:highlight w:val="none"/>
              </w:rPr>
            </w:pPr>
            <w:r>
              <w:rPr>
                <w:rFonts w:hint="eastAsia" w:hAnsiTheme="minorEastAsia" w:eastAsiaTheme="minorEastAsia"/>
                <w:color w:val="000000" w:themeColor="text1"/>
                <w:szCs w:val="21"/>
              </w:rPr>
              <w:t>谈判</w:t>
            </w:r>
            <w:r>
              <w:rPr>
                <w:rFonts w:hint="default" w:hAnsiTheme="minorEastAsia" w:eastAsiaTheme="minorEastAsia"/>
                <w:color w:val="000000" w:themeColor="text1"/>
                <w:szCs w:val="21"/>
              </w:rPr>
              <w:t>地点：</w:t>
            </w:r>
            <w:r>
              <w:rPr>
                <w:rFonts w:hint="eastAsia" w:hAnsiTheme="minorEastAsia" w:eastAsiaTheme="minorEastAsia"/>
                <w:color w:val="000000" w:themeColor="text1"/>
                <w:szCs w:val="21"/>
              </w:rPr>
              <w:t>谈判</w:t>
            </w:r>
            <w:r>
              <w:rPr>
                <w:rFonts w:hint="default" w:hAnsiTheme="minorEastAsia" w:eastAsiaTheme="minorEastAsia"/>
                <w:color w:val="000000" w:themeColor="text1"/>
                <w:szCs w:val="21"/>
              </w:rPr>
              <w:t>当日，</w:t>
            </w:r>
            <w:r>
              <w:rPr>
                <w:rFonts w:hint="eastAsia" w:hAnsiTheme="minorEastAsia" w:eastAsiaTheme="minorEastAsia"/>
                <w:color w:val="000000" w:themeColor="text1"/>
                <w:szCs w:val="21"/>
              </w:rPr>
              <w:t>供应商</w:t>
            </w:r>
            <w:r>
              <w:rPr>
                <w:rFonts w:hint="default" w:hAnsiTheme="minorEastAsia" w:eastAsiaTheme="minorEastAsia"/>
                <w:color w:val="000000" w:themeColor="text1"/>
                <w:szCs w:val="21"/>
              </w:rPr>
              <w:t>不必抵达</w:t>
            </w:r>
            <w:r>
              <w:rPr>
                <w:rFonts w:hint="eastAsia" w:hAnsiTheme="minorEastAsia" w:eastAsiaTheme="minorEastAsia"/>
                <w:color w:val="000000" w:themeColor="text1"/>
                <w:szCs w:val="21"/>
              </w:rPr>
              <w:t>谈判</w:t>
            </w:r>
            <w:r>
              <w:rPr>
                <w:rFonts w:hint="default" w:hAnsiTheme="minorEastAsia" w:eastAsiaTheme="minorEastAsia"/>
                <w:color w:val="000000" w:themeColor="text1"/>
                <w:szCs w:val="21"/>
              </w:rPr>
              <w:t>现场，仅需在任意地点通过</w:t>
            </w:r>
            <w:r>
              <w:rPr>
                <w:rFonts w:hint="eastAsia" w:hAnsiTheme="minorEastAsia" w:eastAsiaTheme="minorEastAsia"/>
                <w:color w:val="000000" w:themeColor="text1"/>
                <w:szCs w:val="21"/>
                <w:lang w:eastAsia="zh-CN"/>
              </w:rPr>
              <w:t>“方洋集团</w:t>
            </w:r>
            <w:r>
              <w:rPr>
                <w:rFonts w:hint="eastAsia" w:hAnsiTheme="minorEastAsia" w:eastAsiaTheme="minorEastAsia"/>
                <w:color w:val="000000" w:themeColor="text1"/>
                <w:szCs w:val="21"/>
              </w:rPr>
              <w:t>不见面开标大厅</w:t>
            </w:r>
            <w:r>
              <w:rPr>
                <w:rFonts w:hint="eastAsia" w:hAnsiTheme="minorEastAsia" w:eastAsiaTheme="minorEastAsia"/>
                <w:color w:val="000000" w:themeColor="text1"/>
                <w:szCs w:val="21"/>
                <w:lang w:eastAsia="zh-CN"/>
              </w:rPr>
              <w:t>”</w:t>
            </w:r>
            <w:r>
              <w:rPr>
                <w:rFonts w:hint="eastAsia" w:hAnsiTheme="minorEastAsia" w:eastAsiaTheme="minorEastAsia"/>
                <w:color w:val="000000" w:themeColor="text1"/>
                <w:szCs w:val="21"/>
              </w:rPr>
              <w:t>远程</w:t>
            </w:r>
            <w:r>
              <w:rPr>
                <w:rFonts w:hint="default" w:hAnsiTheme="minorEastAsia" w:eastAsiaTheme="minorEastAsia"/>
                <w:color w:val="000000" w:themeColor="text1"/>
                <w:szCs w:val="21"/>
              </w:rPr>
              <w:t>参加</w:t>
            </w:r>
            <w:r>
              <w:rPr>
                <w:rFonts w:hint="eastAsia" w:hAnsiTheme="minorEastAsia" w:eastAsiaTheme="minorEastAsia"/>
                <w:color w:val="000000" w:themeColor="text1"/>
                <w:szCs w:val="21"/>
              </w:rPr>
              <w:t>谈判活动。</w:t>
            </w:r>
          </w:p>
        </w:tc>
      </w:tr>
      <w:tr w14:paraId="4B2B8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80" w:hRule="atLeast"/>
          <w:jc w:val="center"/>
        </w:trPr>
        <w:tc>
          <w:tcPr>
            <w:tcW w:w="1212" w:type="dxa"/>
            <w:tcBorders>
              <w:top w:val="single" w:color="auto" w:sz="4" w:space="0"/>
              <w:left w:val="single" w:color="auto" w:sz="4" w:space="0"/>
              <w:bottom w:val="single" w:color="auto" w:sz="4" w:space="0"/>
              <w:right w:val="single" w:color="auto" w:sz="4" w:space="0"/>
            </w:tcBorders>
            <w:vAlign w:val="center"/>
          </w:tcPr>
          <w:p w14:paraId="57A1E1F9">
            <w:pPr>
              <w:keepNext w:val="0"/>
              <w:keepLines/>
              <w:widowControl/>
              <w:suppressLineNumbers w:val="0"/>
              <w:shd w:val="clear"/>
              <w:adjustRightInd w:val="0"/>
              <w:snapToGrid w:val="0"/>
              <w:spacing w:before="0" w:beforeAutospacing="0" w:after="0" w:afterAutospacing="0" w:line="360" w:lineRule="exact"/>
              <w:ind w:left="0" w:right="0" w:firstLine="0" w:firstLineChars="0"/>
              <w:jc w:val="center"/>
              <w:rPr>
                <w:rFonts w:hint="default" w:eastAsiaTheme="minorEastAsia"/>
                <w:color w:val="000000" w:themeColor="text1"/>
                <w:szCs w:val="21"/>
                <w:highlight w:val="none"/>
              </w:rPr>
            </w:pPr>
            <w:r>
              <w:rPr>
                <w:rFonts w:hint="default" w:eastAsiaTheme="minorEastAsia"/>
                <w:color w:val="000000" w:themeColor="text1"/>
                <w:szCs w:val="21"/>
                <w:highlight w:val="none"/>
              </w:rPr>
              <w:t>5.</w:t>
            </w:r>
            <w:r>
              <w:rPr>
                <w:rFonts w:hint="eastAsia" w:eastAsiaTheme="minorEastAsia"/>
                <w:color w:val="000000" w:themeColor="text1"/>
                <w:szCs w:val="21"/>
                <w:highlight w:val="none"/>
              </w:rPr>
              <w:t>1.2</w:t>
            </w:r>
          </w:p>
        </w:tc>
        <w:tc>
          <w:tcPr>
            <w:tcW w:w="2269" w:type="dxa"/>
            <w:tcBorders>
              <w:top w:val="single" w:color="auto" w:sz="4" w:space="0"/>
              <w:left w:val="single" w:color="auto" w:sz="4" w:space="0"/>
              <w:bottom w:val="single" w:color="auto" w:sz="4" w:space="0"/>
              <w:right w:val="single" w:color="auto" w:sz="4" w:space="0"/>
            </w:tcBorders>
            <w:vAlign w:val="center"/>
          </w:tcPr>
          <w:p w14:paraId="069CF2DE">
            <w:pPr>
              <w:keepNext w:val="0"/>
              <w:keepLines/>
              <w:widowControl/>
              <w:suppressLineNumbers w:val="0"/>
              <w:shd w:val="clear"/>
              <w:adjustRightInd w:val="0"/>
              <w:snapToGrid w:val="0"/>
              <w:spacing w:before="0" w:beforeAutospacing="0" w:after="0" w:afterAutospacing="0" w:line="360" w:lineRule="exact"/>
              <w:ind w:left="0" w:right="0" w:firstLine="0" w:firstLineChars="0"/>
              <w:rPr>
                <w:rFonts w:hint="default" w:eastAsiaTheme="minorEastAsia"/>
                <w:color w:val="000000" w:themeColor="text1"/>
                <w:szCs w:val="21"/>
                <w:highlight w:val="none"/>
              </w:rPr>
            </w:pPr>
            <w:r>
              <w:rPr>
                <w:rFonts w:hint="eastAsia" w:hAnsiTheme="minorEastAsia" w:eastAsiaTheme="minorEastAsia"/>
                <w:color w:val="000000" w:themeColor="text1"/>
                <w:szCs w:val="21"/>
                <w:highlight w:val="none"/>
              </w:rPr>
              <w:t>供应商参会代表</w:t>
            </w:r>
          </w:p>
        </w:tc>
        <w:tc>
          <w:tcPr>
            <w:tcW w:w="5581" w:type="dxa"/>
            <w:tcBorders>
              <w:top w:val="single" w:color="auto" w:sz="4" w:space="0"/>
              <w:left w:val="single" w:color="auto" w:sz="4" w:space="0"/>
              <w:bottom w:val="single" w:color="auto" w:sz="4" w:space="0"/>
              <w:right w:val="single" w:color="auto" w:sz="4" w:space="0"/>
            </w:tcBorders>
          </w:tcPr>
          <w:p w14:paraId="377A1051">
            <w:pPr>
              <w:keepNext w:val="0"/>
              <w:keepLines/>
              <w:widowControl/>
              <w:suppressLineNumbers w:val="0"/>
              <w:adjustRightInd w:val="0"/>
              <w:snapToGrid w:val="0"/>
              <w:spacing w:before="0" w:beforeAutospacing="0" w:after="0" w:afterAutospacing="0" w:line="360" w:lineRule="exact"/>
              <w:ind w:left="0" w:right="0" w:firstLine="0" w:firstLineChars="0"/>
              <w:jc w:val="left"/>
              <w:rPr>
                <w:rFonts w:hint="default" w:eastAsiaTheme="minorEastAsia"/>
                <w:color w:val="000000" w:themeColor="text1"/>
                <w:szCs w:val="21"/>
                <w:highlight w:val="none"/>
              </w:rPr>
            </w:pPr>
            <w:r>
              <w:rPr>
                <w:rFonts w:hint="eastAsia" w:hAnsiTheme="minorEastAsia" w:eastAsiaTheme="minorEastAsia"/>
                <w:color w:val="000000" w:themeColor="text1"/>
                <w:szCs w:val="21"/>
              </w:rPr>
              <w:t>参加远程谈判会议的供应商代表须为供应商响应函明确的</w:t>
            </w:r>
            <w:r>
              <w:rPr>
                <w:rFonts w:hint="eastAsia" w:hAnsiTheme="minorEastAsia" w:eastAsiaTheme="minorEastAsia"/>
                <w:color w:val="000000" w:themeColor="text1"/>
                <w:szCs w:val="21"/>
                <w:highlight w:val="none"/>
              </w:rPr>
              <w:t>授权委托代表。供应商</w:t>
            </w:r>
            <w:r>
              <w:rPr>
                <w:rFonts w:hint="default" w:hAnsiTheme="minorEastAsia" w:eastAsiaTheme="minorEastAsia"/>
                <w:color w:val="000000" w:themeColor="text1"/>
                <w:szCs w:val="21"/>
                <w:highlight w:val="none"/>
              </w:rPr>
              <w:t>参与交互的人员将一直被视为是</w:t>
            </w:r>
            <w:r>
              <w:rPr>
                <w:rFonts w:hint="eastAsia" w:hAnsiTheme="minorEastAsia" w:eastAsiaTheme="minorEastAsia"/>
                <w:color w:val="000000" w:themeColor="text1"/>
                <w:szCs w:val="21"/>
                <w:highlight w:val="none"/>
              </w:rPr>
              <w:t>供应商</w:t>
            </w:r>
            <w:r>
              <w:rPr>
                <w:rFonts w:hint="default" w:hAnsiTheme="minorEastAsia" w:eastAsiaTheme="minorEastAsia"/>
                <w:color w:val="000000" w:themeColor="text1"/>
                <w:szCs w:val="21"/>
                <w:highlight w:val="none"/>
              </w:rPr>
              <w:t>的授权委托</w:t>
            </w:r>
            <w:r>
              <w:rPr>
                <w:rFonts w:hint="eastAsia" w:hAnsiTheme="minorEastAsia" w:eastAsiaTheme="minorEastAsia"/>
                <w:color w:val="000000" w:themeColor="text1"/>
                <w:szCs w:val="21"/>
                <w:highlight w:val="none"/>
              </w:rPr>
              <w:t>代表</w:t>
            </w:r>
            <w:r>
              <w:rPr>
                <w:rFonts w:hint="default" w:hAnsiTheme="minorEastAsia" w:eastAsiaTheme="minorEastAsia"/>
                <w:color w:val="000000" w:themeColor="text1"/>
                <w:szCs w:val="21"/>
                <w:highlight w:val="none"/>
              </w:rPr>
              <w:t>，</w:t>
            </w:r>
            <w:r>
              <w:rPr>
                <w:rFonts w:hint="eastAsia" w:hAnsiTheme="minorEastAsia" w:eastAsiaTheme="minorEastAsia"/>
                <w:color w:val="000000" w:themeColor="text1"/>
                <w:szCs w:val="21"/>
                <w:highlight w:val="none"/>
              </w:rPr>
              <w:t>供应商</w:t>
            </w:r>
            <w:r>
              <w:rPr>
                <w:rFonts w:hint="default" w:hAnsiTheme="minorEastAsia" w:eastAsiaTheme="minorEastAsia"/>
                <w:color w:val="000000" w:themeColor="text1"/>
                <w:szCs w:val="21"/>
                <w:highlight w:val="none"/>
              </w:rPr>
              <w:t>自行承担弄虚作假、随意更换人员所导致的一切后果。</w:t>
            </w:r>
          </w:p>
          <w:p w14:paraId="0899F0AE">
            <w:pPr>
              <w:keepNext w:val="0"/>
              <w:keepLines/>
              <w:widowControl/>
              <w:suppressLineNumbers w:val="0"/>
              <w:shd w:val="clear"/>
              <w:adjustRightInd w:val="0"/>
              <w:snapToGrid w:val="0"/>
              <w:spacing w:before="0" w:beforeAutospacing="0" w:after="0" w:afterAutospacing="0" w:line="360" w:lineRule="exact"/>
              <w:ind w:left="0" w:right="0" w:firstLine="0" w:firstLineChars="0"/>
              <w:jc w:val="left"/>
              <w:rPr>
                <w:rFonts w:hint="default" w:eastAsiaTheme="minorEastAsia"/>
                <w:color w:val="000000" w:themeColor="text1"/>
                <w:szCs w:val="21"/>
                <w:highlight w:val="none"/>
              </w:rPr>
            </w:pPr>
            <w:r>
              <w:rPr>
                <w:rFonts w:hint="default" w:hAnsiTheme="minorEastAsia" w:eastAsiaTheme="minorEastAsia"/>
                <w:color w:val="000000" w:themeColor="text1"/>
                <w:szCs w:val="21"/>
                <w:highlight w:val="none"/>
              </w:rPr>
              <w:t>注：</w:t>
            </w:r>
            <w:r>
              <w:rPr>
                <w:rFonts w:hint="eastAsia" w:hAnsiTheme="minorEastAsia" w:eastAsiaTheme="minorEastAsia"/>
                <w:color w:val="000000" w:themeColor="text1"/>
                <w:szCs w:val="21"/>
                <w:highlight w:val="none"/>
              </w:rPr>
              <w:t>谈判</w:t>
            </w:r>
            <w:r>
              <w:rPr>
                <w:rFonts w:hint="default" w:hAnsiTheme="minorEastAsia" w:eastAsiaTheme="minorEastAsia"/>
                <w:color w:val="000000" w:themeColor="text1"/>
                <w:szCs w:val="21"/>
                <w:highlight w:val="none"/>
              </w:rPr>
              <w:t>当日，</w:t>
            </w:r>
            <w:r>
              <w:rPr>
                <w:rFonts w:hint="eastAsia" w:hAnsiTheme="minorEastAsia" w:eastAsiaTheme="minorEastAsia"/>
                <w:color w:val="000000" w:themeColor="text1"/>
                <w:szCs w:val="21"/>
                <w:highlight w:val="none"/>
              </w:rPr>
              <w:t>供应商授权委托代表</w:t>
            </w:r>
            <w:r>
              <w:rPr>
                <w:rFonts w:hint="default" w:hAnsiTheme="minorEastAsia" w:eastAsiaTheme="minorEastAsia"/>
                <w:color w:val="000000" w:themeColor="text1"/>
                <w:szCs w:val="21"/>
                <w:highlight w:val="none"/>
              </w:rPr>
              <w:t>不必抵达</w:t>
            </w:r>
            <w:r>
              <w:rPr>
                <w:rFonts w:hint="eastAsia" w:hAnsiTheme="minorEastAsia" w:eastAsiaTheme="minorEastAsia"/>
                <w:color w:val="000000" w:themeColor="text1"/>
                <w:szCs w:val="21"/>
              </w:rPr>
              <w:t>谈判</w:t>
            </w:r>
            <w:r>
              <w:rPr>
                <w:rFonts w:hint="default" w:hAnsiTheme="minorEastAsia" w:eastAsiaTheme="minorEastAsia"/>
                <w:color w:val="000000" w:themeColor="text1"/>
                <w:szCs w:val="21"/>
              </w:rPr>
              <w:t>现场，应当在</w:t>
            </w:r>
            <w:r>
              <w:rPr>
                <w:rFonts w:hint="eastAsia" w:hAnsiTheme="minorEastAsia" w:eastAsiaTheme="minorEastAsia"/>
                <w:color w:val="000000" w:themeColor="text1"/>
                <w:szCs w:val="21"/>
              </w:rPr>
              <w:t>谈判</w:t>
            </w:r>
            <w:r>
              <w:rPr>
                <w:rFonts w:hint="default" w:hAnsiTheme="minorEastAsia" w:eastAsiaTheme="minorEastAsia"/>
                <w:color w:val="000000" w:themeColor="text1"/>
                <w:szCs w:val="21"/>
              </w:rPr>
              <w:t>文件确定的</w:t>
            </w:r>
            <w:r>
              <w:rPr>
                <w:rFonts w:hint="eastAsia" w:hAnsiTheme="minorEastAsia" w:eastAsiaTheme="minorEastAsia"/>
                <w:color w:val="000000" w:themeColor="text1"/>
                <w:szCs w:val="21"/>
              </w:rPr>
              <w:t>响应</w:t>
            </w:r>
            <w:r>
              <w:rPr>
                <w:rFonts w:hint="default" w:hAnsiTheme="minorEastAsia" w:eastAsiaTheme="minorEastAsia"/>
                <w:color w:val="000000" w:themeColor="text1"/>
                <w:szCs w:val="21"/>
              </w:rPr>
              <w:t>文件递交截止时间前，在线准时参加</w:t>
            </w:r>
            <w:r>
              <w:rPr>
                <w:rFonts w:hint="eastAsia" w:hAnsiTheme="minorEastAsia" w:eastAsiaTheme="minorEastAsia"/>
                <w:color w:val="000000" w:themeColor="text1"/>
                <w:szCs w:val="21"/>
              </w:rPr>
              <w:t>谈判活动</w:t>
            </w:r>
            <w:r>
              <w:rPr>
                <w:rFonts w:hint="default" w:hAnsiTheme="minorEastAsia" w:eastAsiaTheme="minorEastAsia"/>
                <w:color w:val="000000" w:themeColor="text1"/>
                <w:szCs w:val="21"/>
              </w:rPr>
              <w:t>。</w:t>
            </w:r>
          </w:p>
        </w:tc>
      </w:tr>
      <w:tr w14:paraId="32135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1212" w:type="dxa"/>
            <w:tcBorders>
              <w:top w:val="single" w:color="auto" w:sz="4" w:space="0"/>
              <w:left w:val="single" w:color="auto" w:sz="4" w:space="0"/>
              <w:bottom w:val="single" w:color="auto" w:sz="4" w:space="0"/>
              <w:right w:val="single" w:color="auto" w:sz="4" w:space="0"/>
            </w:tcBorders>
            <w:vAlign w:val="center"/>
          </w:tcPr>
          <w:p w14:paraId="7DC32EFA">
            <w:pPr>
              <w:keepNext w:val="0"/>
              <w:keepLines/>
              <w:widowControl/>
              <w:suppressLineNumbers w:val="0"/>
              <w:shd w:val="clear"/>
              <w:adjustRightInd w:val="0"/>
              <w:snapToGrid w:val="0"/>
              <w:spacing w:before="0" w:beforeAutospacing="0" w:after="0" w:afterAutospacing="0" w:line="360" w:lineRule="exact"/>
              <w:ind w:left="0" w:right="0" w:firstLine="0" w:firstLineChars="0"/>
              <w:jc w:val="center"/>
              <w:rPr>
                <w:rFonts w:hint="default" w:eastAsiaTheme="minorEastAsia"/>
                <w:color w:val="000000" w:themeColor="text1"/>
                <w:szCs w:val="21"/>
                <w:highlight w:val="none"/>
              </w:rPr>
            </w:pPr>
            <w:r>
              <w:rPr>
                <w:rFonts w:hint="eastAsia" w:eastAsiaTheme="minorEastAsia"/>
                <w:color w:val="000000" w:themeColor="text1"/>
                <w:szCs w:val="21"/>
                <w:highlight w:val="none"/>
              </w:rPr>
              <w:t>5.2.1</w:t>
            </w:r>
          </w:p>
        </w:tc>
        <w:tc>
          <w:tcPr>
            <w:tcW w:w="2269" w:type="dxa"/>
            <w:tcBorders>
              <w:top w:val="single" w:color="auto" w:sz="4" w:space="0"/>
              <w:left w:val="single" w:color="auto" w:sz="4" w:space="0"/>
              <w:bottom w:val="single" w:color="auto" w:sz="4" w:space="0"/>
              <w:right w:val="single" w:color="auto" w:sz="4" w:space="0"/>
            </w:tcBorders>
            <w:vAlign w:val="center"/>
          </w:tcPr>
          <w:p w14:paraId="1B271E73">
            <w:pPr>
              <w:keepNext w:val="0"/>
              <w:keepLines/>
              <w:widowControl/>
              <w:suppressLineNumbers w:val="0"/>
              <w:shd w:val="clear"/>
              <w:adjustRightInd w:val="0"/>
              <w:snapToGrid w:val="0"/>
              <w:spacing w:before="0" w:beforeAutospacing="0" w:after="0" w:afterAutospacing="0" w:line="360" w:lineRule="exact"/>
              <w:ind w:left="0" w:right="0" w:firstLine="0" w:firstLineChars="0"/>
              <w:rPr>
                <w:rFonts w:hint="default" w:hAnsiTheme="minorEastAsia" w:eastAsiaTheme="minorEastAsia"/>
                <w:color w:val="000000" w:themeColor="text1"/>
                <w:szCs w:val="21"/>
                <w:highlight w:val="none"/>
              </w:rPr>
            </w:pPr>
            <w:r>
              <w:rPr>
                <w:rFonts w:hint="eastAsia" w:hAnsiTheme="minorEastAsia" w:eastAsiaTheme="minorEastAsia"/>
                <w:color w:val="000000" w:themeColor="text1"/>
                <w:szCs w:val="21"/>
                <w:highlight w:val="none"/>
              </w:rPr>
              <w:t>谈判程序</w:t>
            </w:r>
          </w:p>
        </w:tc>
        <w:tc>
          <w:tcPr>
            <w:tcW w:w="5581" w:type="dxa"/>
            <w:tcBorders>
              <w:top w:val="single" w:color="auto" w:sz="4" w:space="0"/>
              <w:left w:val="single" w:color="auto" w:sz="4" w:space="0"/>
              <w:bottom w:val="single" w:color="auto" w:sz="4" w:space="0"/>
              <w:right w:val="single" w:color="auto" w:sz="4" w:space="0"/>
            </w:tcBorders>
          </w:tcPr>
          <w:p w14:paraId="1545102B">
            <w:pPr>
              <w:keepNext w:val="0"/>
              <w:keepLines/>
              <w:widowControl/>
              <w:suppressLineNumbers w:val="0"/>
              <w:shd w:val="clear"/>
              <w:adjustRightInd w:val="0"/>
              <w:snapToGrid w:val="0"/>
              <w:spacing w:before="0" w:beforeAutospacing="0" w:after="0" w:afterAutospacing="0" w:line="360" w:lineRule="exact"/>
              <w:ind w:left="0" w:right="0" w:firstLine="0" w:firstLineChars="0"/>
              <w:jc w:val="left"/>
              <w:rPr>
                <w:rFonts w:hint="eastAsia"/>
                <w:highlight w:val="none"/>
              </w:rPr>
            </w:pPr>
            <w:r>
              <w:rPr>
                <w:rFonts w:hint="eastAsia"/>
                <w:highlight w:val="none"/>
              </w:rPr>
              <w:t>1.开启谈判响应文件；</w:t>
            </w:r>
          </w:p>
          <w:p w14:paraId="65D57BFF">
            <w:pPr>
              <w:keepNext w:val="0"/>
              <w:keepLines/>
              <w:widowControl/>
              <w:suppressLineNumbers w:val="0"/>
              <w:shd w:val="clear"/>
              <w:adjustRightInd w:val="0"/>
              <w:snapToGrid w:val="0"/>
              <w:spacing w:before="0" w:beforeAutospacing="0" w:after="0" w:afterAutospacing="0" w:line="360" w:lineRule="exact"/>
              <w:ind w:left="0" w:right="0" w:firstLine="0" w:firstLineChars="0"/>
              <w:jc w:val="left"/>
              <w:rPr>
                <w:rFonts w:hint="eastAsia"/>
                <w:highlight w:val="none"/>
              </w:rPr>
            </w:pPr>
            <w:r>
              <w:rPr>
                <w:rFonts w:hint="eastAsia"/>
                <w:highlight w:val="none"/>
              </w:rPr>
              <w:t>2.唱标；</w:t>
            </w:r>
          </w:p>
          <w:p w14:paraId="3E354C00">
            <w:pPr>
              <w:keepNext w:val="0"/>
              <w:keepLines/>
              <w:widowControl/>
              <w:suppressLineNumbers w:val="0"/>
              <w:shd w:val="clear"/>
              <w:adjustRightInd w:val="0"/>
              <w:snapToGrid w:val="0"/>
              <w:spacing w:before="0" w:beforeAutospacing="0" w:after="0" w:afterAutospacing="0" w:line="360" w:lineRule="exact"/>
              <w:ind w:left="0" w:right="0" w:firstLine="0" w:firstLineChars="0"/>
              <w:jc w:val="left"/>
              <w:rPr>
                <w:rFonts w:hint="eastAsia"/>
                <w:highlight w:val="none"/>
              </w:rPr>
            </w:pPr>
            <w:r>
              <w:rPr>
                <w:rFonts w:hint="eastAsia"/>
                <w:highlight w:val="none"/>
              </w:rPr>
              <w:t>3.评审小组初步评审；</w:t>
            </w:r>
          </w:p>
          <w:p w14:paraId="771A808B">
            <w:pPr>
              <w:keepNext w:val="0"/>
              <w:keepLines/>
              <w:widowControl/>
              <w:suppressLineNumbers w:val="0"/>
              <w:shd w:val="clear"/>
              <w:adjustRightInd w:val="0"/>
              <w:snapToGrid w:val="0"/>
              <w:spacing w:before="0" w:beforeAutospacing="0" w:after="0" w:afterAutospacing="0" w:line="360" w:lineRule="exact"/>
              <w:ind w:left="0" w:right="0" w:firstLine="0" w:firstLineChars="0"/>
              <w:jc w:val="left"/>
              <w:rPr>
                <w:rFonts w:hint="eastAsia"/>
                <w:highlight w:val="none"/>
              </w:rPr>
            </w:pPr>
            <w:r>
              <w:rPr>
                <w:rFonts w:hint="eastAsia"/>
                <w:highlight w:val="none"/>
              </w:rPr>
              <w:t>4.通过初步评审的供应商二次报价、二次唱标</w:t>
            </w:r>
            <w:r>
              <w:rPr>
                <w:rFonts w:hint="eastAsia"/>
                <w:highlight w:val="none"/>
                <w:lang w:eastAsia="zh-CN"/>
              </w:rPr>
              <w:t>（如有）</w:t>
            </w:r>
            <w:r>
              <w:rPr>
                <w:rFonts w:hint="eastAsia"/>
                <w:highlight w:val="none"/>
              </w:rPr>
              <w:t>；</w:t>
            </w:r>
          </w:p>
          <w:p w14:paraId="4B412A04">
            <w:pPr>
              <w:keepNext w:val="0"/>
              <w:keepLines/>
              <w:widowControl/>
              <w:suppressLineNumbers w:val="0"/>
              <w:shd w:val="clear"/>
              <w:adjustRightInd w:val="0"/>
              <w:snapToGrid w:val="0"/>
              <w:spacing w:before="0" w:beforeAutospacing="0" w:after="0" w:afterAutospacing="0" w:line="360" w:lineRule="exact"/>
              <w:ind w:left="0" w:right="0" w:firstLine="0" w:firstLineChars="0"/>
              <w:jc w:val="left"/>
              <w:rPr>
                <w:rFonts w:hint="eastAsia"/>
                <w:highlight w:val="none"/>
              </w:rPr>
            </w:pPr>
            <w:r>
              <w:rPr>
                <w:rFonts w:hint="eastAsia"/>
                <w:highlight w:val="none"/>
              </w:rPr>
              <w:t>5.评审小组详细评审；</w:t>
            </w:r>
          </w:p>
          <w:p w14:paraId="73D4498E">
            <w:pPr>
              <w:keepNext w:val="0"/>
              <w:keepLines/>
              <w:widowControl/>
              <w:suppressLineNumbers w:val="0"/>
              <w:shd w:val="clear"/>
              <w:adjustRightInd w:val="0"/>
              <w:snapToGrid w:val="0"/>
              <w:spacing w:before="0" w:beforeAutospacing="0" w:after="0" w:afterAutospacing="0" w:line="360" w:lineRule="exact"/>
              <w:ind w:left="0" w:right="0" w:firstLine="0" w:firstLineChars="0"/>
              <w:jc w:val="left"/>
              <w:rPr>
                <w:rFonts w:hint="eastAsia"/>
                <w:highlight w:val="none"/>
              </w:rPr>
            </w:pPr>
            <w:r>
              <w:rPr>
                <w:rFonts w:hint="eastAsia"/>
                <w:highlight w:val="none"/>
              </w:rPr>
              <w:t>6.评审小组推荐成交候选人；</w:t>
            </w:r>
          </w:p>
          <w:p w14:paraId="638ED20C">
            <w:pPr>
              <w:keepNext w:val="0"/>
              <w:keepLines/>
              <w:widowControl/>
              <w:suppressLineNumbers w:val="0"/>
              <w:shd w:val="clear"/>
              <w:adjustRightInd w:val="0"/>
              <w:snapToGrid w:val="0"/>
              <w:spacing w:before="0" w:beforeAutospacing="0" w:after="0" w:afterAutospacing="0" w:line="360" w:lineRule="exact"/>
              <w:ind w:left="0" w:right="0" w:firstLine="0" w:firstLineChars="0"/>
              <w:jc w:val="left"/>
              <w:rPr>
                <w:rFonts w:hint="default"/>
                <w:highlight w:val="none"/>
              </w:rPr>
            </w:pPr>
            <w:r>
              <w:rPr>
                <w:rFonts w:hint="eastAsia"/>
                <w:highlight w:val="none"/>
              </w:rPr>
              <w:t>7</w:t>
            </w:r>
            <w:r>
              <w:rPr>
                <w:rFonts w:hint="eastAsia"/>
                <w:highlight w:val="none"/>
                <w:lang w:eastAsia="zh-CN"/>
              </w:rPr>
              <w:t>.</w:t>
            </w:r>
            <w:r>
              <w:rPr>
                <w:rFonts w:hint="eastAsia"/>
                <w:highlight w:val="none"/>
              </w:rPr>
              <w:t>结束。</w:t>
            </w:r>
          </w:p>
        </w:tc>
      </w:tr>
      <w:tr w14:paraId="6D093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1212" w:type="dxa"/>
            <w:tcBorders>
              <w:top w:val="single" w:color="auto" w:sz="4" w:space="0"/>
              <w:left w:val="single" w:color="auto" w:sz="4" w:space="0"/>
              <w:bottom w:val="single" w:color="auto" w:sz="4" w:space="0"/>
              <w:right w:val="single" w:color="auto" w:sz="4" w:space="0"/>
            </w:tcBorders>
            <w:vAlign w:val="center"/>
          </w:tcPr>
          <w:p w14:paraId="372F2F53">
            <w:pPr>
              <w:keepNext w:val="0"/>
              <w:keepLines/>
              <w:widowControl/>
              <w:suppressLineNumbers w:val="0"/>
              <w:shd w:val="clear"/>
              <w:adjustRightInd w:val="0"/>
              <w:snapToGrid w:val="0"/>
              <w:spacing w:before="0" w:beforeAutospacing="0" w:after="0" w:afterAutospacing="0" w:line="360" w:lineRule="exact"/>
              <w:ind w:left="0" w:right="0" w:firstLine="0" w:firstLineChars="0"/>
              <w:jc w:val="center"/>
              <w:rPr>
                <w:rFonts w:hint="default" w:eastAsiaTheme="minorEastAsia"/>
                <w:color w:val="000000" w:themeColor="text1"/>
                <w:szCs w:val="21"/>
                <w:highlight w:val="none"/>
              </w:rPr>
            </w:pPr>
            <w:r>
              <w:rPr>
                <w:rFonts w:hint="eastAsia" w:eastAsiaTheme="minorEastAsia"/>
                <w:color w:val="000000" w:themeColor="text1"/>
                <w:szCs w:val="21"/>
                <w:highlight w:val="none"/>
              </w:rPr>
              <w:t>5.</w:t>
            </w:r>
            <w:r>
              <w:rPr>
                <w:rFonts w:hint="eastAsia" w:eastAsiaTheme="minorEastAsia"/>
                <w:color w:val="000000" w:themeColor="text1"/>
                <w:szCs w:val="21"/>
                <w:highlight w:val="none"/>
                <w:lang w:val="en-US" w:eastAsia="zh-CN"/>
              </w:rPr>
              <w:t>3</w:t>
            </w:r>
            <w:r>
              <w:rPr>
                <w:rFonts w:hint="eastAsia" w:eastAsiaTheme="minorEastAsia"/>
                <w:color w:val="000000" w:themeColor="text1"/>
                <w:szCs w:val="21"/>
                <w:highlight w:val="none"/>
              </w:rPr>
              <w:t>.1</w:t>
            </w:r>
          </w:p>
        </w:tc>
        <w:tc>
          <w:tcPr>
            <w:tcW w:w="2269" w:type="dxa"/>
            <w:tcBorders>
              <w:top w:val="single" w:color="auto" w:sz="4" w:space="0"/>
              <w:left w:val="single" w:color="auto" w:sz="4" w:space="0"/>
              <w:bottom w:val="single" w:color="auto" w:sz="4" w:space="0"/>
              <w:right w:val="single" w:color="auto" w:sz="4" w:space="0"/>
            </w:tcBorders>
            <w:vAlign w:val="center"/>
          </w:tcPr>
          <w:p w14:paraId="2F996FE1">
            <w:pPr>
              <w:keepNext w:val="0"/>
              <w:keepLines/>
              <w:widowControl/>
              <w:suppressLineNumbers w:val="0"/>
              <w:shd w:val="clear"/>
              <w:adjustRightInd w:val="0"/>
              <w:snapToGrid w:val="0"/>
              <w:spacing w:before="0" w:beforeAutospacing="0" w:after="0" w:afterAutospacing="0" w:line="360" w:lineRule="exact"/>
              <w:ind w:left="0" w:right="0" w:firstLine="0" w:firstLineChars="0"/>
              <w:rPr>
                <w:rFonts w:hint="default" w:eastAsiaTheme="minorEastAsia"/>
                <w:color w:val="000000" w:themeColor="text1"/>
                <w:szCs w:val="21"/>
                <w:highlight w:val="none"/>
              </w:rPr>
            </w:pPr>
            <w:r>
              <w:rPr>
                <w:rFonts w:hint="eastAsia" w:hAnsiTheme="minorEastAsia" w:eastAsiaTheme="minorEastAsia"/>
                <w:color w:val="000000" w:themeColor="text1"/>
                <w:szCs w:val="21"/>
                <w:highlight w:val="none"/>
              </w:rPr>
              <w:t>评审小组</w:t>
            </w:r>
            <w:r>
              <w:rPr>
                <w:rFonts w:hint="default" w:hAnsiTheme="minorEastAsia" w:eastAsiaTheme="minorEastAsia"/>
                <w:color w:val="000000" w:themeColor="text1"/>
                <w:szCs w:val="21"/>
                <w:highlight w:val="none"/>
              </w:rPr>
              <w:t>的组建</w:t>
            </w:r>
          </w:p>
        </w:tc>
        <w:tc>
          <w:tcPr>
            <w:tcW w:w="5581" w:type="dxa"/>
            <w:tcBorders>
              <w:top w:val="single" w:color="auto" w:sz="4" w:space="0"/>
              <w:left w:val="single" w:color="auto" w:sz="4" w:space="0"/>
              <w:bottom w:val="single" w:color="auto" w:sz="4" w:space="0"/>
              <w:right w:val="single" w:color="auto" w:sz="4" w:space="0"/>
            </w:tcBorders>
            <w:vAlign w:val="center"/>
          </w:tcPr>
          <w:p w14:paraId="3CFDBD33">
            <w:pPr>
              <w:keepNext w:val="0"/>
              <w:keepLines/>
              <w:widowControl/>
              <w:suppressLineNumbers w:val="0"/>
              <w:shd w:val="clear"/>
              <w:adjustRightInd w:val="0"/>
              <w:snapToGrid w:val="0"/>
              <w:spacing w:before="0" w:beforeAutospacing="0" w:after="0" w:afterAutospacing="0" w:line="360" w:lineRule="exact"/>
              <w:ind w:left="0" w:right="0" w:firstLine="0" w:firstLineChars="0"/>
              <w:rPr>
                <w:rFonts w:hint="default" w:hAnsiTheme="minorEastAsia" w:eastAsiaTheme="minorEastAsia"/>
                <w:color w:val="000000" w:themeColor="text1"/>
                <w:szCs w:val="21"/>
                <w:highlight w:val="none"/>
              </w:rPr>
            </w:pPr>
            <w:r>
              <w:rPr>
                <w:rFonts w:hint="eastAsia" w:hAnsiTheme="minorEastAsia" w:eastAsiaTheme="minorEastAsia"/>
                <w:color w:val="000000" w:themeColor="text1"/>
                <w:szCs w:val="21"/>
                <w:highlight w:val="none"/>
              </w:rPr>
              <w:t>评审小组的构成：</w:t>
            </w:r>
            <w:r>
              <w:rPr>
                <w:rFonts w:hint="eastAsia" w:hAnsiTheme="minorEastAsia" w:eastAsiaTheme="minorEastAsia"/>
                <w:color w:val="000000" w:themeColor="text1"/>
                <w:szCs w:val="21"/>
                <w:highlight w:val="none"/>
                <w:u w:val="single"/>
              </w:rPr>
              <w:t xml:space="preserve"> 3人及以上的单数 </w:t>
            </w:r>
            <w:r>
              <w:rPr>
                <w:rFonts w:hint="eastAsia" w:hAnsiTheme="minorEastAsia" w:eastAsiaTheme="minorEastAsia"/>
                <w:color w:val="000000" w:themeColor="text1"/>
                <w:szCs w:val="21"/>
                <w:highlight w:val="none"/>
              </w:rPr>
              <w:t>。</w:t>
            </w:r>
          </w:p>
          <w:p w14:paraId="0DEE0C8F">
            <w:pPr>
              <w:keepNext w:val="0"/>
              <w:keepLines/>
              <w:widowControl/>
              <w:suppressLineNumbers w:val="0"/>
              <w:shd w:val="clear"/>
              <w:adjustRightInd w:val="0"/>
              <w:snapToGrid w:val="0"/>
              <w:spacing w:before="0" w:beforeAutospacing="0" w:after="0" w:afterAutospacing="0" w:line="360" w:lineRule="exact"/>
              <w:ind w:left="0" w:right="0" w:firstLine="0" w:firstLineChars="0"/>
              <w:rPr>
                <w:rFonts w:hint="default" w:eastAsiaTheme="minorEastAsia"/>
                <w:color w:val="000000" w:themeColor="text1"/>
                <w:szCs w:val="21"/>
                <w:highlight w:val="none"/>
              </w:rPr>
            </w:pPr>
            <w:r>
              <w:rPr>
                <w:rFonts w:hint="eastAsia" w:hAnsiTheme="minorEastAsia" w:eastAsiaTheme="minorEastAsia"/>
                <w:color w:val="000000" w:themeColor="text1"/>
                <w:szCs w:val="21"/>
                <w:highlight w:val="none"/>
              </w:rPr>
              <w:t>评标专家确定方式：</w:t>
            </w:r>
            <w:r>
              <w:rPr>
                <w:rFonts w:hint="default" w:hAnsiTheme="minorEastAsia" w:eastAsiaTheme="minorEastAsia"/>
                <w:color w:val="000000" w:themeColor="text1"/>
                <w:szCs w:val="21"/>
                <w:highlight w:val="none"/>
                <w:u w:val="single"/>
              </w:rPr>
              <w:t>专家库中随机抽取</w:t>
            </w:r>
            <w:r>
              <w:rPr>
                <w:rFonts w:hint="default" w:hAnsiTheme="minorEastAsia" w:eastAsiaTheme="minorEastAsia"/>
                <w:color w:val="000000" w:themeColor="text1"/>
                <w:szCs w:val="21"/>
                <w:highlight w:val="none"/>
              </w:rPr>
              <w:t>。</w:t>
            </w:r>
          </w:p>
        </w:tc>
      </w:tr>
      <w:tr w14:paraId="140B6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12" w:type="dxa"/>
            <w:tcBorders>
              <w:top w:val="single" w:color="auto" w:sz="4" w:space="0"/>
              <w:left w:val="single" w:color="auto" w:sz="4" w:space="0"/>
              <w:bottom w:val="single" w:color="auto" w:sz="4" w:space="0"/>
              <w:right w:val="single" w:color="auto" w:sz="4" w:space="0"/>
            </w:tcBorders>
            <w:vAlign w:val="center"/>
          </w:tcPr>
          <w:p w14:paraId="2B5E186F">
            <w:pPr>
              <w:keepNext w:val="0"/>
              <w:keepLines/>
              <w:widowControl/>
              <w:suppressLineNumbers w:val="0"/>
              <w:shd w:val="clear"/>
              <w:adjustRightInd w:val="0"/>
              <w:snapToGrid w:val="0"/>
              <w:spacing w:before="0" w:beforeAutospacing="0" w:after="0" w:afterAutospacing="0" w:line="360" w:lineRule="exact"/>
              <w:ind w:left="0" w:right="0" w:firstLine="0" w:firstLineChars="0"/>
              <w:jc w:val="center"/>
              <w:rPr>
                <w:rFonts w:hint="eastAsia" w:eastAsiaTheme="minorEastAsia"/>
                <w:color w:val="000000" w:themeColor="text1"/>
                <w:szCs w:val="21"/>
                <w:highlight w:val="none"/>
                <w:lang w:eastAsia="zh-CN"/>
              </w:rPr>
            </w:pPr>
            <w:r>
              <w:rPr>
                <w:rFonts w:hint="eastAsia" w:eastAsiaTheme="minorEastAsia"/>
                <w:color w:val="000000" w:themeColor="text1"/>
                <w:szCs w:val="21"/>
                <w:highlight w:val="none"/>
              </w:rPr>
              <w:t>5.</w:t>
            </w:r>
            <w:r>
              <w:rPr>
                <w:rFonts w:hint="eastAsia" w:eastAsiaTheme="minorEastAsia"/>
                <w:color w:val="000000" w:themeColor="text1"/>
                <w:szCs w:val="21"/>
                <w:highlight w:val="none"/>
                <w:lang w:val="en-US" w:eastAsia="zh-CN"/>
              </w:rPr>
              <w:t>4</w:t>
            </w:r>
          </w:p>
        </w:tc>
        <w:tc>
          <w:tcPr>
            <w:tcW w:w="2269" w:type="dxa"/>
            <w:tcBorders>
              <w:top w:val="single" w:color="auto" w:sz="4" w:space="0"/>
              <w:left w:val="single" w:color="auto" w:sz="4" w:space="0"/>
              <w:bottom w:val="single" w:color="auto" w:sz="4" w:space="0"/>
              <w:right w:val="single" w:color="auto" w:sz="4" w:space="0"/>
            </w:tcBorders>
            <w:vAlign w:val="center"/>
          </w:tcPr>
          <w:p w14:paraId="3BCC9804">
            <w:pPr>
              <w:keepNext w:val="0"/>
              <w:keepLines/>
              <w:widowControl/>
              <w:suppressLineNumbers w:val="0"/>
              <w:shd w:val="clear"/>
              <w:adjustRightInd w:val="0"/>
              <w:snapToGrid w:val="0"/>
              <w:spacing w:before="0" w:beforeAutospacing="0" w:after="0" w:afterAutospacing="0" w:line="360" w:lineRule="exact"/>
              <w:ind w:left="0" w:right="0" w:firstLine="0" w:firstLineChars="0"/>
              <w:rPr>
                <w:rFonts w:hint="default" w:eastAsiaTheme="minorEastAsia"/>
                <w:color w:val="000000" w:themeColor="text1"/>
                <w:szCs w:val="21"/>
                <w:highlight w:val="none"/>
              </w:rPr>
            </w:pPr>
            <w:r>
              <w:rPr>
                <w:rFonts w:hint="eastAsia" w:hAnsiTheme="minorEastAsia" w:eastAsiaTheme="minorEastAsia"/>
                <w:color w:val="000000" w:themeColor="text1"/>
                <w:szCs w:val="21"/>
                <w:highlight w:val="none"/>
              </w:rPr>
              <w:t>评</w:t>
            </w:r>
            <w:r>
              <w:rPr>
                <w:rFonts w:hint="eastAsia" w:hAnsiTheme="minorEastAsia" w:eastAsiaTheme="minorEastAsia"/>
                <w:b w:val="0"/>
                <w:bCs w:val="0"/>
                <w:color w:val="000000" w:themeColor="text1"/>
                <w:szCs w:val="21"/>
                <w:highlight w:val="none"/>
              </w:rPr>
              <w:t>审入围条件、评审</w:t>
            </w:r>
            <w:r>
              <w:rPr>
                <w:rFonts w:hint="default" w:hAnsiTheme="minorEastAsia" w:eastAsiaTheme="minorEastAsia"/>
                <w:b w:val="0"/>
                <w:bCs w:val="0"/>
                <w:color w:val="000000" w:themeColor="text1"/>
                <w:szCs w:val="21"/>
                <w:highlight w:val="none"/>
              </w:rPr>
              <w:t>方法</w:t>
            </w:r>
            <w:r>
              <w:rPr>
                <w:rFonts w:hint="eastAsia" w:hAnsiTheme="minorEastAsia" w:eastAsiaTheme="minorEastAsia"/>
                <w:b w:val="0"/>
                <w:bCs w:val="0"/>
                <w:color w:val="000000" w:themeColor="text1"/>
                <w:szCs w:val="21"/>
                <w:highlight w:val="none"/>
              </w:rPr>
              <w:t>及推荐的成交供应商候选人数</w:t>
            </w:r>
          </w:p>
        </w:tc>
        <w:tc>
          <w:tcPr>
            <w:tcW w:w="5581" w:type="dxa"/>
            <w:tcBorders>
              <w:top w:val="single" w:color="auto" w:sz="4" w:space="0"/>
              <w:left w:val="single" w:color="auto" w:sz="4" w:space="0"/>
              <w:bottom w:val="single" w:color="auto" w:sz="4" w:space="0"/>
              <w:right w:val="single" w:color="auto" w:sz="4" w:space="0"/>
            </w:tcBorders>
            <w:vAlign w:val="center"/>
          </w:tcPr>
          <w:p w14:paraId="0007AEC4">
            <w:pPr>
              <w:keepNext w:val="0"/>
              <w:keepLines/>
              <w:widowControl/>
              <w:suppressLineNumbers w:val="0"/>
              <w:shd w:val="clear"/>
              <w:adjustRightInd w:val="0"/>
              <w:snapToGrid w:val="0"/>
              <w:spacing w:before="0" w:beforeAutospacing="0" w:after="0" w:afterAutospacing="0" w:line="360" w:lineRule="exact"/>
              <w:ind w:left="0" w:right="0" w:firstLine="0" w:firstLineChars="0"/>
              <w:jc w:val="left"/>
              <w:rPr>
                <w:rFonts w:hint="default" w:hAnsiTheme="minorEastAsia" w:eastAsiaTheme="minorEastAsia"/>
                <w:color w:val="000000" w:themeColor="text1"/>
                <w:szCs w:val="21"/>
                <w:highlight w:val="none"/>
              </w:rPr>
            </w:pPr>
            <w:r>
              <w:rPr>
                <w:rFonts w:hint="eastAsia" w:ascii="宋体" w:hAnsi="宋体" w:eastAsiaTheme="minorEastAsia"/>
                <w:b/>
                <w:bCs/>
                <w:szCs w:val="21"/>
                <w:highlight w:val="none"/>
              </w:rPr>
              <w:t>评审</w:t>
            </w:r>
            <w:r>
              <w:rPr>
                <w:rFonts w:hint="eastAsia" w:ascii="宋体" w:hAnsi="宋体"/>
                <w:b/>
                <w:bCs/>
                <w:szCs w:val="21"/>
                <w:highlight w:val="none"/>
              </w:rPr>
              <w:t>入围条件：供应商响应文件响应函中载明的报价高于采购人期望值的（采购人期望值=采购控制价*</w:t>
            </w:r>
            <w:r>
              <w:rPr>
                <w:rFonts w:hint="eastAsia" w:ascii="宋体" w:hAnsi="宋体"/>
                <w:b/>
                <w:bCs/>
                <w:szCs w:val="21"/>
                <w:highlight w:val="none"/>
                <w:lang w:val="en-US" w:eastAsia="zh-CN"/>
              </w:rPr>
              <w:t>100</w:t>
            </w:r>
            <w:r>
              <w:rPr>
                <w:rFonts w:hint="eastAsia" w:ascii="宋体" w:hAnsi="宋体"/>
                <w:b/>
                <w:bCs/>
                <w:szCs w:val="21"/>
                <w:highlight w:val="none"/>
              </w:rPr>
              <w:t>%），不再进行后续评审。</w:t>
            </w:r>
          </w:p>
          <w:p w14:paraId="5293334C">
            <w:pPr>
              <w:keepNext w:val="0"/>
              <w:keepLines/>
              <w:widowControl/>
              <w:suppressLineNumbers w:val="0"/>
              <w:shd w:val="clear"/>
              <w:adjustRightInd w:val="0"/>
              <w:snapToGrid w:val="0"/>
              <w:spacing w:before="0" w:beforeAutospacing="0" w:after="0" w:afterAutospacing="0" w:line="360" w:lineRule="exact"/>
              <w:ind w:left="0" w:right="0" w:firstLine="0" w:firstLineChars="0"/>
              <w:jc w:val="left"/>
              <w:rPr>
                <w:rFonts w:hint="default" w:hAnsiTheme="minorEastAsia" w:eastAsiaTheme="minorEastAsia"/>
                <w:color w:val="000000" w:themeColor="text1"/>
                <w:szCs w:val="21"/>
                <w:highlight w:val="none"/>
              </w:rPr>
            </w:pPr>
            <w:r>
              <w:rPr>
                <w:rFonts w:hint="eastAsia" w:hAnsiTheme="minorEastAsia" w:eastAsiaTheme="minorEastAsia"/>
                <w:color w:val="000000" w:themeColor="text1"/>
                <w:szCs w:val="21"/>
                <w:highlight w:val="none"/>
              </w:rPr>
              <w:t>评审方法：</w:t>
            </w:r>
            <w:r>
              <w:rPr>
                <w:rFonts w:hint="default" w:hAnsiTheme="minorEastAsia" w:eastAsiaTheme="minorEastAsia"/>
                <w:color w:val="000000" w:themeColor="text1"/>
                <w:szCs w:val="21"/>
                <w:highlight w:val="none"/>
              </w:rPr>
              <w:t>采用经评审的最低价法。</w:t>
            </w:r>
          </w:p>
          <w:p w14:paraId="5355C45F">
            <w:pPr>
              <w:keepNext w:val="0"/>
              <w:keepLines/>
              <w:widowControl/>
              <w:suppressLineNumbers w:val="0"/>
              <w:shd w:val="clear"/>
              <w:adjustRightInd w:val="0"/>
              <w:snapToGrid w:val="0"/>
              <w:spacing w:before="0" w:beforeAutospacing="0" w:after="0" w:afterAutospacing="0" w:line="360" w:lineRule="exact"/>
              <w:ind w:left="0" w:right="0" w:firstLine="0" w:firstLineChars="0"/>
              <w:jc w:val="left"/>
              <w:rPr>
                <w:rFonts w:hint="default"/>
                <w:color w:val="000000" w:themeColor="text1"/>
                <w:szCs w:val="21"/>
                <w:highlight w:val="none"/>
              </w:rPr>
            </w:pPr>
            <w:r>
              <w:rPr>
                <w:rFonts w:hint="eastAsia" w:hAnsiTheme="minorEastAsia" w:eastAsiaTheme="minorEastAsia"/>
                <w:color w:val="000000" w:themeColor="text1"/>
                <w:szCs w:val="21"/>
                <w:highlight w:val="none"/>
              </w:rPr>
              <w:t>推荐的成交供应商候选人数：</w:t>
            </w:r>
            <w:r>
              <w:rPr>
                <w:rFonts w:hint="eastAsia" w:hAnsiTheme="minorEastAsia" w:eastAsiaTheme="minorEastAsia"/>
                <w:color w:val="000000" w:themeColor="text1"/>
                <w:szCs w:val="21"/>
                <w:highlight w:val="none"/>
                <w:lang w:val="en-US" w:eastAsia="zh-CN"/>
              </w:rPr>
              <w:t>1-</w:t>
            </w:r>
            <w:r>
              <w:rPr>
                <w:rFonts w:hint="eastAsia" w:hAnsiTheme="minorEastAsia" w:eastAsiaTheme="minorEastAsia"/>
                <w:color w:val="000000" w:themeColor="text1"/>
                <w:szCs w:val="21"/>
                <w:highlight w:val="none"/>
              </w:rPr>
              <w:t>3名</w:t>
            </w:r>
          </w:p>
        </w:tc>
      </w:tr>
      <w:tr w14:paraId="22241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12" w:type="dxa"/>
            <w:tcBorders>
              <w:top w:val="single" w:color="auto" w:sz="4" w:space="0"/>
              <w:left w:val="single" w:color="auto" w:sz="4" w:space="0"/>
              <w:bottom w:val="single" w:color="auto" w:sz="4" w:space="0"/>
              <w:right w:val="single" w:color="auto" w:sz="4" w:space="0"/>
            </w:tcBorders>
            <w:vAlign w:val="center"/>
          </w:tcPr>
          <w:p w14:paraId="588385C7">
            <w:pPr>
              <w:keepNext w:val="0"/>
              <w:keepLines/>
              <w:widowControl/>
              <w:suppressLineNumbers w:val="0"/>
              <w:adjustRightInd w:val="0"/>
              <w:snapToGrid w:val="0"/>
              <w:spacing w:before="0" w:beforeAutospacing="0" w:after="0" w:afterAutospacing="0" w:line="360" w:lineRule="exact"/>
              <w:ind w:left="0" w:right="0" w:firstLine="0" w:firstLineChars="0"/>
              <w:jc w:val="center"/>
              <w:rPr>
                <w:rFonts w:hint="default" w:eastAsiaTheme="minorEastAsia"/>
                <w:color w:val="000000" w:themeColor="text1"/>
                <w:szCs w:val="21"/>
                <w:highlight w:val="none"/>
                <w:lang w:val="en-US" w:eastAsia="zh-CN"/>
              </w:rPr>
            </w:pPr>
            <w:r>
              <w:rPr>
                <w:rFonts w:hint="eastAsia" w:eastAsiaTheme="minorEastAsia"/>
                <w:color w:val="000000" w:themeColor="text1"/>
                <w:szCs w:val="21"/>
                <w:highlight w:val="none"/>
                <w:lang w:val="en-US" w:eastAsia="zh-CN"/>
              </w:rPr>
              <w:t>7.3.1</w:t>
            </w:r>
          </w:p>
        </w:tc>
        <w:tc>
          <w:tcPr>
            <w:tcW w:w="2269" w:type="dxa"/>
            <w:tcBorders>
              <w:top w:val="single" w:color="auto" w:sz="4" w:space="0"/>
              <w:left w:val="single" w:color="auto" w:sz="4" w:space="0"/>
              <w:bottom w:val="single" w:color="auto" w:sz="4" w:space="0"/>
              <w:right w:val="single" w:color="auto" w:sz="4" w:space="0"/>
            </w:tcBorders>
            <w:vAlign w:val="center"/>
          </w:tcPr>
          <w:p w14:paraId="42479CCD">
            <w:pPr>
              <w:keepNext w:val="0"/>
              <w:keepLines/>
              <w:widowControl/>
              <w:suppressLineNumbers w:val="0"/>
              <w:adjustRightInd w:val="0"/>
              <w:snapToGrid w:val="0"/>
              <w:spacing w:before="0" w:beforeAutospacing="0" w:after="0" w:afterAutospacing="0" w:line="360" w:lineRule="exact"/>
              <w:ind w:left="0" w:right="0" w:firstLine="0" w:firstLineChars="0"/>
              <w:rPr>
                <w:rFonts w:hint="eastAsia" w:hAnsiTheme="minorEastAsia" w:eastAsiaTheme="minorEastAsia"/>
                <w:color w:val="000000" w:themeColor="text1"/>
                <w:szCs w:val="21"/>
                <w:highlight w:val="none"/>
              </w:rPr>
            </w:pPr>
            <w:r>
              <w:rPr>
                <w:rFonts w:hint="eastAsia" w:hAnsiTheme="minorEastAsia" w:eastAsiaTheme="minorEastAsia"/>
                <w:color w:val="000000" w:themeColor="text1"/>
                <w:szCs w:val="21"/>
                <w:highlight w:val="none"/>
                <w:lang w:val="en-US" w:eastAsia="zh-CN"/>
              </w:rPr>
              <w:t>签订合同</w:t>
            </w:r>
          </w:p>
        </w:tc>
        <w:tc>
          <w:tcPr>
            <w:tcW w:w="5581" w:type="dxa"/>
            <w:tcBorders>
              <w:top w:val="single" w:color="auto" w:sz="4" w:space="0"/>
              <w:left w:val="single" w:color="auto" w:sz="4" w:space="0"/>
              <w:bottom w:val="single" w:color="auto" w:sz="4" w:space="0"/>
              <w:right w:val="single" w:color="auto" w:sz="4" w:space="0"/>
            </w:tcBorders>
            <w:vAlign w:val="top"/>
          </w:tcPr>
          <w:p w14:paraId="752645FD">
            <w:pPr>
              <w:keepNext w:val="0"/>
              <w:keepLines/>
              <w:widowControl/>
              <w:suppressLineNumbers w:val="0"/>
              <w:adjustRightInd w:val="0"/>
              <w:snapToGrid w:val="0"/>
              <w:spacing w:before="0" w:beforeAutospacing="0" w:after="0" w:afterAutospacing="0" w:line="360" w:lineRule="exact"/>
              <w:ind w:left="0" w:right="0" w:firstLine="0" w:firstLineChars="0"/>
              <w:rPr>
                <w:rFonts w:hint="default" w:ascii="宋体" w:hAnsi="宋体" w:eastAsia="宋体" w:cs="宋体"/>
                <w:b/>
                <w:bCs/>
                <w:color w:val="000000"/>
                <w:kern w:val="2"/>
                <w:sz w:val="21"/>
                <w:szCs w:val="21"/>
                <w:highlight w:val="yellow"/>
                <w:lang w:val="en-US" w:eastAsia="zh-CN"/>
              </w:rPr>
            </w:pPr>
            <w:r>
              <w:rPr>
                <w:rFonts w:hint="eastAsia" w:hAnsiTheme="minorEastAsia" w:eastAsiaTheme="minorEastAsia"/>
                <w:color w:val="000000" w:themeColor="text1"/>
                <w:szCs w:val="21"/>
                <w:highlight w:val="none"/>
                <w:lang w:val="en-US" w:eastAsia="zh-CN"/>
              </w:rPr>
              <w:t>采购人和（拟确定）成交供应商应当在谈判有效期内以及成交（结果）通知书发出之日起30 天内，根据采购文件和成交供应商的响应文件订立书面合同。</w:t>
            </w:r>
          </w:p>
        </w:tc>
      </w:tr>
      <w:tr w14:paraId="553A6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jc w:val="center"/>
        </w:trPr>
        <w:tc>
          <w:tcPr>
            <w:tcW w:w="1212" w:type="dxa"/>
            <w:tcBorders>
              <w:top w:val="single" w:color="auto" w:sz="4" w:space="0"/>
              <w:left w:val="single" w:color="auto" w:sz="4" w:space="0"/>
              <w:bottom w:val="single" w:color="auto" w:sz="4" w:space="0"/>
              <w:right w:val="single" w:color="auto" w:sz="4" w:space="0"/>
            </w:tcBorders>
            <w:shd w:val="clear" w:color="auto" w:fill="auto"/>
            <w:vAlign w:val="center"/>
          </w:tcPr>
          <w:p w14:paraId="5E757F09">
            <w:pPr>
              <w:keepNext w:val="0"/>
              <w:keepLines/>
              <w:widowControl/>
              <w:suppressLineNumbers w:val="0"/>
              <w:shd w:val="clear"/>
              <w:adjustRightInd w:val="0"/>
              <w:snapToGrid w:val="0"/>
              <w:spacing w:before="0" w:beforeAutospacing="0" w:after="0" w:afterAutospacing="0" w:line="360" w:lineRule="exact"/>
              <w:ind w:left="0" w:right="0" w:firstLine="0" w:firstLineChars="0"/>
              <w:jc w:val="center"/>
              <w:rPr>
                <w:rFonts w:hint="default" w:ascii="Times New Roman" w:hAnsi="Times New Roman" w:cs="Times New Roman" w:eastAsiaTheme="minorEastAsia"/>
                <w:color w:val="000000" w:themeColor="text1"/>
                <w:kern w:val="2"/>
                <w:sz w:val="21"/>
                <w:szCs w:val="21"/>
                <w:highlight w:val="none"/>
                <w:lang w:val="en-US" w:eastAsia="zh-CN" w:bidi="ar-SA"/>
              </w:rPr>
            </w:pPr>
            <w:r>
              <w:rPr>
                <w:rFonts w:hint="eastAsia" w:eastAsiaTheme="minorEastAsia"/>
                <w:color w:val="000000" w:themeColor="text1"/>
                <w:szCs w:val="21"/>
                <w:highlight w:val="none"/>
                <w:lang w:val="en-US" w:eastAsia="zh-CN"/>
              </w:rPr>
              <w:t>7.4</w:t>
            </w:r>
          </w:p>
        </w:tc>
        <w:tc>
          <w:tcPr>
            <w:tcW w:w="2269" w:type="dxa"/>
            <w:tcBorders>
              <w:top w:val="single" w:color="auto" w:sz="4" w:space="0"/>
              <w:left w:val="single" w:color="auto" w:sz="4" w:space="0"/>
              <w:bottom w:val="single" w:color="auto" w:sz="4" w:space="0"/>
              <w:right w:val="single" w:color="auto" w:sz="4" w:space="0"/>
            </w:tcBorders>
            <w:shd w:val="clear" w:color="auto" w:fill="auto"/>
            <w:vAlign w:val="center"/>
          </w:tcPr>
          <w:p w14:paraId="1335F0FE">
            <w:pPr>
              <w:keepNext w:val="0"/>
              <w:keepLines/>
              <w:widowControl/>
              <w:suppressLineNumbers w:val="0"/>
              <w:shd w:val="clear"/>
              <w:adjustRightInd w:val="0"/>
              <w:snapToGrid w:val="0"/>
              <w:spacing w:before="0" w:beforeAutospacing="0" w:after="0" w:afterAutospacing="0" w:line="360" w:lineRule="exact"/>
              <w:ind w:left="0" w:right="0" w:firstLine="0" w:firstLineChars="0"/>
              <w:rPr>
                <w:rFonts w:hint="eastAsia" w:ascii="Times New Roman" w:hAnsi="Times New Roman" w:cs="Times New Roman" w:eastAsiaTheme="minorEastAsia"/>
                <w:color w:val="000000" w:themeColor="text1"/>
                <w:kern w:val="2"/>
                <w:sz w:val="21"/>
                <w:szCs w:val="21"/>
                <w:highlight w:val="none"/>
                <w:lang w:val="en-US" w:eastAsia="zh-CN" w:bidi="ar-SA"/>
              </w:rPr>
            </w:pPr>
            <w:r>
              <w:rPr>
                <w:rFonts w:hint="eastAsia" w:ascii="Times New Roman" w:hAnsi="Times New Roman" w:eastAsiaTheme="minorEastAsia"/>
                <w:color w:val="000000" w:themeColor="text1"/>
                <w:szCs w:val="21"/>
                <w:highlight w:val="none"/>
                <w:lang w:eastAsia="zh-CN"/>
              </w:rPr>
              <w:t>履约保证金</w:t>
            </w:r>
          </w:p>
        </w:tc>
        <w:tc>
          <w:tcPr>
            <w:tcW w:w="5581" w:type="dxa"/>
            <w:tcBorders>
              <w:top w:val="single" w:color="auto" w:sz="4" w:space="0"/>
              <w:left w:val="single" w:color="auto" w:sz="4" w:space="0"/>
              <w:bottom w:val="single" w:color="auto" w:sz="4" w:space="0"/>
              <w:right w:val="single" w:color="auto" w:sz="4" w:space="0"/>
            </w:tcBorders>
            <w:shd w:val="clear" w:color="auto" w:fill="auto"/>
            <w:vAlign w:val="top"/>
          </w:tcPr>
          <w:p w14:paraId="5F582125">
            <w:pPr>
              <w:keepNext w:val="0"/>
              <w:keepLines/>
              <w:widowControl/>
              <w:suppressLineNumbers w:val="0"/>
              <w:shd w:val="clear"/>
              <w:snapToGrid w:val="0"/>
              <w:spacing w:before="0" w:beforeAutospacing="0" w:after="0" w:afterAutospacing="0" w:line="360" w:lineRule="exact"/>
              <w:ind w:left="0" w:right="0" w:firstLine="0" w:firstLineChars="0"/>
              <w:jc w:val="left"/>
              <w:rPr>
                <w:rFonts w:hint="eastAsia" w:ascii="Times New Roman" w:hAnsi="Times New Roman" w:eastAsiaTheme="minorEastAsia"/>
                <w:color w:val="000000" w:themeColor="text1"/>
                <w:szCs w:val="21"/>
                <w:highlight w:val="yellow"/>
              </w:rPr>
            </w:pPr>
            <w:r>
              <w:rPr>
                <w:rFonts w:hint="eastAsia" w:ascii="Times New Roman" w:hAnsi="Times New Roman" w:eastAsiaTheme="minorEastAsia"/>
                <w:color w:val="000000" w:themeColor="text1"/>
                <w:szCs w:val="21"/>
                <w:highlight w:val="yellow"/>
              </w:rPr>
              <w:t>履约保证金缴纳方式：</w:t>
            </w:r>
            <w:r>
              <w:rPr>
                <w:rFonts w:hint="eastAsia" w:eastAsiaTheme="minorEastAsia"/>
                <w:strike w:val="0"/>
                <w:dstrike w:val="0"/>
                <w:color w:val="000000" w:themeColor="text1"/>
                <w:szCs w:val="21"/>
                <w:highlight w:val="yellow"/>
                <w:u w:val="single"/>
                <w:lang w:eastAsia="zh-CN"/>
              </w:rPr>
              <w:t>现金或无条件银行履约保函或见索即付履约保险保单</w:t>
            </w:r>
            <w:r>
              <w:rPr>
                <w:rFonts w:hint="eastAsia" w:ascii="Times New Roman" w:hAnsi="Times New Roman" w:eastAsiaTheme="minorEastAsia"/>
                <w:color w:val="000000" w:themeColor="text1"/>
                <w:szCs w:val="21"/>
                <w:highlight w:val="yellow"/>
              </w:rPr>
              <w:t>。</w:t>
            </w:r>
          </w:p>
          <w:p w14:paraId="606AE6E8">
            <w:pPr>
              <w:keepNext w:val="0"/>
              <w:keepLines/>
              <w:widowControl/>
              <w:suppressLineNumbers w:val="0"/>
              <w:shd w:val="clear"/>
              <w:snapToGrid w:val="0"/>
              <w:spacing w:before="0" w:beforeAutospacing="0" w:after="0" w:afterAutospacing="0" w:line="360" w:lineRule="exact"/>
              <w:ind w:left="0" w:right="0" w:firstLine="0" w:firstLineChars="0"/>
              <w:jc w:val="left"/>
              <w:rPr>
                <w:rFonts w:hint="eastAsia" w:ascii="Times New Roman" w:hAnsi="Times New Roman" w:eastAsiaTheme="minorEastAsia"/>
                <w:color w:val="000000" w:themeColor="text1"/>
                <w:szCs w:val="21"/>
                <w:highlight w:val="yellow"/>
              </w:rPr>
            </w:pPr>
            <w:r>
              <w:rPr>
                <w:rFonts w:hint="eastAsia" w:ascii="Times New Roman" w:hAnsi="Times New Roman" w:eastAsiaTheme="minorEastAsia"/>
                <w:color w:val="000000" w:themeColor="text1"/>
                <w:szCs w:val="21"/>
                <w:highlight w:val="yellow"/>
              </w:rPr>
              <w:t>履约保证金缴纳额度：</w:t>
            </w:r>
            <w:r>
              <w:rPr>
                <w:rFonts w:hint="eastAsia" w:eastAsiaTheme="minorEastAsia"/>
                <w:b/>
                <w:bCs/>
                <w:color w:val="000000" w:themeColor="text1"/>
                <w:szCs w:val="21"/>
                <w:highlight w:val="yellow"/>
                <w:u w:val="single"/>
                <w:lang w:val="en-US" w:eastAsia="zh-CN"/>
              </w:rPr>
              <w:t>成交价的10%</w:t>
            </w:r>
            <w:r>
              <w:rPr>
                <w:rFonts w:hint="eastAsia" w:ascii="Times New Roman" w:hAnsi="Times New Roman" w:eastAsiaTheme="minorEastAsia"/>
                <w:color w:val="000000" w:themeColor="text1"/>
                <w:szCs w:val="21"/>
                <w:highlight w:val="yellow"/>
                <w:u w:val="none"/>
              </w:rPr>
              <w:t>。</w:t>
            </w:r>
          </w:p>
          <w:p w14:paraId="7CF9C09F">
            <w:pPr>
              <w:keepNext w:val="0"/>
              <w:keepLines/>
              <w:widowControl/>
              <w:suppressLineNumbers w:val="0"/>
              <w:shd w:val="clear"/>
              <w:snapToGrid w:val="0"/>
              <w:spacing w:before="0" w:beforeAutospacing="0" w:after="0" w:afterAutospacing="0" w:line="360" w:lineRule="exact"/>
              <w:ind w:left="0" w:right="0" w:firstLine="0" w:firstLineChars="0"/>
              <w:jc w:val="left"/>
              <w:rPr>
                <w:rFonts w:hint="eastAsia" w:ascii="Times New Roman" w:hAnsi="Times New Roman" w:cs="Times New Roman" w:eastAsiaTheme="minorEastAsia"/>
                <w:color w:val="000000" w:themeColor="text1"/>
                <w:kern w:val="2"/>
                <w:sz w:val="21"/>
                <w:szCs w:val="21"/>
                <w:highlight w:val="none"/>
                <w:lang w:val="en-US" w:eastAsia="zh-CN" w:bidi="ar-SA"/>
              </w:rPr>
            </w:pPr>
            <w:r>
              <w:rPr>
                <w:rFonts w:hint="eastAsia" w:ascii="Times New Roman" w:hAnsi="Times New Roman" w:eastAsiaTheme="minorEastAsia"/>
                <w:color w:val="000000" w:themeColor="text1"/>
                <w:szCs w:val="21"/>
                <w:highlight w:val="yellow"/>
                <w:u w:val="none"/>
              </w:rPr>
              <w:t>中标人须在成交结果公示结束后10个工作日内</w:t>
            </w:r>
            <w:r>
              <w:rPr>
                <w:rFonts w:hint="eastAsia" w:eastAsiaTheme="minorEastAsia"/>
                <w:color w:val="000000" w:themeColor="text1"/>
                <w:szCs w:val="21"/>
                <w:highlight w:val="yellow"/>
                <w:u w:val="none"/>
                <w:lang w:eastAsia="zh-CN"/>
              </w:rPr>
              <w:t>，合同签订前</w:t>
            </w:r>
            <w:r>
              <w:rPr>
                <w:rFonts w:hint="eastAsia" w:ascii="Times New Roman" w:hAnsi="Times New Roman" w:eastAsiaTheme="minorEastAsia"/>
                <w:color w:val="000000" w:themeColor="text1"/>
                <w:szCs w:val="21"/>
                <w:highlight w:val="yellow"/>
                <w:u w:val="none"/>
              </w:rPr>
              <w:t>向采购人足额提交履约保证金，未按规定提交履约担保的，视为中标人放弃中标项目，同时按规定没收其投标保证金。</w:t>
            </w:r>
          </w:p>
        </w:tc>
      </w:tr>
      <w:tr w14:paraId="3974D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jc w:val="center"/>
        </w:trPr>
        <w:tc>
          <w:tcPr>
            <w:tcW w:w="1212" w:type="dxa"/>
            <w:tcBorders>
              <w:top w:val="single" w:color="auto" w:sz="4" w:space="0"/>
              <w:left w:val="single" w:color="auto" w:sz="4" w:space="0"/>
              <w:bottom w:val="single" w:color="auto" w:sz="4" w:space="0"/>
              <w:right w:val="single" w:color="auto" w:sz="4" w:space="0"/>
            </w:tcBorders>
            <w:vAlign w:val="center"/>
          </w:tcPr>
          <w:p w14:paraId="2682DCBF">
            <w:pPr>
              <w:keepNext w:val="0"/>
              <w:keepLines/>
              <w:widowControl/>
              <w:suppressLineNumbers w:val="0"/>
              <w:shd w:val="clear"/>
              <w:adjustRightInd w:val="0"/>
              <w:snapToGrid w:val="0"/>
              <w:spacing w:before="0" w:beforeAutospacing="0" w:after="0" w:afterAutospacing="0" w:line="360" w:lineRule="exact"/>
              <w:ind w:left="0" w:right="0" w:firstLine="0" w:firstLineChars="0"/>
              <w:jc w:val="center"/>
              <w:rPr>
                <w:rFonts w:hint="default" w:eastAsiaTheme="minorEastAsia"/>
                <w:color w:val="000000" w:themeColor="text1"/>
                <w:szCs w:val="21"/>
                <w:highlight w:val="none"/>
              </w:rPr>
            </w:pPr>
            <w:r>
              <w:rPr>
                <w:rFonts w:hint="default" w:eastAsiaTheme="minorEastAsia"/>
                <w:color w:val="000000" w:themeColor="text1"/>
                <w:szCs w:val="21"/>
                <w:highlight w:val="none"/>
              </w:rPr>
              <w:t>8.5.</w:t>
            </w:r>
            <w:r>
              <w:rPr>
                <w:rFonts w:hint="eastAsia" w:eastAsiaTheme="minorEastAsia"/>
                <w:color w:val="000000" w:themeColor="text1"/>
                <w:szCs w:val="21"/>
                <w:highlight w:val="none"/>
              </w:rPr>
              <w:t>3</w:t>
            </w:r>
          </w:p>
        </w:tc>
        <w:tc>
          <w:tcPr>
            <w:tcW w:w="2269" w:type="dxa"/>
            <w:tcBorders>
              <w:top w:val="single" w:color="auto" w:sz="4" w:space="0"/>
              <w:left w:val="single" w:color="auto" w:sz="4" w:space="0"/>
              <w:bottom w:val="single" w:color="auto" w:sz="4" w:space="0"/>
              <w:right w:val="single" w:color="auto" w:sz="4" w:space="0"/>
            </w:tcBorders>
            <w:vAlign w:val="center"/>
          </w:tcPr>
          <w:p w14:paraId="7F94B755">
            <w:pPr>
              <w:keepNext w:val="0"/>
              <w:keepLines/>
              <w:widowControl/>
              <w:suppressLineNumbers w:val="0"/>
              <w:shd w:val="clear"/>
              <w:adjustRightInd w:val="0"/>
              <w:snapToGrid w:val="0"/>
              <w:spacing w:before="0" w:beforeAutospacing="0" w:after="0" w:afterAutospacing="0" w:line="360" w:lineRule="exact"/>
              <w:ind w:left="0" w:right="0" w:firstLine="0" w:firstLineChars="0"/>
              <w:rPr>
                <w:rFonts w:hint="default" w:eastAsiaTheme="minorEastAsia"/>
                <w:color w:val="000000" w:themeColor="text1"/>
                <w:szCs w:val="21"/>
                <w:highlight w:val="none"/>
              </w:rPr>
            </w:pPr>
            <w:r>
              <w:rPr>
                <w:rFonts w:hint="eastAsia" w:hAnsiTheme="minorEastAsia" w:eastAsiaTheme="minorEastAsia"/>
                <w:color w:val="000000" w:themeColor="text1"/>
                <w:szCs w:val="21"/>
                <w:highlight w:val="none"/>
              </w:rPr>
              <w:t>投诉受理</w:t>
            </w:r>
            <w:r>
              <w:rPr>
                <w:rFonts w:hint="default" w:hAnsiTheme="minorEastAsia" w:eastAsiaTheme="minorEastAsia"/>
                <w:color w:val="000000" w:themeColor="text1"/>
                <w:szCs w:val="21"/>
                <w:highlight w:val="none"/>
              </w:rPr>
              <w:t>部门</w:t>
            </w:r>
          </w:p>
        </w:tc>
        <w:tc>
          <w:tcPr>
            <w:tcW w:w="5581" w:type="dxa"/>
            <w:tcBorders>
              <w:top w:val="single" w:color="auto" w:sz="4" w:space="0"/>
              <w:left w:val="single" w:color="auto" w:sz="4" w:space="0"/>
              <w:bottom w:val="single" w:color="auto" w:sz="4" w:space="0"/>
              <w:right w:val="single" w:color="auto" w:sz="4" w:space="0"/>
            </w:tcBorders>
          </w:tcPr>
          <w:p w14:paraId="3C68B948">
            <w:pPr>
              <w:keepNext w:val="0"/>
              <w:keepLines/>
              <w:widowControl/>
              <w:suppressLineNumbers w:val="0"/>
              <w:adjustRightInd w:val="0"/>
              <w:snapToGrid w:val="0"/>
              <w:spacing w:before="0" w:beforeAutospacing="0" w:after="0" w:afterAutospacing="0" w:line="360" w:lineRule="exact"/>
              <w:ind w:left="0" w:right="0" w:firstLine="0" w:firstLineChars="0"/>
              <w:jc w:val="left"/>
              <w:rPr>
                <w:rFonts w:hint="default" w:hAnsiTheme="minorEastAsia" w:eastAsiaTheme="minorEastAsia"/>
                <w:color w:val="000000" w:themeColor="text1"/>
                <w:szCs w:val="21"/>
                <w:highlight w:val="none"/>
              </w:rPr>
            </w:pPr>
            <w:r>
              <w:rPr>
                <w:rFonts w:hint="default" w:hAnsiTheme="minorEastAsia" w:eastAsiaTheme="minorEastAsia"/>
                <w:color w:val="000000" w:themeColor="text1"/>
                <w:szCs w:val="21"/>
                <w:highlight w:val="none"/>
              </w:rPr>
              <w:t>投诉受理部门：</w:t>
            </w:r>
            <w:r>
              <w:rPr>
                <w:rFonts w:hint="default" w:ascii="Arial" w:hAnsi="Arial" w:cs="Arial" w:eastAsiaTheme="minorEastAsia"/>
                <w:color w:val="000000" w:themeColor="text1"/>
                <w:szCs w:val="21"/>
                <w:lang w:eastAsia="zh-CN"/>
              </w:rPr>
              <w:t>√</w:t>
            </w:r>
            <w:r>
              <w:rPr>
                <w:rFonts w:hint="default" w:hAnsiTheme="minorEastAsia" w:eastAsiaTheme="minorEastAsia"/>
                <w:color w:val="000000" w:themeColor="text1"/>
                <w:szCs w:val="21"/>
              </w:rPr>
              <w:t>采购人监察审计部门</w:t>
            </w:r>
            <w:r>
              <w:rPr>
                <w:rFonts w:hint="eastAsia" w:hAnsiTheme="minorEastAsia" w:eastAsiaTheme="minorEastAsia"/>
                <w:color w:val="000000" w:themeColor="text1"/>
                <w:szCs w:val="21"/>
                <w:lang w:val="en-US" w:eastAsia="zh-CN"/>
              </w:rPr>
              <w:t xml:space="preserve">   </w:t>
            </w:r>
            <w:r>
              <w:rPr>
                <w:rFonts w:hint="eastAsia" w:hAnsiTheme="minorEastAsia" w:eastAsiaTheme="minorEastAsia"/>
                <w:color w:val="000000" w:themeColor="text1"/>
                <w:szCs w:val="21"/>
                <w:lang w:val="en-US" w:eastAsia="zh-CN"/>
              </w:rPr>
              <w:sym w:font="Wingdings" w:char="00A8"/>
            </w:r>
            <w:r>
              <w:rPr>
                <w:rFonts w:hint="eastAsia" w:hAnsiTheme="minorEastAsia" w:eastAsiaTheme="minorEastAsia"/>
                <w:color w:val="000000" w:themeColor="text1"/>
                <w:szCs w:val="21"/>
                <w:highlight w:val="none"/>
                <w:lang w:eastAsia="zh-CN"/>
              </w:rPr>
              <w:t>其他</w:t>
            </w:r>
          </w:p>
          <w:p w14:paraId="5A592CCB">
            <w:pPr>
              <w:keepNext w:val="0"/>
              <w:keepLines/>
              <w:widowControl/>
              <w:suppressLineNumbers w:val="0"/>
              <w:shd w:val="clear"/>
              <w:adjustRightInd w:val="0"/>
              <w:snapToGrid w:val="0"/>
              <w:spacing w:before="0" w:beforeAutospacing="0" w:after="0" w:afterAutospacing="0" w:line="360" w:lineRule="exact"/>
              <w:ind w:left="0" w:right="0" w:firstLine="0" w:firstLineChars="0"/>
              <w:jc w:val="left"/>
              <w:rPr>
                <w:rFonts w:hint="default" w:eastAsiaTheme="minorEastAsia"/>
                <w:color w:val="000000" w:themeColor="text1"/>
                <w:szCs w:val="21"/>
                <w:highlight w:val="none"/>
              </w:rPr>
            </w:pPr>
            <w:r>
              <w:rPr>
                <w:rFonts w:hint="eastAsia" w:hAnsiTheme="minorEastAsia" w:eastAsiaTheme="minorEastAsia"/>
                <w:color w:val="000000" w:themeColor="text1"/>
                <w:szCs w:val="21"/>
                <w:highlight w:val="none"/>
              </w:rPr>
              <w:t>联系方式</w:t>
            </w:r>
            <w:r>
              <w:rPr>
                <w:rFonts w:hint="default" w:hAnsiTheme="minorEastAsia" w:eastAsiaTheme="minorEastAsia"/>
                <w:color w:val="000000" w:themeColor="text1"/>
                <w:szCs w:val="21"/>
                <w:highlight w:val="none"/>
              </w:rPr>
              <w:t>：</w:t>
            </w:r>
            <w:r>
              <w:rPr>
                <w:rFonts w:hint="eastAsia" w:hAnsiTheme="minorEastAsia" w:eastAsiaTheme="minorEastAsia"/>
                <w:color w:val="000000" w:themeColor="text1"/>
                <w:szCs w:val="21"/>
                <w:highlight w:val="none"/>
                <w:u w:val="single"/>
                <w:lang w:eastAsia="zh-CN"/>
              </w:rPr>
              <w:t>徐圩城建</w:t>
            </w:r>
            <w:r>
              <w:rPr>
                <w:rFonts w:hint="eastAsia" w:hAnsiTheme="minorEastAsia" w:eastAsiaTheme="minorEastAsia"/>
                <w:color w:val="000000" w:themeColor="text1"/>
                <w:szCs w:val="21"/>
                <w:highlight w:val="none"/>
                <w:u w:val="single"/>
              </w:rPr>
              <w:t xml:space="preserve">监察审计部 </w:t>
            </w:r>
            <w:r>
              <w:rPr>
                <w:rFonts w:hint="eastAsia" w:hAnsiTheme="minorEastAsia" w:eastAsiaTheme="minorEastAsia"/>
                <w:color w:val="000000" w:themeColor="text1"/>
                <w:szCs w:val="21"/>
                <w:highlight w:val="none"/>
              </w:rPr>
              <w:t xml:space="preserve"> </w:t>
            </w:r>
            <w:r>
              <w:rPr>
                <w:rFonts w:hint="default" w:hAnsiTheme="minorEastAsia" w:eastAsiaTheme="minorEastAsia"/>
                <w:color w:val="000000" w:themeColor="text1"/>
                <w:szCs w:val="21"/>
                <w:highlight w:val="none"/>
              </w:rPr>
              <w:t>联系电话：</w:t>
            </w:r>
            <w:r>
              <w:rPr>
                <w:rFonts w:hint="eastAsia" w:hAnsiTheme="minorEastAsia" w:eastAsiaTheme="minorEastAsia"/>
                <w:color w:val="000000" w:themeColor="text1"/>
                <w:szCs w:val="21"/>
                <w:highlight w:val="none"/>
                <w:u w:val="single"/>
              </w:rPr>
              <w:t xml:space="preserve">0518-80701523 </w:t>
            </w:r>
          </w:p>
        </w:tc>
      </w:tr>
      <w:tr w14:paraId="5773E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jc w:val="center"/>
        </w:trPr>
        <w:tc>
          <w:tcPr>
            <w:tcW w:w="1212" w:type="dxa"/>
            <w:tcBorders>
              <w:top w:val="single" w:color="auto" w:sz="4" w:space="0"/>
              <w:left w:val="single" w:color="auto" w:sz="4" w:space="0"/>
              <w:bottom w:val="single" w:color="auto" w:sz="4" w:space="0"/>
              <w:right w:val="single" w:color="auto" w:sz="4" w:space="0"/>
            </w:tcBorders>
            <w:vAlign w:val="center"/>
          </w:tcPr>
          <w:p w14:paraId="6CC988D2">
            <w:pPr>
              <w:keepNext w:val="0"/>
              <w:keepLines/>
              <w:widowControl/>
              <w:suppressLineNumbers w:val="0"/>
              <w:adjustRightInd w:val="0"/>
              <w:snapToGrid w:val="0"/>
              <w:spacing w:before="0" w:beforeAutospacing="0" w:after="0" w:afterAutospacing="0" w:line="360" w:lineRule="exact"/>
              <w:ind w:left="0" w:right="0" w:firstLine="0" w:firstLineChars="0"/>
              <w:jc w:val="center"/>
              <w:rPr>
                <w:rFonts w:hint="default" w:ascii="Times New Roman" w:hAnsi="Times New Roman" w:cs="Times New Roman" w:eastAsiaTheme="minorEastAsia"/>
                <w:color w:val="000000" w:themeColor="text1"/>
                <w:szCs w:val="21"/>
                <w:highlight w:val="none"/>
                <w:lang w:val="en-US" w:eastAsia="zh-CN"/>
              </w:rPr>
            </w:pPr>
            <w:bookmarkStart w:id="23" w:name="_Toc144974510"/>
            <w:bookmarkStart w:id="24" w:name="_Toc247513966"/>
            <w:bookmarkStart w:id="25" w:name="_Toc152042318"/>
            <w:bookmarkStart w:id="26" w:name="_Toc152045542"/>
            <w:bookmarkStart w:id="27" w:name="_Toc247527567"/>
            <w:bookmarkStart w:id="28" w:name="_Toc443200825"/>
            <w:r>
              <w:rPr>
                <w:rFonts w:hint="default"/>
                <w:szCs w:val="21"/>
                <w:highlight w:val="none"/>
              </w:rPr>
              <w:t>8.5.</w:t>
            </w:r>
            <w:r>
              <w:rPr>
                <w:rFonts w:hint="eastAsia"/>
                <w:szCs w:val="21"/>
                <w:highlight w:val="none"/>
              </w:rPr>
              <w:t>6</w:t>
            </w:r>
          </w:p>
        </w:tc>
        <w:tc>
          <w:tcPr>
            <w:tcW w:w="2269" w:type="dxa"/>
            <w:tcBorders>
              <w:top w:val="single" w:color="auto" w:sz="4" w:space="0"/>
              <w:left w:val="single" w:color="auto" w:sz="4" w:space="0"/>
              <w:bottom w:val="single" w:color="auto" w:sz="4" w:space="0"/>
              <w:right w:val="single" w:color="auto" w:sz="4" w:space="0"/>
            </w:tcBorders>
            <w:vAlign w:val="center"/>
          </w:tcPr>
          <w:p w14:paraId="489D18AB">
            <w:pPr>
              <w:keepNext w:val="0"/>
              <w:keepLines w:val="0"/>
              <w:suppressLineNumbers w:val="0"/>
              <w:adjustRightInd w:val="0"/>
              <w:snapToGrid w:val="0"/>
              <w:spacing w:before="0" w:beforeAutospacing="0" w:after="0" w:afterAutospacing="0"/>
              <w:ind w:left="0" w:right="0" w:firstLine="0" w:firstLineChars="0"/>
              <w:jc w:val="left"/>
              <w:rPr>
                <w:rFonts w:hint="eastAsia" w:ascii="Times New Roman" w:hAnsi="Times New Roman" w:cs="Times New Roman" w:eastAsiaTheme="minorEastAsia"/>
                <w:color w:val="000000" w:themeColor="text1"/>
                <w:szCs w:val="21"/>
                <w:highlight w:val="none"/>
              </w:rPr>
            </w:pPr>
            <w:r>
              <w:rPr>
                <w:rFonts w:hint="default"/>
                <w:szCs w:val="21"/>
                <w:highlight w:val="none"/>
              </w:rPr>
              <w:t>异议</w:t>
            </w:r>
            <w:r>
              <w:rPr>
                <w:rFonts w:hint="eastAsia"/>
                <w:szCs w:val="21"/>
                <w:highlight w:val="none"/>
              </w:rPr>
              <w:t>提出的方式</w:t>
            </w:r>
          </w:p>
        </w:tc>
        <w:tc>
          <w:tcPr>
            <w:tcW w:w="5581" w:type="dxa"/>
            <w:tcBorders>
              <w:top w:val="single" w:color="auto" w:sz="4" w:space="0"/>
              <w:left w:val="single" w:color="auto" w:sz="4" w:space="0"/>
              <w:bottom w:val="single" w:color="auto" w:sz="4" w:space="0"/>
              <w:right w:val="single" w:color="auto" w:sz="4" w:space="0"/>
            </w:tcBorders>
            <w:vAlign w:val="center"/>
          </w:tcPr>
          <w:p w14:paraId="2573C89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left"/>
              <w:textAlignment w:val="auto"/>
              <w:rPr>
                <w:rFonts w:hint="default"/>
                <w:szCs w:val="21"/>
                <w:highlight w:val="none"/>
              </w:rPr>
            </w:pPr>
            <w:r>
              <w:rPr>
                <w:rFonts w:hint="default"/>
                <w:szCs w:val="21"/>
                <w:highlight w:val="none"/>
              </w:rPr>
              <w:t>（一）</w:t>
            </w:r>
            <w:r>
              <w:rPr>
                <w:rFonts w:hint="eastAsia"/>
                <w:szCs w:val="21"/>
                <w:highlight w:val="none"/>
              </w:rPr>
              <w:t>异议提交的</w:t>
            </w:r>
            <w:r>
              <w:rPr>
                <w:rFonts w:hint="default"/>
                <w:highlight w:val="none"/>
              </w:rPr>
              <w:t>形式：</w:t>
            </w:r>
            <w:r>
              <w:rPr>
                <w:rFonts w:hint="eastAsia"/>
                <w:highlight w:val="none"/>
              </w:rPr>
              <w:t>现场递交、邮寄（快递）提交或在</w:t>
            </w:r>
            <w:r>
              <w:rPr>
                <w:rFonts w:hint="eastAsia"/>
                <w:highlight w:val="none"/>
                <w:lang w:eastAsia="zh-CN"/>
              </w:rPr>
              <w:t>方洋集团电子采购平台</w:t>
            </w:r>
            <w:r>
              <w:rPr>
                <w:rFonts w:hint="eastAsia"/>
                <w:highlight w:val="none"/>
              </w:rPr>
              <w:t>线上提交等</w:t>
            </w:r>
            <w:r>
              <w:rPr>
                <w:rFonts w:hint="default"/>
                <w:szCs w:val="21"/>
                <w:highlight w:val="none"/>
              </w:rPr>
              <w:t>；</w:t>
            </w:r>
          </w:p>
          <w:p w14:paraId="685B712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left"/>
              <w:textAlignment w:val="auto"/>
              <w:rPr>
                <w:rFonts w:hint="default"/>
                <w:szCs w:val="21"/>
                <w:highlight w:val="none"/>
              </w:rPr>
            </w:pPr>
            <w:r>
              <w:rPr>
                <w:rFonts w:hint="default"/>
                <w:szCs w:val="21"/>
                <w:highlight w:val="none"/>
              </w:rPr>
              <w:t>（二）</w:t>
            </w:r>
            <w:r>
              <w:rPr>
                <w:rFonts w:hint="default"/>
                <w:highlight w:val="none"/>
              </w:rPr>
              <w:t>采用</w:t>
            </w:r>
            <w:r>
              <w:rPr>
                <w:rFonts w:hint="eastAsia"/>
                <w:highlight w:val="none"/>
              </w:rPr>
              <w:t>现场递交</w:t>
            </w:r>
            <w:r>
              <w:rPr>
                <w:rFonts w:hint="default"/>
                <w:highlight w:val="none"/>
              </w:rPr>
              <w:t>、</w:t>
            </w:r>
            <w:r>
              <w:rPr>
                <w:rFonts w:hint="eastAsia"/>
                <w:highlight w:val="none"/>
              </w:rPr>
              <w:t>邮寄（快递）</w:t>
            </w:r>
            <w:r>
              <w:rPr>
                <w:rFonts w:hint="default"/>
                <w:highlight w:val="none"/>
              </w:rPr>
              <w:t>形式</w:t>
            </w:r>
            <w:r>
              <w:rPr>
                <w:rFonts w:hint="eastAsia"/>
                <w:szCs w:val="21"/>
                <w:highlight w:val="none"/>
              </w:rPr>
              <w:t>提交异议书</w:t>
            </w:r>
            <w:r>
              <w:rPr>
                <w:rFonts w:hint="default"/>
                <w:highlight w:val="none"/>
              </w:rPr>
              <w:t>的</w:t>
            </w:r>
            <w:r>
              <w:rPr>
                <w:rFonts w:hint="eastAsia"/>
                <w:szCs w:val="21"/>
                <w:highlight w:val="none"/>
              </w:rPr>
              <w:t>，异议人需联系采购人获取地址，异议书格式需符合法律法规规定要求，异议书参考格式可在</w:t>
            </w:r>
            <w:r>
              <w:rPr>
                <w:rFonts w:hint="eastAsia"/>
                <w:highlight w:val="none"/>
                <w:lang w:eastAsia="zh-CN"/>
              </w:rPr>
              <w:t>方洋集团电子采购平台</w:t>
            </w:r>
            <w:r>
              <w:rPr>
                <w:rFonts w:hint="eastAsia"/>
                <w:highlight w:val="none"/>
              </w:rPr>
              <w:t>服务指南中下载；</w:t>
            </w:r>
          </w:p>
          <w:p w14:paraId="2358995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left"/>
              <w:textAlignment w:val="auto"/>
              <w:rPr>
                <w:rFonts w:hint="default"/>
                <w:highlight w:val="none"/>
              </w:rPr>
            </w:pPr>
            <w:r>
              <w:rPr>
                <w:rFonts w:hint="default"/>
                <w:szCs w:val="21"/>
                <w:highlight w:val="none"/>
              </w:rPr>
              <w:t>（三）</w:t>
            </w:r>
            <w:r>
              <w:rPr>
                <w:rFonts w:hint="default"/>
                <w:highlight w:val="none"/>
              </w:rPr>
              <w:t>采用</w:t>
            </w:r>
            <w:r>
              <w:rPr>
                <w:rFonts w:hint="eastAsia"/>
                <w:highlight w:val="none"/>
                <w:lang w:eastAsia="zh-CN"/>
              </w:rPr>
              <w:t>方洋集团电子采购平台</w:t>
            </w:r>
            <w:r>
              <w:rPr>
                <w:rFonts w:hint="eastAsia"/>
                <w:highlight w:val="none"/>
              </w:rPr>
              <w:t>线上</w:t>
            </w:r>
            <w:r>
              <w:rPr>
                <w:rFonts w:hint="eastAsia"/>
                <w:szCs w:val="21"/>
                <w:highlight w:val="none"/>
              </w:rPr>
              <w:t>提交异议书</w:t>
            </w:r>
            <w:r>
              <w:rPr>
                <w:rFonts w:hint="default"/>
                <w:highlight w:val="none"/>
              </w:rPr>
              <w:t>的</w:t>
            </w:r>
            <w:r>
              <w:rPr>
                <w:rFonts w:hint="eastAsia"/>
                <w:szCs w:val="21"/>
                <w:highlight w:val="none"/>
              </w:rPr>
              <w:t>，</w:t>
            </w:r>
            <w:r>
              <w:rPr>
                <w:rFonts w:hint="default"/>
                <w:highlight w:val="none"/>
              </w:rPr>
              <w:t>有关要求：</w:t>
            </w:r>
          </w:p>
          <w:p w14:paraId="6E96A20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left"/>
              <w:textAlignment w:val="auto"/>
              <w:rPr>
                <w:rFonts w:hint="default"/>
                <w:highlight w:val="none"/>
              </w:rPr>
            </w:pPr>
            <w:r>
              <w:rPr>
                <w:rFonts w:hint="eastAsia"/>
                <w:szCs w:val="21"/>
                <w:highlight w:val="none"/>
              </w:rPr>
              <w:t>（1）异议人需先在</w:t>
            </w:r>
            <w:r>
              <w:rPr>
                <w:rFonts w:hint="eastAsia"/>
                <w:highlight w:val="none"/>
                <w:lang w:eastAsia="zh-CN"/>
              </w:rPr>
              <w:t>方洋集团电子采购平台</w:t>
            </w:r>
            <w:r>
              <w:rPr>
                <w:rFonts w:hint="eastAsia"/>
                <w:highlight w:val="none"/>
              </w:rPr>
              <w:t>注册供应商账号，供应商账号注册成功后登陆账号，在首页选择异议投诉模块，在异议投诉模块中提交异议书。</w:t>
            </w:r>
          </w:p>
          <w:p w14:paraId="1848161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left"/>
              <w:textAlignment w:val="auto"/>
              <w:rPr>
                <w:rFonts w:hint="eastAsia" w:ascii="Times New Roman" w:hAnsi="Times New Roman" w:cs="Times New Roman" w:eastAsiaTheme="minorEastAsia"/>
                <w:color w:val="000000" w:themeColor="text1"/>
                <w:szCs w:val="21"/>
                <w:highlight w:val="none"/>
              </w:rPr>
            </w:pPr>
            <w:r>
              <w:rPr>
                <w:rFonts w:hint="eastAsia"/>
                <w:szCs w:val="21"/>
                <w:highlight w:val="none"/>
              </w:rPr>
              <w:t>（2）异议书参考格式可在</w:t>
            </w:r>
            <w:r>
              <w:rPr>
                <w:rFonts w:hint="eastAsia"/>
                <w:highlight w:val="none"/>
                <w:lang w:eastAsia="zh-CN"/>
              </w:rPr>
              <w:t>方洋集团电子采购平台</w:t>
            </w:r>
            <w:r>
              <w:rPr>
                <w:rFonts w:hint="eastAsia"/>
                <w:highlight w:val="none"/>
              </w:rPr>
              <w:t>服务指南中下载，平台线上</w:t>
            </w:r>
            <w:r>
              <w:rPr>
                <w:rFonts w:hint="eastAsia"/>
                <w:szCs w:val="21"/>
                <w:highlight w:val="none"/>
              </w:rPr>
              <w:t>提交异议书</w:t>
            </w:r>
            <w:r>
              <w:rPr>
                <w:rFonts w:hint="eastAsia"/>
                <w:highlight w:val="none"/>
              </w:rPr>
              <w:t>咨询电话：</w:t>
            </w:r>
            <w:r>
              <w:rPr>
                <w:rFonts w:hint="eastAsia"/>
                <w:highlight w:val="none"/>
                <w:u w:val="single"/>
                <w:lang w:eastAsia="zh-CN"/>
              </w:rPr>
              <w:t>0518-82256705</w:t>
            </w:r>
            <w:r>
              <w:rPr>
                <w:rFonts w:hint="eastAsia"/>
                <w:highlight w:val="none"/>
              </w:rPr>
              <w:t>。</w:t>
            </w:r>
          </w:p>
        </w:tc>
      </w:tr>
      <w:tr w14:paraId="370D4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jc w:val="center"/>
        </w:trPr>
        <w:tc>
          <w:tcPr>
            <w:tcW w:w="1212" w:type="dxa"/>
            <w:tcBorders>
              <w:top w:val="single" w:color="auto" w:sz="4" w:space="0"/>
              <w:left w:val="single" w:color="auto" w:sz="4" w:space="0"/>
              <w:bottom w:val="single" w:color="auto" w:sz="4" w:space="0"/>
              <w:right w:val="single" w:color="auto" w:sz="4" w:space="0"/>
            </w:tcBorders>
            <w:vAlign w:val="center"/>
          </w:tcPr>
          <w:p w14:paraId="307130F6">
            <w:pPr>
              <w:keepNext w:val="0"/>
              <w:keepLines w:val="0"/>
              <w:suppressLineNumbers w:val="0"/>
              <w:adjustRightInd w:val="0"/>
              <w:snapToGrid w:val="0"/>
              <w:spacing w:before="0" w:beforeAutospacing="0" w:after="0" w:afterAutospacing="0"/>
              <w:ind w:left="0" w:right="0" w:firstLine="0" w:firstLineChars="0"/>
              <w:jc w:val="center"/>
              <w:rPr>
                <w:rFonts w:hint="default"/>
                <w:szCs w:val="21"/>
                <w:highlight w:val="none"/>
              </w:rPr>
            </w:pPr>
            <w:r>
              <w:rPr>
                <w:rFonts w:hint="default"/>
                <w:szCs w:val="21"/>
                <w:highlight w:val="none"/>
              </w:rPr>
              <w:t>8.5.</w:t>
            </w:r>
            <w:r>
              <w:rPr>
                <w:rFonts w:hint="eastAsia"/>
                <w:szCs w:val="21"/>
                <w:highlight w:val="none"/>
              </w:rPr>
              <w:t>7</w:t>
            </w:r>
          </w:p>
        </w:tc>
        <w:tc>
          <w:tcPr>
            <w:tcW w:w="2269" w:type="dxa"/>
            <w:tcBorders>
              <w:top w:val="single" w:color="auto" w:sz="4" w:space="0"/>
              <w:left w:val="single" w:color="auto" w:sz="4" w:space="0"/>
              <w:bottom w:val="single" w:color="auto" w:sz="4" w:space="0"/>
              <w:right w:val="single" w:color="auto" w:sz="4" w:space="0"/>
            </w:tcBorders>
            <w:vAlign w:val="center"/>
          </w:tcPr>
          <w:p w14:paraId="5F46CFD2">
            <w:pPr>
              <w:keepNext w:val="0"/>
              <w:keepLines w:val="0"/>
              <w:suppressLineNumbers w:val="0"/>
              <w:adjustRightInd w:val="0"/>
              <w:snapToGrid w:val="0"/>
              <w:spacing w:before="0" w:beforeAutospacing="0" w:after="0" w:afterAutospacing="0"/>
              <w:ind w:left="0" w:right="0" w:firstLine="0" w:firstLineChars="0"/>
              <w:jc w:val="left"/>
              <w:rPr>
                <w:rFonts w:hint="default"/>
                <w:szCs w:val="21"/>
                <w:highlight w:val="none"/>
              </w:rPr>
            </w:pPr>
            <w:r>
              <w:rPr>
                <w:rFonts w:hint="eastAsia"/>
                <w:szCs w:val="21"/>
                <w:highlight w:val="none"/>
              </w:rPr>
              <w:t>投诉提出的方式</w:t>
            </w:r>
          </w:p>
        </w:tc>
        <w:tc>
          <w:tcPr>
            <w:tcW w:w="5581" w:type="dxa"/>
            <w:tcBorders>
              <w:top w:val="single" w:color="auto" w:sz="4" w:space="0"/>
              <w:left w:val="single" w:color="auto" w:sz="4" w:space="0"/>
              <w:bottom w:val="single" w:color="auto" w:sz="4" w:space="0"/>
              <w:right w:val="single" w:color="auto" w:sz="4" w:space="0"/>
            </w:tcBorders>
            <w:vAlign w:val="center"/>
          </w:tcPr>
          <w:p w14:paraId="723D2D10">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left"/>
              <w:textAlignment w:val="auto"/>
              <w:rPr>
                <w:rFonts w:hint="default"/>
                <w:szCs w:val="21"/>
                <w:highlight w:val="none"/>
              </w:rPr>
            </w:pPr>
            <w:r>
              <w:rPr>
                <w:rFonts w:hint="default"/>
                <w:szCs w:val="21"/>
                <w:highlight w:val="none"/>
              </w:rPr>
              <w:t>（一）</w:t>
            </w:r>
            <w:r>
              <w:rPr>
                <w:rFonts w:hint="eastAsia"/>
                <w:szCs w:val="21"/>
                <w:highlight w:val="none"/>
              </w:rPr>
              <w:t>投诉提交的</w:t>
            </w:r>
            <w:r>
              <w:rPr>
                <w:rFonts w:hint="default"/>
                <w:highlight w:val="none"/>
              </w:rPr>
              <w:t>形式：</w:t>
            </w:r>
            <w:r>
              <w:rPr>
                <w:rFonts w:hint="eastAsia"/>
                <w:highlight w:val="none"/>
              </w:rPr>
              <w:t>现场递交、邮寄（快递）提交或在</w:t>
            </w:r>
            <w:r>
              <w:rPr>
                <w:rFonts w:hint="eastAsia"/>
                <w:highlight w:val="none"/>
                <w:lang w:eastAsia="zh-CN"/>
              </w:rPr>
              <w:t>方洋集团电子采购平台</w:t>
            </w:r>
            <w:r>
              <w:rPr>
                <w:rFonts w:hint="eastAsia"/>
                <w:highlight w:val="none"/>
              </w:rPr>
              <w:t>线上提交等</w:t>
            </w:r>
            <w:r>
              <w:rPr>
                <w:rFonts w:hint="default"/>
                <w:szCs w:val="21"/>
                <w:highlight w:val="none"/>
              </w:rPr>
              <w:t>；</w:t>
            </w:r>
          </w:p>
          <w:p w14:paraId="08E1023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left"/>
              <w:textAlignment w:val="auto"/>
              <w:rPr>
                <w:rFonts w:hint="default"/>
                <w:szCs w:val="21"/>
                <w:highlight w:val="none"/>
              </w:rPr>
            </w:pPr>
            <w:r>
              <w:rPr>
                <w:rFonts w:hint="default"/>
                <w:szCs w:val="21"/>
                <w:highlight w:val="none"/>
              </w:rPr>
              <w:t>（二）</w:t>
            </w:r>
            <w:r>
              <w:rPr>
                <w:rFonts w:hint="default"/>
                <w:highlight w:val="none"/>
              </w:rPr>
              <w:t>采用</w:t>
            </w:r>
            <w:r>
              <w:rPr>
                <w:rFonts w:hint="eastAsia"/>
                <w:highlight w:val="none"/>
              </w:rPr>
              <w:t>现场递交</w:t>
            </w:r>
            <w:r>
              <w:rPr>
                <w:rFonts w:hint="default"/>
                <w:highlight w:val="none"/>
              </w:rPr>
              <w:t>、</w:t>
            </w:r>
            <w:r>
              <w:rPr>
                <w:rFonts w:hint="eastAsia"/>
                <w:highlight w:val="none"/>
              </w:rPr>
              <w:t>邮寄（快递）</w:t>
            </w:r>
            <w:r>
              <w:rPr>
                <w:rFonts w:hint="default"/>
                <w:highlight w:val="none"/>
              </w:rPr>
              <w:t>形式</w:t>
            </w:r>
            <w:r>
              <w:rPr>
                <w:rFonts w:hint="eastAsia"/>
                <w:szCs w:val="21"/>
                <w:highlight w:val="none"/>
              </w:rPr>
              <w:t>提交投诉书</w:t>
            </w:r>
            <w:r>
              <w:rPr>
                <w:rFonts w:hint="default"/>
                <w:highlight w:val="none"/>
              </w:rPr>
              <w:t>的</w:t>
            </w:r>
            <w:r>
              <w:rPr>
                <w:rFonts w:hint="eastAsia"/>
                <w:szCs w:val="21"/>
                <w:highlight w:val="none"/>
              </w:rPr>
              <w:t>，投诉人需联系投诉受理单位获取地址，投诉书参考格式可在</w:t>
            </w:r>
            <w:r>
              <w:rPr>
                <w:rFonts w:hint="eastAsia"/>
                <w:highlight w:val="none"/>
                <w:lang w:eastAsia="zh-CN"/>
              </w:rPr>
              <w:t>方洋集团电子采购平台</w:t>
            </w:r>
            <w:r>
              <w:rPr>
                <w:rFonts w:hint="eastAsia"/>
                <w:highlight w:val="none"/>
              </w:rPr>
              <w:t>服务指南中下载；</w:t>
            </w:r>
          </w:p>
          <w:p w14:paraId="0EFDB731">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left"/>
              <w:textAlignment w:val="auto"/>
              <w:rPr>
                <w:rFonts w:hint="default"/>
                <w:highlight w:val="none"/>
              </w:rPr>
            </w:pPr>
            <w:r>
              <w:rPr>
                <w:rFonts w:hint="default"/>
                <w:szCs w:val="21"/>
                <w:highlight w:val="none"/>
              </w:rPr>
              <w:t>（三）</w:t>
            </w:r>
            <w:r>
              <w:rPr>
                <w:rFonts w:hint="default"/>
                <w:highlight w:val="none"/>
              </w:rPr>
              <w:t>采用</w:t>
            </w:r>
            <w:r>
              <w:rPr>
                <w:rFonts w:hint="eastAsia"/>
                <w:highlight w:val="none"/>
                <w:lang w:eastAsia="zh-CN"/>
              </w:rPr>
              <w:t>方洋集团电子采购平台</w:t>
            </w:r>
            <w:r>
              <w:rPr>
                <w:rFonts w:hint="eastAsia"/>
                <w:highlight w:val="none"/>
              </w:rPr>
              <w:t>线上</w:t>
            </w:r>
            <w:r>
              <w:rPr>
                <w:rFonts w:hint="eastAsia"/>
                <w:szCs w:val="21"/>
                <w:highlight w:val="none"/>
              </w:rPr>
              <w:t>提交投诉书</w:t>
            </w:r>
            <w:r>
              <w:rPr>
                <w:rFonts w:hint="default"/>
                <w:highlight w:val="none"/>
              </w:rPr>
              <w:t>的</w:t>
            </w:r>
            <w:r>
              <w:rPr>
                <w:rFonts w:hint="eastAsia"/>
                <w:szCs w:val="21"/>
                <w:highlight w:val="none"/>
              </w:rPr>
              <w:t>，</w:t>
            </w:r>
            <w:r>
              <w:rPr>
                <w:rFonts w:hint="default"/>
                <w:highlight w:val="none"/>
              </w:rPr>
              <w:t>有关要求：</w:t>
            </w:r>
          </w:p>
          <w:p w14:paraId="3D3AF66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left"/>
              <w:textAlignment w:val="auto"/>
              <w:rPr>
                <w:rFonts w:hint="default"/>
                <w:highlight w:val="none"/>
              </w:rPr>
            </w:pPr>
            <w:r>
              <w:rPr>
                <w:rFonts w:hint="eastAsia"/>
                <w:szCs w:val="21"/>
                <w:highlight w:val="none"/>
              </w:rPr>
              <w:t>（1）投诉人需先在</w:t>
            </w:r>
            <w:r>
              <w:rPr>
                <w:rFonts w:hint="eastAsia"/>
                <w:highlight w:val="none"/>
                <w:lang w:eastAsia="zh-CN"/>
              </w:rPr>
              <w:t>方洋集团电子采购平台</w:t>
            </w:r>
            <w:r>
              <w:rPr>
                <w:rFonts w:hint="eastAsia"/>
                <w:highlight w:val="none"/>
              </w:rPr>
              <w:t>注册供应商账号，供应商账号注册成功后登陆账号，在首页选择异议投诉模块，在异议投诉模块中提交</w:t>
            </w:r>
            <w:r>
              <w:rPr>
                <w:rFonts w:hint="eastAsia"/>
                <w:szCs w:val="21"/>
                <w:highlight w:val="none"/>
              </w:rPr>
              <w:t>投诉</w:t>
            </w:r>
            <w:r>
              <w:rPr>
                <w:rFonts w:hint="eastAsia"/>
                <w:highlight w:val="none"/>
              </w:rPr>
              <w:t>书。</w:t>
            </w:r>
          </w:p>
          <w:p w14:paraId="59C5B4D5">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left"/>
              <w:textAlignment w:val="auto"/>
              <w:rPr>
                <w:rFonts w:hint="eastAsia"/>
                <w:szCs w:val="21"/>
                <w:highlight w:val="none"/>
              </w:rPr>
            </w:pPr>
            <w:r>
              <w:rPr>
                <w:rFonts w:hint="eastAsia"/>
                <w:szCs w:val="21"/>
                <w:highlight w:val="none"/>
              </w:rPr>
              <w:t>（2）投诉书参考格式可在</w:t>
            </w:r>
            <w:r>
              <w:rPr>
                <w:rFonts w:hint="eastAsia"/>
                <w:highlight w:val="none"/>
                <w:lang w:eastAsia="zh-CN"/>
              </w:rPr>
              <w:t>方洋集团电子采购平台</w:t>
            </w:r>
            <w:r>
              <w:rPr>
                <w:rFonts w:hint="eastAsia"/>
                <w:highlight w:val="none"/>
              </w:rPr>
              <w:t>服务指南中下载，平台线上</w:t>
            </w:r>
            <w:r>
              <w:rPr>
                <w:rFonts w:hint="eastAsia"/>
                <w:szCs w:val="21"/>
                <w:highlight w:val="none"/>
              </w:rPr>
              <w:t>提交投诉书</w:t>
            </w:r>
            <w:r>
              <w:rPr>
                <w:rFonts w:hint="eastAsia"/>
                <w:highlight w:val="none"/>
              </w:rPr>
              <w:t>咨询电话：</w:t>
            </w:r>
            <w:r>
              <w:rPr>
                <w:rFonts w:hint="eastAsia"/>
                <w:highlight w:val="none"/>
                <w:u w:val="single"/>
                <w:lang w:eastAsia="zh-CN"/>
              </w:rPr>
              <w:t>0518-82256705</w:t>
            </w:r>
            <w:r>
              <w:rPr>
                <w:rFonts w:hint="eastAsia"/>
                <w:highlight w:val="none"/>
              </w:rPr>
              <w:t>。</w:t>
            </w:r>
          </w:p>
        </w:tc>
      </w:tr>
      <w:tr w14:paraId="213DF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jc w:val="center"/>
        </w:trPr>
        <w:tc>
          <w:tcPr>
            <w:tcW w:w="1212" w:type="dxa"/>
            <w:tcBorders>
              <w:top w:val="single" w:color="auto" w:sz="4" w:space="0"/>
              <w:left w:val="single" w:color="auto" w:sz="4" w:space="0"/>
              <w:bottom w:val="single" w:color="auto" w:sz="4" w:space="0"/>
              <w:right w:val="single" w:color="auto" w:sz="4" w:space="0"/>
            </w:tcBorders>
            <w:vAlign w:val="center"/>
          </w:tcPr>
          <w:p w14:paraId="1D504D6E">
            <w:pPr>
              <w:keepNext w:val="0"/>
              <w:keepLines/>
              <w:widowControl/>
              <w:suppressLineNumbers w:val="0"/>
              <w:adjustRightInd w:val="0"/>
              <w:snapToGrid w:val="0"/>
              <w:spacing w:before="0" w:beforeAutospacing="0" w:after="0" w:afterAutospacing="0" w:line="360" w:lineRule="exact"/>
              <w:ind w:left="0" w:right="0" w:firstLine="0" w:firstLineChars="0"/>
              <w:jc w:val="center"/>
              <w:rPr>
                <w:rFonts w:hint="default"/>
                <w:szCs w:val="21"/>
                <w:highlight w:val="none"/>
              </w:rPr>
            </w:pPr>
            <w:r>
              <w:rPr>
                <w:rFonts w:hint="default" w:eastAsiaTheme="minorEastAsia"/>
                <w:color w:val="000000" w:themeColor="text1"/>
                <w:szCs w:val="21"/>
              </w:rPr>
              <w:t xml:space="preserve">10. </w:t>
            </w:r>
            <w:r>
              <w:rPr>
                <w:rFonts w:hint="eastAsia" w:eastAsiaTheme="minorEastAsia"/>
                <w:color w:val="000000" w:themeColor="text1"/>
                <w:szCs w:val="21"/>
              </w:rPr>
              <w:t>1</w:t>
            </w:r>
          </w:p>
        </w:tc>
        <w:tc>
          <w:tcPr>
            <w:tcW w:w="2269" w:type="dxa"/>
            <w:tcBorders>
              <w:top w:val="single" w:color="auto" w:sz="4" w:space="0"/>
              <w:left w:val="single" w:color="auto" w:sz="4" w:space="0"/>
              <w:bottom w:val="single" w:color="auto" w:sz="4" w:space="0"/>
              <w:right w:val="single" w:color="auto" w:sz="4" w:space="0"/>
            </w:tcBorders>
            <w:vAlign w:val="center"/>
          </w:tcPr>
          <w:p w14:paraId="1698AA64">
            <w:pPr>
              <w:keepNext w:val="0"/>
              <w:keepLines/>
              <w:widowControl/>
              <w:suppressLineNumbers w:val="0"/>
              <w:adjustRightInd w:val="0"/>
              <w:snapToGrid w:val="0"/>
              <w:spacing w:before="0" w:beforeAutospacing="0" w:after="0" w:afterAutospacing="0" w:line="360" w:lineRule="exact"/>
              <w:ind w:left="0" w:right="0" w:firstLine="0" w:firstLineChars="0"/>
              <w:jc w:val="left"/>
              <w:rPr>
                <w:rFonts w:hint="default"/>
                <w:szCs w:val="21"/>
                <w:highlight w:val="none"/>
              </w:rPr>
            </w:pPr>
            <w:r>
              <w:rPr>
                <w:rFonts w:hint="default" w:hAnsiTheme="minorEastAsia" w:eastAsiaTheme="minorEastAsia"/>
                <w:color w:val="000000" w:themeColor="text1"/>
                <w:szCs w:val="21"/>
              </w:rPr>
              <w:t>需要补充的其他内容</w:t>
            </w:r>
          </w:p>
        </w:tc>
        <w:tc>
          <w:tcPr>
            <w:tcW w:w="5581" w:type="dxa"/>
            <w:tcBorders>
              <w:top w:val="single" w:color="auto" w:sz="4" w:space="0"/>
              <w:left w:val="single" w:color="auto" w:sz="4" w:space="0"/>
              <w:bottom w:val="single" w:color="auto" w:sz="4" w:space="0"/>
              <w:right w:val="single" w:color="auto" w:sz="4" w:space="0"/>
            </w:tcBorders>
            <w:vAlign w:val="top"/>
          </w:tcPr>
          <w:p w14:paraId="0F732B09">
            <w:pPr>
              <w:keepNext w:val="0"/>
              <w:keepLines/>
              <w:widowControl/>
              <w:suppressLineNumbers w:val="0"/>
              <w:adjustRightInd w:val="0"/>
              <w:snapToGrid w:val="0"/>
              <w:spacing w:before="0" w:beforeAutospacing="0" w:after="0" w:afterAutospacing="0" w:line="360" w:lineRule="exact"/>
              <w:ind w:left="0" w:right="0" w:firstLine="0" w:firstLineChars="0"/>
              <w:jc w:val="left"/>
              <w:rPr>
                <w:rFonts w:hint="default" w:hAnsiTheme="minorEastAsia" w:eastAsiaTheme="minorEastAsia"/>
                <w:color w:val="000000" w:themeColor="text1"/>
                <w:szCs w:val="21"/>
              </w:rPr>
            </w:pPr>
            <w:r>
              <w:rPr>
                <w:rFonts w:hint="eastAsia" w:hAnsiTheme="minorEastAsia" w:eastAsiaTheme="minorEastAsia"/>
                <w:color w:val="000000" w:themeColor="text1"/>
                <w:szCs w:val="21"/>
              </w:rPr>
              <w:t>1.</w:t>
            </w:r>
            <w:r>
              <w:rPr>
                <w:rFonts w:hint="default" w:hAnsiTheme="minorEastAsia" w:eastAsiaTheme="minorEastAsia"/>
                <w:color w:val="000000" w:themeColor="text1"/>
                <w:szCs w:val="21"/>
              </w:rPr>
              <w:t>本项目采用远程不见面线上开展谈判及评审。相关要求和说明如下：</w:t>
            </w:r>
          </w:p>
          <w:p w14:paraId="22562B5B">
            <w:pPr>
              <w:keepNext w:val="0"/>
              <w:keepLines/>
              <w:widowControl/>
              <w:suppressLineNumbers w:val="0"/>
              <w:adjustRightInd w:val="0"/>
              <w:snapToGrid w:val="0"/>
              <w:spacing w:before="0" w:beforeAutospacing="0" w:after="0" w:afterAutospacing="0" w:line="360" w:lineRule="exact"/>
              <w:ind w:left="0" w:right="0" w:firstLine="0" w:firstLineChars="0"/>
              <w:jc w:val="left"/>
              <w:rPr>
                <w:rFonts w:hint="default" w:hAnsiTheme="minorEastAsia" w:eastAsiaTheme="minorEastAsia"/>
                <w:color w:val="000000" w:themeColor="text1"/>
                <w:szCs w:val="21"/>
              </w:rPr>
            </w:pPr>
            <w:r>
              <w:rPr>
                <w:rFonts w:hint="default" w:hAnsiTheme="minorEastAsia" w:eastAsiaTheme="minorEastAsia"/>
                <w:color w:val="000000" w:themeColor="text1"/>
                <w:szCs w:val="21"/>
              </w:rPr>
              <w:t>（1）远程采购项目的时间均以国家授时中心发布的时间为准；</w:t>
            </w:r>
          </w:p>
          <w:p w14:paraId="1FF67BAF">
            <w:pPr>
              <w:keepNext w:val="0"/>
              <w:keepLines/>
              <w:widowControl/>
              <w:suppressLineNumbers w:val="0"/>
              <w:adjustRightInd w:val="0"/>
              <w:snapToGrid w:val="0"/>
              <w:spacing w:before="0" w:beforeAutospacing="0" w:after="0" w:afterAutospacing="0" w:line="360" w:lineRule="exact"/>
              <w:ind w:left="0" w:right="0" w:firstLine="0" w:firstLineChars="0"/>
              <w:jc w:val="left"/>
              <w:rPr>
                <w:rFonts w:hint="default" w:hAnsiTheme="minorEastAsia" w:eastAsiaTheme="minorEastAsia"/>
                <w:color w:val="000000" w:themeColor="text1"/>
                <w:szCs w:val="21"/>
              </w:rPr>
            </w:pPr>
            <w:r>
              <w:rPr>
                <w:rFonts w:hint="default" w:hAnsiTheme="minorEastAsia" w:eastAsiaTheme="minorEastAsia"/>
                <w:color w:val="000000" w:themeColor="text1"/>
                <w:szCs w:val="21"/>
              </w:rPr>
              <w:t>（2）响应文件递交及评审当日，供应商不必抵达开标现场，应当在谈判文件确定的响应文件递交截止时间前在线准时参加谈判活动，并务必在不见面开标大厅中进行答疑澄清等。</w:t>
            </w:r>
          </w:p>
          <w:p w14:paraId="43B807F9">
            <w:pPr>
              <w:keepNext w:val="0"/>
              <w:keepLines/>
              <w:widowControl/>
              <w:suppressLineNumbers w:val="0"/>
              <w:adjustRightInd w:val="0"/>
              <w:snapToGrid w:val="0"/>
              <w:spacing w:before="0" w:beforeAutospacing="0" w:after="0" w:afterAutospacing="0" w:line="360" w:lineRule="exact"/>
              <w:ind w:left="0" w:right="0" w:firstLine="0" w:firstLineChars="0"/>
              <w:jc w:val="left"/>
              <w:rPr>
                <w:rFonts w:hint="default" w:hAnsiTheme="minorEastAsia" w:eastAsiaTheme="minorEastAsia"/>
                <w:color w:val="000000" w:themeColor="text1"/>
                <w:szCs w:val="21"/>
                <w:highlight w:val="none"/>
              </w:rPr>
            </w:pPr>
            <w:r>
              <w:rPr>
                <w:rFonts w:hint="default" w:hAnsiTheme="minorEastAsia" w:eastAsiaTheme="minorEastAsia"/>
                <w:color w:val="000000" w:themeColor="text1"/>
                <w:szCs w:val="21"/>
              </w:rPr>
              <w:t>★注：</w:t>
            </w:r>
            <w:r>
              <w:rPr>
                <w:rFonts w:hint="eastAsia" w:hAnsiTheme="minorEastAsia" w:eastAsiaTheme="minorEastAsia"/>
                <w:color w:val="000000" w:themeColor="text1"/>
                <w:szCs w:val="21"/>
                <w:lang w:eastAsia="zh-CN"/>
              </w:rPr>
              <w:t>方洋集团</w:t>
            </w:r>
            <w:r>
              <w:rPr>
                <w:rFonts w:hint="default" w:hAnsiTheme="minorEastAsia" w:eastAsiaTheme="minorEastAsia"/>
                <w:color w:val="000000" w:themeColor="text1"/>
                <w:szCs w:val="21"/>
              </w:rPr>
              <w:t>不见面开标大厅网址为</w:t>
            </w:r>
            <w:r>
              <w:rPr>
                <w:rFonts w:hint="eastAsia"/>
                <w:szCs w:val="21"/>
                <w:highlight w:val="none"/>
              </w:rPr>
              <w:t>https://cg.fygroup.com:9090/#/login</w:t>
            </w:r>
            <w:r>
              <w:rPr>
                <w:rFonts w:hint="default" w:hAnsiTheme="minorEastAsia" w:eastAsiaTheme="minorEastAsia"/>
                <w:color w:val="000000" w:themeColor="text1"/>
                <w:szCs w:val="21"/>
                <w:highlight w:val="none"/>
              </w:rPr>
              <w:t>。</w:t>
            </w:r>
          </w:p>
          <w:p w14:paraId="1469469B">
            <w:pPr>
              <w:keepNext w:val="0"/>
              <w:keepLines/>
              <w:widowControl/>
              <w:numPr>
                <w:ilvl w:val="0"/>
                <w:numId w:val="3"/>
              </w:numPr>
              <w:suppressLineNumbers w:val="0"/>
              <w:adjustRightInd w:val="0"/>
              <w:snapToGrid w:val="0"/>
              <w:spacing w:before="0" w:beforeAutospacing="0" w:after="0" w:afterAutospacing="0" w:line="360" w:lineRule="exact"/>
              <w:ind w:left="0" w:right="0" w:firstLine="0" w:firstLineChars="0"/>
              <w:jc w:val="left"/>
              <w:rPr>
                <w:rFonts w:hint="eastAsia" w:hAnsiTheme="minorEastAsia" w:eastAsiaTheme="minorEastAsia"/>
                <w:color w:val="000000" w:themeColor="text1"/>
                <w:szCs w:val="21"/>
                <w:highlight w:val="none"/>
                <w:lang w:eastAsia="zh-CN"/>
              </w:rPr>
            </w:pPr>
            <w:r>
              <w:rPr>
                <w:rFonts w:hint="default" w:hAnsiTheme="minorEastAsia" w:eastAsiaTheme="minorEastAsia"/>
                <w:color w:val="000000" w:themeColor="text1"/>
                <w:szCs w:val="21"/>
                <w:highlight w:val="none"/>
              </w:rPr>
              <w:t>响应文件递交截止时间前，各供应商授权委托人提前进入不见面开标大厅，播放测试音频，根据操作手册（供应商手册可通过</w:t>
            </w:r>
            <w:r>
              <w:rPr>
                <w:rFonts w:hint="eastAsia" w:eastAsiaTheme="minorEastAsia"/>
                <w:color w:val="000000" w:themeColor="text1"/>
                <w:szCs w:val="21"/>
                <w:highlight w:val="none"/>
                <w:lang w:eastAsia="zh-CN"/>
              </w:rPr>
              <w:t>“方洋集团电子采购平台”</w:t>
            </w:r>
            <w:r>
              <w:rPr>
                <w:rFonts w:hint="eastAsia" w:hAnsiTheme="minorEastAsia" w:eastAsiaTheme="minorEastAsia"/>
                <w:color w:val="000000" w:themeColor="text1"/>
                <w:szCs w:val="21"/>
                <w:highlight w:val="none"/>
                <w:lang w:eastAsia="zh-CN"/>
              </w:rPr>
              <w:t>服务指南（</w:t>
            </w:r>
            <w:r>
              <w:rPr>
                <w:rFonts w:hint="default" w:hAnsiTheme="minorEastAsia" w:eastAsiaTheme="minorEastAsia"/>
                <w:color w:val="000000" w:themeColor="text1"/>
                <w:szCs w:val="21"/>
                <w:highlight w:val="none"/>
              </w:rPr>
              <w:t>网址</w:t>
            </w:r>
            <w:r>
              <w:rPr>
                <w:rFonts w:hint="eastAsia" w:hAnsiTheme="minorEastAsia" w:eastAsiaTheme="minorEastAsia"/>
                <w:color w:val="000000" w:themeColor="text1"/>
                <w:szCs w:val="21"/>
                <w:highlight w:val="none"/>
                <w:lang w:eastAsia="zh-CN"/>
              </w:rPr>
              <w:t>：</w:t>
            </w:r>
            <w:r>
              <w:rPr>
                <w:rFonts w:hint="eastAsia" w:hAnsiTheme="minorEastAsia" w:eastAsiaTheme="minorEastAsia"/>
                <w:color w:val="000000" w:themeColor="text1"/>
                <w:szCs w:val="21"/>
                <w:highlight w:val="none"/>
                <w:lang w:eastAsia="zh-CN"/>
              </w:rPr>
              <w:fldChar w:fldCharType="begin"/>
            </w:r>
            <w:r>
              <w:rPr>
                <w:rFonts w:hint="eastAsia" w:hAnsiTheme="minorEastAsia" w:eastAsiaTheme="minorEastAsia"/>
                <w:color w:val="000000" w:themeColor="text1"/>
                <w:szCs w:val="21"/>
                <w:highlight w:val="none"/>
                <w:lang w:eastAsia="zh-CN"/>
              </w:rPr>
              <w:instrText xml:space="preserve"> HYPERLINK "https://cg.fygroup.com:29084/home/downloadCenter" </w:instrText>
            </w:r>
            <w:r>
              <w:rPr>
                <w:rFonts w:hint="eastAsia" w:hAnsiTheme="minorEastAsia" w:eastAsiaTheme="minorEastAsia"/>
                <w:color w:val="000000" w:themeColor="text1"/>
                <w:szCs w:val="21"/>
                <w:highlight w:val="none"/>
                <w:lang w:eastAsia="zh-CN"/>
              </w:rPr>
              <w:fldChar w:fldCharType="separate"/>
            </w:r>
            <w:r>
              <w:rPr>
                <w:rStyle w:val="57"/>
                <w:rFonts w:hint="eastAsia" w:hAnsiTheme="minorEastAsia" w:eastAsiaTheme="minorEastAsia"/>
                <w:szCs w:val="21"/>
                <w:highlight w:val="none"/>
                <w:lang w:eastAsia="zh-CN"/>
              </w:rPr>
              <w:t>https://cg.fygroup.com:29084/home/downloadCenter</w:t>
            </w:r>
            <w:r>
              <w:rPr>
                <w:rFonts w:hint="eastAsia" w:hAnsiTheme="minorEastAsia" w:eastAsiaTheme="minorEastAsia"/>
                <w:color w:val="000000" w:themeColor="text1"/>
                <w:szCs w:val="21"/>
                <w:highlight w:val="none"/>
                <w:lang w:eastAsia="zh-CN"/>
              </w:rPr>
              <w:fldChar w:fldCharType="end"/>
            </w:r>
            <w:r>
              <w:rPr>
                <w:rFonts w:hint="eastAsia" w:hAnsiTheme="minorEastAsia" w:eastAsiaTheme="minorEastAsia"/>
                <w:color w:val="000000" w:themeColor="text1"/>
                <w:szCs w:val="21"/>
                <w:highlight w:val="none"/>
                <w:lang w:eastAsia="zh-CN"/>
              </w:rPr>
              <w:t>）</w:t>
            </w:r>
            <w:r>
              <w:rPr>
                <w:rFonts w:hint="default" w:hAnsiTheme="minorEastAsia" w:eastAsiaTheme="minorEastAsia"/>
                <w:color w:val="000000" w:themeColor="text1"/>
                <w:szCs w:val="21"/>
                <w:highlight w:val="none"/>
              </w:rPr>
              <w:t>下载）进入相应项目的开标会议区收听观看实时音视频交互效果并及时在讨论组中反馈，未按时加入开标会议区并完成登录操作的或未能在开标会议区内全程参与交互的，视为放弃交互和放弃对谈判及评审全过程提疑的权利，供应商将无法看到</w:t>
            </w:r>
            <w:r>
              <w:rPr>
                <w:rFonts w:hint="eastAsia" w:hAnsiTheme="minorEastAsia" w:eastAsiaTheme="minorEastAsia"/>
                <w:color w:val="000000" w:themeColor="text1"/>
                <w:szCs w:val="21"/>
                <w:highlight w:val="none"/>
                <w:lang w:eastAsia="zh-CN"/>
              </w:rPr>
              <w:t>二次报价</w:t>
            </w:r>
            <w:r>
              <w:rPr>
                <w:rFonts w:hint="default" w:hAnsiTheme="minorEastAsia" w:eastAsiaTheme="minorEastAsia"/>
                <w:color w:val="000000" w:themeColor="text1"/>
                <w:szCs w:val="21"/>
                <w:highlight w:val="none"/>
              </w:rPr>
              <w:t>指令、异议回复、唱标等实时情况，并承担由此导致的一切后果</w:t>
            </w:r>
            <w:r>
              <w:rPr>
                <w:rFonts w:hint="eastAsia" w:hAnsiTheme="minorEastAsia" w:eastAsiaTheme="minorEastAsia"/>
                <w:color w:val="000000" w:themeColor="text1"/>
                <w:szCs w:val="21"/>
                <w:highlight w:val="none"/>
                <w:lang w:eastAsia="zh-CN"/>
              </w:rPr>
              <w:t>；</w:t>
            </w:r>
          </w:p>
          <w:p w14:paraId="5FE21EC0">
            <w:pPr>
              <w:keepNext w:val="0"/>
              <w:keepLines/>
              <w:widowControl/>
              <w:suppressLineNumbers w:val="0"/>
              <w:adjustRightInd w:val="0"/>
              <w:snapToGrid w:val="0"/>
              <w:spacing w:before="0" w:beforeAutospacing="0" w:after="0" w:afterAutospacing="0" w:line="360" w:lineRule="exact"/>
              <w:ind w:left="0" w:right="0" w:firstLine="0" w:firstLineChars="0"/>
              <w:jc w:val="left"/>
              <w:rPr>
                <w:rFonts w:hint="default" w:hAnsiTheme="minorEastAsia" w:eastAsiaTheme="minorEastAsia"/>
                <w:color w:val="000000" w:themeColor="text1"/>
                <w:szCs w:val="21"/>
              </w:rPr>
            </w:pPr>
            <w:r>
              <w:rPr>
                <w:rFonts w:hint="eastAsia" w:hAnsiTheme="minorEastAsia" w:eastAsiaTheme="minorEastAsia"/>
                <w:color w:val="000000" w:themeColor="text1"/>
                <w:szCs w:val="21"/>
                <w:highlight w:val="none"/>
              </w:rPr>
              <w:t>3.</w:t>
            </w:r>
            <w:r>
              <w:rPr>
                <w:rFonts w:hint="default" w:hAnsiTheme="minorEastAsia" w:eastAsiaTheme="minorEastAsia"/>
                <w:color w:val="000000" w:themeColor="text1"/>
                <w:szCs w:val="21"/>
                <w:highlight w:val="none"/>
              </w:rPr>
              <w:t>响应文件递交截止时间后，采购人将在</w:t>
            </w:r>
            <w:r>
              <w:rPr>
                <w:rFonts w:hint="default" w:hAnsiTheme="minorEastAsia" w:eastAsiaTheme="minorEastAsia"/>
                <w:color w:val="000000" w:themeColor="text1"/>
                <w:szCs w:val="21"/>
              </w:rPr>
              <w:t>系统内公布供应商名单并核验谈判保证金递交情况，然后通过开标会议区发出</w:t>
            </w:r>
            <w:r>
              <w:rPr>
                <w:rFonts w:hint="eastAsia" w:hAnsiTheme="minorEastAsia" w:eastAsiaTheme="minorEastAsia"/>
                <w:color w:val="000000" w:themeColor="text1"/>
                <w:szCs w:val="21"/>
                <w:lang w:eastAsia="zh-CN"/>
              </w:rPr>
              <w:t>二次报价</w:t>
            </w:r>
            <w:r>
              <w:rPr>
                <w:rFonts w:hint="default" w:hAnsiTheme="minorEastAsia" w:eastAsiaTheme="minorEastAsia"/>
                <w:color w:val="000000" w:themeColor="text1"/>
                <w:szCs w:val="21"/>
              </w:rPr>
              <w:t>的指令</w:t>
            </w:r>
            <w:r>
              <w:rPr>
                <w:rFonts w:hint="default" w:hAnsiTheme="minorEastAsia" w:eastAsiaTheme="minorEastAsia"/>
                <w:color w:val="000000" w:themeColor="text1"/>
                <w:szCs w:val="21"/>
                <w:highlight w:val="none"/>
              </w:rPr>
              <w:t>。</w:t>
            </w:r>
          </w:p>
          <w:p w14:paraId="14B1FA10">
            <w:pPr>
              <w:keepNext w:val="0"/>
              <w:keepLines/>
              <w:widowControl/>
              <w:suppressLineNumbers w:val="0"/>
              <w:adjustRightInd w:val="0"/>
              <w:snapToGrid w:val="0"/>
              <w:spacing w:before="0" w:beforeAutospacing="0" w:after="0" w:afterAutospacing="0" w:line="360" w:lineRule="exact"/>
              <w:ind w:left="0" w:right="0" w:firstLine="0" w:firstLineChars="0"/>
              <w:jc w:val="left"/>
              <w:rPr>
                <w:rFonts w:hint="default" w:hAnsiTheme="minorEastAsia" w:eastAsiaTheme="minorEastAsia"/>
                <w:color w:val="000000" w:themeColor="text1"/>
                <w:szCs w:val="21"/>
              </w:rPr>
            </w:pPr>
            <w:r>
              <w:rPr>
                <w:rFonts w:hint="eastAsia" w:hAnsiTheme="minorEastAsia" w:eastAsiaTheme="minorEastAsia"/>
                <w:color w:val="000000" w:themeColor="text1"/>
                <w:szCs w:val="21"/>
              </w:rPr>
              <w:t>4.</w:t>
            </w:r>
            <w:r>
              <w:rPr>
                <w:rFonts w:hint="default" w:hAnsiTheme="minorEastAsia" w:eastAsiaTheme="minorEastAsia"/>
                <w:color w:val="000000" w:themeColor="text1"/>
                <w:szCs w:val="21"/>
              </w:rPr>
              <w:t>响应文件公布、评审全过程中，各供应商参与远程交互的授权委托人应始终为同一个人，中途不得更换，在异议提出等特殊情况下需要交互时，供应商参与交互的人员将均被视为是供应商的授权委托人，供应商自行承担随意更换人员所导致的一切后果。</w:t>
            </w:r>
          </w:p>
          <w:p w14:paraId="1D9B9333">
            <w:pPr>
              <w:keepNext w:val="0"/>
              <w:keepLines/>
              <w:widowControl/>
              <w:suppressLineNumbers w:val="0"/>
              <w:adjustRightInd w:val="0"/>
              <w:snapToGrid w:val="0"/>
              <w:spacing w:before="0" w:beforeAutospacing="0" w:after="0" w:afterAutospacing="0" w:line="360" w:lineRule="exact"/>
              <w:ind w:left="0" w:right="0" w:firstLine="0" w:firstLineChars="0"/>
              <w:jc w:val="left"/>
              <w:rPr>
                <w:rFonts w:hint="default" w:hAnsiTheme="minorEastAsia" w:eastAsiaTheme="minorEastAsia"/>
                <w:color w:val="000000" w:themeColor="text1"/>
                <w:szCs w:val="21"/>
                <w:highlight w:val="none"/>
              </w:rPr>
            </w:pPr>
            <w:r>
              <w:rPr>
                <w:rFonts w:hint="default" w:hAnsiTheme="minorEastAsia" w:eastAsiaTheme="minorEastAsia"/>
                <w:color w:val="000000" w:themeColor="text1"/>
                <w:szCs w:val="21"/>
              </w:rPr>
              <w:t>5.如遇系统原因导致交易不能进行的，采购人将及时采用电话方式联系供应商进行报价。</w:t>
            </w:r>
          </w:p>
          <w:p w14:paraId="2DD04529">
            <w:pPr>
              <w:keepNext w:val="0"/>
              <w:keepLines/>
              <w:widowControl/>
              <w:suppressLineNumbers w:val="0"/>
              <w:adjustRightInd w:val="0"/>
              <w:snapToGrid w:val="0"/>
              <w:spacing w:before="0" w:beforeAutospacing="0" w:after="0" w:afterAutospacing="0" w:line="360" w:lineRule="exact"/>
              <w:ind w:left="0" w:right="0" w:firstLine="0" w:firstLineChars="0"/>
              <w:jc w:val="left"/>
              <w:rPr>
                <w:rFonts w:hint="eastAsia" w:hAnsiTheme="minorEastAsia" w:eastAsiaTheme="minorEastAsia"/>
                <w:color w:val="000000" w:themeColor="text1"/>
                <w:szCs w:val="21"/>
                <w:highlight w:val="none"/>
              </w:rPr>
            </w:pPr>
            <w:r>
              <w:rPr>
                <w:rFonts w:hint="eastAsia" w:hAnsiTheme="minorEastAsia" w:eastAsiaTheme="minorEastAsia"/>
                <w:color w:val="000000" w:themeColor="text1"/>
                <w:szCs w:val="21"/>
                <w:highlight w:val="none"/>
                <w:lang w:val="en-US" w:eastAsia="zh-CN"/>
              </w:rPr>
              <w:t>6</w:t>
            </w:r>
            <w:r>
              <w:rPr>
                <w:rFonts w:hint="default" w:hAnsiTheme="minorEastAsia" w:eastAsiaTheme="minorEastAsia"/>
                <w:color w:val="000000" w:themeColor="text1"/>
                <w:szCs w:val="21"/>
                <w:highlight w:val="none"/>
              </w:rPr>
              <w:t>.</w:t>
            </w:r>
            <w:r>
              <w:rPr>
                <w:rFonts w:hint="eastAsia" w:hAnsiTheme="minorEastAsia" w:eastAsiaTheme="minorEastAsia"/>
                <w:color w:val="000000" w:themeColor="text1"/>
                <w:szCs w:val="21"/>
                <w:highlight w:val="none"/>
              </w:rPr>
              <w:t>为顺利实现本项目采购活动的远程交互，建议</w:t>
            </w:r>
            <w:r>
              <w:rPr>
                <w:rFonts w:hint="eastAsia" w:hAnsiTheme="minorEastAsia" w:eastAsiaTheme="minorEastAsia"/>
                <w:color w:val="000000" w:themeColor="text1"/>
                <w:szCs w:val="21"/>
                <w:highlight w:val="none"/>
                <w:lang w:val="en-US" w:eastAsia="zh-CN"/>
              </w:rPr>
              <w:t>供应商</w:t>
            </w:r>
            <w:r>
              <w:rPr>
                <w:rFonts w:hint="eastAsia" w:hAnsiTheme="minorEastAsia" w:eastAsiaTheme="minorEastAsia"/>
                <w:color w:val="000000" w:themeColor="text1"/>
                <w:szCs w:val="21"/>
                <w:highlight w:val="none"/>
              </w:rPr>
              <w:t>配置的硬件设施有：高配置电脑、高速稳定的网络、电源（不间断）、音视频设备（话筒、耳麦、高清摄像头、音响）、扫描仪、打印机、传真机、高清视频监控等；建议</w:t>
            </w:r>
            <w:r>
              <w:rPr>
                <w:rFonts w:hint="eastAsia" w:hAnsiTheme="minorEastAsia" w:eastAsiaTheme="minorEastAsia"/>
                <w:color w:val="000000" w:themeColor="text1"/>
                <w:szCs w:val="21"/>
                <w:highlight w:val="none"/>
                <w:lang w:val="en-US" w:eastAsia="zh-CN"/>
              </w:rPr>
              <w:t>供应商</w:t>
            </w:r>
            <w:r>
              <w:rPr>
                <w:rFonts w:hint="eastAsia" w:hAnsiTheme="minorEastAsia" w:eastAsiaTheme="minorEastAsia"/>
                <w:color w:val="000000" w:themeColor="text1"/>
                <w:szCs w:val="21"/>
                <w:highlight w:val="none"/>
              </w:rPr>
              <w:t>具备的软件设施有：360或Google浏览器。为保证交互效果，建议</w:t>
            </w:r>
            <w:r>
              <w:rPr>
                <w:rFonts w:hint="eastAsia" w:hAnsiTheme="minorEastAsia" w:eastAsiaTheme="minorEastAsia"/>
                <w:color w:val="000000" w:themeColor="text1"/>
                <w:szCs w:val="21"/>
                <w:highlight w:val="none"/>
                <w:lang w:val="en-US" w:eastAsia="zh-CN"/>
              </w:rPr>
              <w:t>供应商</w:t>
            </w:r>
            <w:r>
              <w:rPr>
                <w:rFonts w:hint="eastAsia" w:hAnsiTheme="minorEastAsia" w:eastAsiaTheme="minorEastAsia"/>
                <w:color w:val="000000" w:themeColor="text1"/>
                <w:szCs w:val="21"/>
                <w:highlight w:val="none"/>
              </w:rPr>
              <w:t>选择封闭安静的地点参与远程交互。因</w:t>
            </w:r>
            <w:r>
              <w:rPr>
                <w:rFonts w:hint="eastAsia" w:hAnsiTheme="minorEastAsia" w:eastAsiaTheme="minorEastAsia"/>
                <w:color w:val="000000" w:themeColor="text1"/>
                <w:szCs w:val="21"/>
                <w:highlight w:val="none"/>
                <w:lang w:val="en-US" w:eastAsia="zh-CN"/>
              </w:rPr>
              <w:t>供应商</w:t>
            </w:r>
            <w:r>
              <w:rPr>
                <w:rFonts w:hint="eastAsia" w:hAnsiTheme="minorEastAsia" w:eastAsiaTheme="minorEastAsia"/>
                <w:color w:val="000000" w:themeColor="text1"/>
                <w:szCs w:val="21"/>
                <w:highlight w:val="none"/>
              </w:rPr>
              <w:t>自身软硬件配备不齐全或发生故障等问题而导致在交互过程中出现不稳定或中断等情况的，由</w:t>
            </w:r>
            <w:r>
              <w:rPr>
                <w:rFonts w:hint="eastAsia" w:hAnsiTheme="minorEastAsia" w:eastAsiaTheme="minorEastAsia"/>
                <w:color w:val="000000" w:themeColor="text1"/>
                <w:szCs w:val="21"/>
                <w:highlight w:val="none"/>
                <w:lang w:val="en-US" w:eastAsia="zh-CN"/>
              </w:rPr>
              <w:t>供应商</w:t>
            </w:r>
            <w:r>
              <w:rPr>
                <w:rFonts w:hint="eastAsia" w:hAnsiTheme="minorEastAsia" w:eastAsiaTheme="minorEastAsia"/>
                <w:color w:val="000000" w:themeColor="text1"/>
                <w:szCs w:val="21"/>
                <w:highlight w:val="none"/>
              </w:rPr>
              <w:t>自身承担一切后果。</w:t>
            </w:r>
          </w:p>
          <w:p w14:paraId="58C20F66">
            <w:pPr>
              <w:keepNext w:val="0"/>
              <w:keepLines/>
              <w:widowControl/>
              <w:suppressLineNumbers w:val="0"/>
              <w:adjustRightInd w:val="0"/>
              <w:snapToGrid w:val="0"/>
              <w:spacing w:before="0" w:beforeAutospacing="0" w:after="0" w:afterAutospacing="0" w:line="360" w:lineRule="exact"/>
              <w:ind w:left="0" w:right="0" w:firstLine="0" w:firstLineChars="0"/>
              <w:jc w:val="left"/>
              <w:rPr>
                <w:rFonts w:hint="eastAsia"/>
                <w:szCs w:val="21"/>
                <w:highlight w:val="none"/>
              </w:rPr>
            </w:pPr>
            <w:r>
              <w:rPr>
                <w:rFonts w:hint="eastAsia" w:hAnsiTheme="minorEastAsia" w:eastAsiaTheme="minorEastAsia"/>
                <w:b/>
                <w:bCs/>
                <w:color w:val="000000" w:themeColor="text1"/>
                <w:szCs w:val="21"/>
                <w:highlight w:val="yellow"/>
              </w:rPr>
              <w:t>7.请各供应商制作（包括下载</w:t>
            </w:r>
            <w:r>
              <w:rPr>
                <w:rFonts w:hint="eastAsia" w:hAnsiTheme="minorEastAsia" w:eastAsiaTheme="minorEastAsia"/>
                <w:b/>
                <w:bCs/>
                <w:color w:val="000000" w:themeColor="text1"/>
                <w:szCs w:val="21"/>
                <w:highlight w:val="yellow"/>
                <w:lang w:val="en-US" w:eastAsia="zh-CN"/>
              </w:rPr>
              <w:t>谈判</w:t>
            </w:r>
            <w:r>
              <w:rPr>
                <w:rFonts w:hint="eastAsia" w:hAnsiTheme="minorEastAsia" w:eastAsiaTheme="minorEastAsia"/>
                <w:b/>
                <w:bCs/>
                <w:color w:val="000000" w:themeColor="text1"/>
                <w:szCs w:val="21"/>
                <w:highlight w:val="yellow"/>
              </w:rPr>
              <w:t>文件、上传响应文件）响应文件过程中避免使用其他单位、个人或公共电脑、网络，以免出现与其他供应商IP地址一致等不应当雷同的问题。</w:t>
            </w:r>
          </w:p>
        </w:tc>
      </w:tr>
    </w:tbl>
    <w:p w14:paraId="7AC595DE">
      <w:pPr>
        <w:widowControl/>
        <w:shd w:val="clear"/>
        <w:ind w:firstLine="480"/>
        <w:jc w:val="left"/>
        <w:rPr>
          <w:rFonts w:eastAsiaTheme="minorEastAsia"/>
          <w:b/>
          <w:color w:val="000000" w:themeColor="text1"/>
          <w:sz w:val="24"/>
          <w:highlight w:val="none"/>
        </w:rPr>
      </w:pPr>
      <w:r>
        <w:rPr>
          <w:rFonts w:eastAsiaTheme="minorEastAsia"/>
          <w:color w:val="000000" w:themeColor="text1"/>
          <w:sz w:val="24"/>
          <w:highlight w:val="none"/>
        </w:rPr>
        <w:br w:type="page"/>
      </w:r>
    </w:p>
    <w:p w14:paraId="2097D41B">
      <w:pPr>
        <w:pStyle w:val="2"/>
        <w:shd w:val="clear"/>
        <w:spacing w:before="0" w:after="0" w:line="400" w:lineRule="exact"/>
        <w:ind w:firstLine="0" w:firstLineChars="0"/>
        <w:jc w:val="center"/>
        <w:rPr>
          <w:rFonts w:ascii="Times New Roman" w:hAnsi="Times New Roman" w:eastAsiaTheme="minorEastAsia"/>
          <w:color w:val="000000" w:themeColor="text1"/>
          <w:sz w:val="24"/>
          <w:szCs w:val="24"/>
          <w:highlight w:val="none"/>
        </w:rPr>
      </w:pPr>
      <w:bookmarkStart w:id="29" w:name="_Toc11457"/>
      <w:bookmarkStart w:id="30" w:name="_Toc9631"/>
      <w:r>
        <w:rPr>
          <w:rFonts w:hint="eastAsia" w:ascii="Times New Roman" w:hAnsi="Times New Roman" w:eastAsiaTheme="minorEastAsia"/>
          <w:color w:val="000000" w:themeColor="text1"/>
          <w:sz w:val="30"/>
          <w:szCs w:val="30"/>
          <w:highlight w:val="none"/>
        </w:rPr>
        <w:t>供应商须知</w:t>
      </w:r>
      <w:bookmarkEnd w:id="29"/>
      <w:bookmarkEnd w:id="30"/>
    </w:p>
    <w:p w14:paraId="1AAE8FCD">
      <w:pPr>
        <w:pStyle w:val="2"/>
        <w:shd w:val="clear"/>
        <w:spacing w:before="0" w:after="0" w:line="360" w:lineRule="exact"/>
        <w:ind w:firstLine="0" w:firstLineChars="0"/>
        <w:jc w:val="left"/>
        <w:rPr>
          <w:rFonts w:ascii="Times New Roman" w:hAnsi="Times New Roman" w:eastAsiaTheme="minorEastAsia"/>
          <w:color w:val="000000" w:themeColor="text1"/>
          <w:sz w:val="21"/>
          <w:szCs w:val="21"/>
          <w:highlight w:val="none"/>
        </w:rPr>
      </w:pPr>
      <w:bookmarkStart w:id="31" w:name="_Toc29334"/>
      <w:bookmarkStart w:id="32" w:name="_Toc24027"/>
      <w:r>
        <w:rPr>
          <w:rFonts w:ascii="Times New Roman" w:hAnsi="Times New Roman" w:eastAsiaTheme="minorEastAsia"/>
          <w:color w:val="000000" w:themeColor="text1"/>
          <w:sz w:val="21"/>
          <w:szCs w:val="21"/>
          <w:highlight w:val="none"/>
        </w:rPr>
        <w:t>一、总则</w:t>
      </w:r>
      <w:bookmarkEnd w:id="31"/>
      <w:bookmarkEnd w:id="32"/>
    </w:p>
    <w:p w14:paraId="2F29DCDD">
      <w:pPr>
        <w:shd w:val="clear"/>
        <w:spacing w:line="360" w:lineRule="exact"/>
        <w:ind w:firstLine="0" w:firstLineChars="0"/>
        <w:rPr>
          <w:rFonts w:eastAsiaTheme="minorEastAsia"/>
          <w:b/>
          <w:color w:val="000000" w:themeColor="text1"/>
          <w:szCs w:val="21"/>
          <w:highlight w:val="none"/>
        </w:rPr>
      </w:pPr>
      <w:bookmarkStart w:id="33" w:name="_Toc512009286"/>
      <w:bookmarkStart w:id="34" w:name="_Toc511655698"/>
      <w:bookmarkStart w:id="35" w:name="_Toc389065146"/>
      <w:bookmarkStart w:id="36" w:name="_Toc520410573"/>
      <w:r>
        <w:rPr>
          <w:rFonts w:eastAsiaTheme="minorEastAsia"/>
          <w:b/>
          <w:color w:val="000000" w:themeColor="text1"/>
          <w:szCs w:val="21"/>
          <w:highlight w:val="none"/>
        </w:rPr>
        <w:t>1.1 项目概况</w:t>
      </w:r>
      <w:bookmarkEnd w:id="33"/>
      <w:bookmarkEnd w:id="34"/>
    </w:p>
    <w:p w14:paraId="6C1878F2">
      <w:pPr>
        <w:shd w:val="clear"/>
        <w:spacing w:line="360" w:lineRule="exact"/>
        <w:ind w:firstLine="420"/>
        <w:rPr>
          <w:rFonts w:eastAsiaTheme="minorEastAsia"/>
          <w:color w:val="000000" w:themeColor="text1"/>
          <w:szCs w:val="21"/>
          <w:highlight w:val="none"/>
        </w:rPr>
      </w:pPr>
      <w:r>
        <w:rPr>
          <w:rFonts w:eastAsiaTheme="minorEastAsia"/>
          <w:color w:val="000000" w:themeColor="text1"/>
          <w:szCs w:val="21"/>
          <w:highlight w:val="none"/>
        </w:rPr>
        <w:t>1.1.1本项目采购人：见“供应商须知前附表”。</w:t>
      </w:r>
    </w:p>
    <w:p w14:paraId="0D382E9E">
      <w:pPr>
        <w:shd w:val="clear"/>
        <w:spacing w:line="360" w:lineRule="exact"/>
        <w:ind w:firstLine="420"/>
        <w:rPr>
          <w:rFonts w:eastAsiaTheme="minorEastAsia"/>
          <w:color w:val="000000" w:themeColor="text1"/>
          <w:szCs w:val="21"/>
          <w:highlight w:val="none"/>
        </w:rPr>
      </w:pPr>
      <w:r>
        <w:rPr>
          <w:rFonts w:eastAsiaTheme="minorEastAsia"/>
          <w:color w:val="000000" w:themeColor="text1"/>
          <w:szCs w:val="21"/>
          <w:highlight w:val="none"/>
        </w:rPr>
        <w:t>1.1.2 本项目名称：见“供应商须知前附表”。</w:t>
      </w:r>
    </w:p>
    <w:p w14:paraId="0D48B6D2">
      <w:pPr>
        <w:shd w:val="clear"/>
        <w:spacing w:line="360" w:lineRule="exact"/>
        <w:ind w:firstLine="420"/>
        <w:rPr>
          <w:rFonts w:eastAsiaTheme="minorEastAsia"/>
          <w:color w:val="000000" w:themeColor="text1"/>
          <w:szCs w:val="21"/>
          <w:highlight w:val="none"/>
        </w:rPr>
      </w:pPr>
      <w:r>
        <w:rPr>
          <w:rFonts w:eastAsiaTheme="minorEastAsia"/>
          <w:color w:val="000000" w:themeColor="text1"/>
          <w:szCs w:val="21"/>
          <w:highlight w:val="none"/>
        </w:rPr>
        <w:t>1.1.3 本项目建设地点：见“供应商须知前附表”。</w:t>
      </w:r>
    </w:p>
    <w:p w14:paraId="40C0B4D9">
      <w:pPr>
        <w:shd w:val="clear"/>
        <w:spacing w:line="360" w:lineRule="exact"/>
        <w:ind w:firstLine="0" w:firstLineChars="0"/>
        <w:rPr>
          <w:rFonts w:eastAsiaTheme="minorEastAsia"/>
          <w:b/>
          <w:color w:val="000000" w:themeColor="text1"/>
          <w:szCs w:val="21"/>
          <w:highlight w:val="none"/>
        </w:rPr>
      </w:pPr>
      <w:bookmarkStart w:id="37" w:name="_Toc512009287"/>
      <w:bookmarkStart w:id="38" w:name="_Toc389065147"/>
      <w:bookmarkStart w:id="39" w:name="_Toc511655699"/>
      <w:r>
        <w:rPr>
          <w:rFonts w:eastAsiaTheme="minorEastAsia"/>
          <w:b/>
          <w:color w:val="000000" w:themeColor="text1"/>
          <w:szCs w:val="21"/>
          <w:highlight w:val="none"/>
        </w:rPr>
        <w:t>1.2 资金来源和落实情况</w:t>
      </w:r>
      <w:bookmarkEnd w:id="37"/>
      <w:bookmarkEnd w:id="38"/>
      <w:bookmarkEnd w:id="39"/>
    </w:p>
    <w:p w14:paraId="527DD93E">
      <w:pPr>
        <w:shd w:val="clear"/>
        <w:spacing w:line="360" w:lineRule="exact"/>
        <w:ind w:firstLine="420"/>
        <w:rPr>
          <w:rFonts w:eastAsiaTheme="minorEastAsia"/>
          <w:color w:val="000000" w:themeColor="text1"/>
          <w:szCs w:val="21"/>
          <w:highlight w:val="none"/>
        </w:rPr>
      </w:pPr>
      <w:r>
        <w:rPr>
          <w:rFonts w:eastAsiaTheme="minorEastAsia"/>
          <w:color w:val="000000" w:themeColor="text1"/>
          <w:szCs w:val="21"/>
          <w:highlight w:val="none"/>
        </w:rPr>
        <w:t>1.2.1 本项目的资金来源：见“供应商须知前附表”。</w:t>
      </w:r>
    </w:p>
    <w:p w14:paraId="0763C24C">
      <w:pPr>
        <w:shd w:val="clear"/>
        <w:spacing w:line="360" w:lineRule="exact"/>
        <w:ind w:firstLine="420"/>
        <w:rPr>
          <w:rFonts w:eastAsiaTheme="minorEastAsia"/>
          <w:color w:val="000000" w:themeColor="text1"/>
          <w:szCs w:val="21"/>
          <w:highlight w:val="none"/>
        </w:rPr>
      </w:pPr>
      <w:r>
        <w:rPr>
          <w:rFonts w:eastAsiaTheme="minorEastAsia"/>
          <w:color w:val="000000" w:themeColor="text1"/>
          <w:szCs w:val="21"/>
          <w:highlight w:val="none"/>
        </w:rPr>
        <w:t>1.2.2 本项目的出资比例：见“供应商须知前附表”。</w:t>
      </w:r>
    </w:p>
    <w:p w14:paraId="471986ED">
      <w:pPr>
        <w:shd w:val="clear"/>
        <w:spacing w:line="360" w:lineRule="exact"/>
        <w:ind w:firstLine="420"/>
        <w:rPr>
          <w:rFonts w:eastAsiaTheme="minorEastAsia"/>
          <w:color w:val="000000" w:themeColor="text1"/>
          <w:szCs w:val="21"/>
          <w:highlight w:val="none"/>
        </w:rPr>
      </w:pPr>
      <w:r>
        <w:rPr>
          <w:rFonts w:eastAsiaTheme="minorEastAsia"/>
          <w:color w:val="000000" w:themeColor="text1"/>
          <w:szCs w:val="21"/>
          <w:highlight w:val="none"/>
        </w:rPr>
        <w:t>1.2.3 本项目的资金落实情况：见“供应商须知前附表”；</w:t>
      </w:r>
    </w:p>
    <w:p w14:paraId="0E7B2430">
      <w:pPr>
        <w:shd w:val="clear"/>
        <w:spacing w:line="360" w:lineRule="exact"/>
        <w:ind w:firstLine="420"/>
        <w:rPr>
          <w:rFonts w:eastAsiaTheme="minorEastAsia"/>
          <w:color w:val="000000" w:themeColor="text1"/>
          <w:szCs w:val="21"/>
          <w:highlight w:val="none"/>
        </w:rPr>
      </w:pPr>
      <w:r>
        <w:rPr>
          <w:rFonts w:eastAsiaTheme="minorEastAsia"/>
          <w:color w:val="000000" w:themeColor="text1"/>
          <w:szCs w:val="21"/>
          <w:highlight w:val="none"/>
        </w:rPr>
        <w:t>1.2.4 本项目的工程款支付方式：见“供应商须知前附表”。</w:t>
      </w:r>
    </w:p>
    <w:p w14:paraId="7DDC79F9">
      <w:pPr>
        <w:shd w:val="clear"/>
        <w:spacing w:line="360" w:lineRule="exact"/>
        <w:ind w:firstLine="0" w:firstLineChars="0"/>
        <w:rPr>
          <w:rFonts w:eastAsiaTheme="minorEastAsia"/>
          <w:b/>
          <w:color w:val="000000" w:themeColor="text1"/>
          <w:szCs w:val="21"/>
          <w:highlight w:val="none"/>
        </w:rPr>
      </w:pPr>
      <w:bookmarkStart w:id="40" w:name="_Toc512009288"/>
      <w:bookmarkStart w:id="41" w:name="_Toc511655700"/>
      <w:r>
        <w:rPr>
          <w:rFonts w:eastAsiaTheme="minorEastAsia"/>
          <w:b/>
          <w:color w:val="000000" w:themeColor="text1"/>
          <w:szCs w:val="21"/>
          <w:highlight w:val="none"/>
        </w:rPr>
        <w:t>1.3 采购范围、计划工期和质量要求</w:t>
      </w:r>
      <w:bookmarkEnd w:id="40"/>
      <w:bookmarkEnd w:id="41"/>
    </w:p>
    <w:p w14:paraId="6D87D017">
      <w:pPr>
        <w:shd w:val="clear"/>
        <w:spacing w:line="360" w:lineRule="exact"/>
        <w:ind w:firstLine="420"/>
        <w:rPr>
          <w:rFonts w:eastAsiaTheme="minorEastAsia"/>
          <w:color w:val="000000" w:themeColor="text1"/>
          <w:szCs w:val="21"/>
          <w:highlight w:val="none"/>
        </w:rPr>
      </w:pPr>
      <w:r>
        <w:rPr>
          <w:rFonts w:eastAsiaTheme="minorEastAsia"/>
          <w:color w:val="000000" w:themeColor="text1"/>
          <w:szCs w:val="21"/>
          <w:highlight w:val="none"/>
        </w:rPr>
        <w:t>1.3.1 本项目采购范围：见“供应商须知前附表”。</w:t>
      </w:r>
    </w:p>
    <w:p w14:paraId="4476C733">
      <w:pPr>
        <w:shd w:val="clear"/>
        <w:spacing w:line="360" w:lineRule="exact"/>
        <w:ind w:firstLine="420"/>
        <w:rPr>
          <w:rFonts w:eastAsiaTheme="minorEastAsia"/>
          <w:color w:val="000000" w:themeColor="text1"/>
          <w:szCs w:val="21"/>
          <w:highlight w:val="none"/>
        </w:rPr>
      </w:pPr>
      <w:r>
        <w:rPr>
          <w:rFonts w:eastAsiaTheme="minorEastAsia"/>
          <w:color w:val="000000" w:themeColor="text1"/>
          <w:szCs w:val="21"/>
          <w:highlight w:val="none"/>
        </w:rPr>
        <w:t>1.3.2 本项目工期要求：见“供应商须知前附表”。</w:t>
      </w:r>
    </w:p>
    <w:p w14:paraId="5820B3CF">
      <w:pPr>
        <w:shd w:val="clear"/>
        <w:spacing w:line="360" w:lineRule="exact"/>
        <w:ind w:firstLine="420"/>
        <w:rPr>
          <w:rFonts w:eastAsiaTheme="minorEastAsia"/>
          <w:color w:val="000000" w:themeColor="text1"/>
          <w:szCs w:val="21"/>
          <w:highlight w:val="none"/>
        </w:rPr>
      </w:pPr>
      <w:r>
        <w:rPr>
          <w:rFonts w:eastAsiaTheme="minorEastAsia"/>
          <w:color w:val="000000" w:themeColor="text1"/>
          <w:szCs w:val="21"/>
          <w:highlight w:val="none"/>
        </w:rPr>
        <w:t>1.3.3 本项目质量要求：见“供应商须知前附表”。</w:t>
      </w:r>
    </w:p>
    <w:p w14:paraId="59B56A65">
      <w:pPr>
        <w:shd w:val="clear"/>
        <w:spacing w:line="360" w:lineRule="exact"/>
        <w:ind w:firstLine="0" w:firstLineChars="0"/>
        <w:rPr>
          <w:rFonts w:eastAsiaTheme="minorEastAsia"/>
          <w:b/>
          <w:color w:val="000000" w:themeColor="text1"/>
          <w:szCs w:val="21"/>
          <w:highlight w:val="none"/>
        </w:rPr>
      </w:pPr>
      <w:bookmarkStart w:id="42" w:name="_Toc512009289"/>
      <w:bookmarkStart w:id="43" w:name="_Toc511655701"/>
      <w:r>
        <w:rPr>
          <w:rFonts w:eastAsiaTheme="minorEastAsia"/>
          <w:b/>
          <w:color w:val="000000" w:themeColor="text1"/>
          <w:szCs w:val="21"/>
          <w:highlight w:val="none"/>
        </w:rPr>
        <w:t>1.4 供应商资格要求</w:t>
      </w:r>
      <w:bookmarkEnd w:id="42"/>
      <w:bookmarkEnd w:id="43"/>
    </w:p>
    <w:p w14:paraId="6F9F5D0B">
      <w:pPr>
        <w:shd w:val="clear"/>
        <w:spacing w:line="360" w:lineRule="exact"/>
        <w:ind w:firstLine="420"/>
        <w:rPr>
          <w:rFonts w:eastAsiaTheme="minorEastAsia"/>
          <w:color w:val="000000" w:themeColor="text1"/>
          <w:szCs w:val="21"/>
          <w:highlight w:val="none"/>
        </w:rPr>
      </w:pPr>
      <w:r>
        <w:rPr>
          <w:rFonts w:eastAsiaTheme="minorEastAsia"/>
          <w:color w:val="000000" w:themeColor="text1"/>
          <w:szCs w:val="21"/>
          <w:highlight w:val="none"/>
        </w:rPr>
        <w:t>1.4.1 供应商应具备承担本项目施工的资格要求，见谈判公告。</w:t>
      </w:r>
    </w:p>
    <w:p w14:paraId="12FEFC4B">
      <w:pPr>
        <w:shd w:val="clear"/>
        <w:spacing w:line="360" w:lineRule="exact"/>
        <w:ind w:firstLine="420"/>
        <w:rPr>
          <w:rFonts w:eastAsiaTheme="minorEastAsia"/>
          <w:color w:val="000000" w:themeColor="text1"/>
          <w:szCs w:val="21"/>
          <w:highlight w:val="none"/>
        </w:rPr>
      </w:pPr>
      <w:r>
        <w:rPr>
          <w:rFonts w:eastAsiaTheme="minorEastAsia"/>
          <w:color w:val="000000" w:themeColor="text1"/>
          <w:szCs w:val="21"/>
          <w:highlight w:val="none"/>
        </w:rPr>
        <w:t>1.4.2 “供应商须知前附表”规定接受联合体参与谈判的，除应符合本章第1.4.1项和“供应商须知前附表”的要求外，还应遵守以下规定：</w:t>
      </w:r>
    </w:p>
    <w:p w14:paraId="7A067596">
      <w:pPr>
        <w:shd w:val="clear"/>
        <w:spacing w:line="360" w:lineRule="exact"/>
        <w:ind w:firstLine="420"/>
        <w:rPr>
          <w:rFonts w:eastAsiaTheme="minorEastAsia"/>
          <w:color w:val="000000" w:themeColor="text1"/>
          <w:szCs w:val="21"/>
          <w:highlight w:val="none"/>
        </w:rPr>
      </w:pPr>
      <w:r>
        <w:rPr>
          <w:rFonts w:eastAsiaTheme="minorEastAsia"/>
          <w:color w:val="000000" w:themeColor="text1"/>
          <w:szCs w:val="21"/>
          <w:highlight w:val="none"/>
        </w:rPr>
        <w:t>（1）联合体各方应按谈判文件提供的格式签订联合体协议书，明确联合体牵头人和各方权利义务；</w:t>
      </w:r>
    </w:p>
    <w:p w14:paraId="12D84787">
      <w:pPr>
        <w:shd w:val="clear"/>
        <w:spacing w:line="360" w:lineRule="exact"/>
        <w:ind w:firstLine="420"/>
        <w:rPr>
          <w:rFonts w:eastAsiaTheme="minorEastAsia"/>
          <w:color w:val="000000" w:themeColor="text1"/>
          <w:szCs w:val="21"/>
          <w:highlight w:val="none"/>
        </w:rPr>
      </w:pPr>
      <w:r>
        <w:rPr>
          <w:rFonts w:eastAsiaTheme="minorEastAsia"/>
          <w:color w:val="000000" w:themeColor="text1"/>
          <w:szCs w:val="21"/>
          <w:highlight w:val="none"/>
        </w:rPr>
        <w:t>（2）联合体各成员单位应当具备与联合体协议中约定的分工相适应的资质和能力；</w:t>
      </w:r>
    </w:p>
    <w:p w14:paraId="0B3AEB23">
      <w:pPr>
        <w:shd w:val="clear"/>
        <w:spacing w:line="360" w:lineRule="exact"/>
        <w:ind w:firstLine="420"/>
        <w:rPr>
          <w:rFonts w:eastAsiaTheme="minorEastAsia"/>
          <w:color w:val="000000" w:themeColor="text1"/>
          <w:szCs w:val="21"/>
          <w:highlight w:val="none"/>
        </w:rPr>
      </w:pPr>
      <w:r>
        <w:rPr>
          <w:rFonts w:eastAsiaTheme="minorEastAsia"/>
          <w:color w:val="000000" w:themeColor="text1"/>
          <w:szCs w:val="21"/>
          <w:highlight w:val="none"/>
        </w:rPr>
        <w:t>（3）联合体各方不得再以自己名义单独或参加其他联合体参与同一采购项目谈判活动；</w:t>
      </w:r>
    </w:p>
    <w:p w14:paraId="2765DCB0">
      <w:pPr>
        <w:shd w:val="clear"/>
        <w:spacing w:line="360" w:lineRule="exact"/>
        <w:ind w:firstLine="420"/>
        <w:rPr>
          <w:rFonts w:eastAsiaTheme="minorEastAsia"/>
          <w:color w:val="000000" w:themeColor="text1"/>
          <w:szCs w:val="21"/>
          <w:highlight w:val="none"/>
        </w:rPr>
      </w:pPr>
      <w:r>
        <w:rPr>
          <w:rFonts w:eastAsiaTheme="minorEastAsia"/>
          <w:color w:val="000000" w:themeColor="text1"/>
          <w:szCs w:val="21"/>
          <w:highlight w:val="none"/>
        </w:rPr>
        <w:t>（4）联合体各方必须指定牵头人，授权其代表所有联合体成员负责参与谈判和合同实施阶段的主办、协调工作，并应当向采购人提交由所有联合体成员法定代表人签署的授权书；</w:t>
      </w:r>
    </w:p>
    <w:p w14:paraId="27123CB4">
      <w:pPr>
        <w:shd w:val="clear"/>
        <w:spacing w:line="360" w:lineRule="exact"/>
        <w:ind w:firstLine="420"/>
        <w:rPr>
          <w:rFonts w:eastAsiaTheme="minorEastAsia"/>
          <w:color w:val="000000" w:themeColor="text1"/>
          <w:szCs w:val="21"/>
          <w:highlight w:val="none"/>
        </w:rPr>
      </w:pPr>
      <w:r>
        <w:rPr>
          <w:rFonts w:eastAsiaTheme="minorEastAsia"/>
          <w:color w:val="000000" w:themeColor="text1"/>
          <w:szCs w:val="21"/>
          <w:highlight w:val="none"/>
        </w:rPr>
        <w:t>（5）采购人要求供应商提交谈判保证担保的，应当以联合体各方或者联合体中牵头人的名义提交谈判保证担保。以联合体中牵头人名义提交的谈判保证担保，对联合体各成员具有约束力。</w:t>
      </w:r>
    </w:p>
    <w:p w14:paraId="4A776EFC">
      <w:pPr>
        <w:shd w:val="clear"/>
        <w:spacing w:line="360" w:lineRule="exact"/>
        <w:ind w:firstLine="420"/>
        <w:rPr>
          <w:rFonts w:eastAsiaTheme="minorEastAsia"/>
          <w:color w:val="000000" w:themeColor="text1"/>
          <w:szCs w:val="21"/>
          <w:highlight w:val="none"/>
        </w:rPr>
      </w:pPr>
      <w:r>
        <w:rPr>
          <w:rFonts w:eastAsiaTheme="minorEastAsia"/>
          <w:color w:val="000000" w:themeColor="text1"/>
          <w:szCs w:val="21"/>
          <w:highlight w:val="none"/>
        </w:rPr>
        <w:t>1.4.3 供应商不得存在下列情形之一：</w:t>
      </w:r>
    </w:p>
    <w:bookmarkEnd w:id="35"/>
    <w:bookmarkEnd w:id="36"/>
    <w:p w14:paraId="727B88E7">
      <w:pPr>
        <w:spacing w:line="360" w:lineRule="exact"/>
        <w:ind w:firstLine="420"/>
        <w:rPr>
          <w:rFonts w:eastAsiaTheme="minorEastAsia"/>
          <w:color w:val="000000" w:themeColor="text1"/>
          <w:szCs w:val="21"/>
          <w:highlight w:val="none"/>
        </w:rPr>
      </w:pPr>
      <w:bookmarkStart w:id="44" w:name="_Toc520410576"/>
      <w:bookmarkStart w:id="45" w:name="_Toc389065150"/>
      <w:r>
        <w:rPr>
          <w:rFonts w:eastAsiaTheme="minorEastAsia"/>
          <w:color w:val="000000" w:themeColor="text1"/>
          <w:szCs w:val="21"/>
          <w:highlight w:val="none"/>
        </w:rPr>
        <w:t>（1）为采购人不具有独立法人资格的附属机构（单位）；</w:t>
      </w:r>
    </w:p>
    <w:p w14:paraId="0F9A2B84">
      <w:pPr>
        <w:spacing w:line="360" w:lineRule="exact"/>
        <w:ind w:firstLine="420"/>
        <w:rPr>
          <w:rFonts w:eastAsiaTheme="minorEastAsia"/>
          <w:color w:val="000000" w:themeColor="text1"/>
          <w:szCs w:val="21"/>
          <w:highlight w:val="none"/>
        </w:rPr>
      </w:pPr>
      <w:r>
        <w:rPr>
          <w:rFonts w:eastAsiaTheme="minorEastAsia"/>
          <w:color w:val="000000" w:themeColor="text1"/>
          <w:szCs w:val="21"/>
          <w:highlight w:val="none"/>
        </w:rPr>
        <w:t>（2）为本项目的监理人、代建人、项目管理人，以及为本项目提供采购代理、设计服务的；</w:t>
      </w:r>
    </w:p>
    <w:p w14:paraId="3D685250">
      <w:pPr>
        <w:spacing w:line="360" w:lineRule="exact"/>
        <w:ind w:firstLine="420"/>
        <w:rPr>
          <w:rFonts w:eastAsiaTheme="minorEastAsia"/>
          <w:color w:val="000000" w:themeColor="text1"/>
          <w:szCs w:val="21"/>
          <w:highlight w:val="none"/>
        </w:rPr>
      </w:pPr>
      <w:r>
        <w:rPr>
          <w:rFonts w:eastAsiaTheme="minorEastAsia"/>
          <w:color w:val="000000" w:themeColor="text1"/>
          <w:szCs w:val="21"/>
          <w:highlight w:val="none"/>
        </w:rPr>
        <w:t>（3）与本项目的监理人、代建人、采购代理机构同为一个法定代表人的，或者相互控股、参股的；</w:t>
      </w:r>
    </w:p>
    <w:p w14:paraId="6C650930">
      <w:pPr>
        <w:spacing w:line="360" w:lineRule="exact"/>
        <w:ind w:firstLine="420"/>
        <w:rPr>
          <w:rFonts w:eastAsiaTheme="minorEastAsia"/>
          <w:color w:val="000000" w:themeColor="text1"/>
          <w:szCs w:val="21"/>
          <w:highlight w:val="none"/>
        </w:rPr>
      </w:pPr>
      <w:r>
        <w:rPr>
          <w:rFonts w:eastAsiaTheme="minorEastAsia"/>
          <w:color w:val="000000" w:themeColor="text1"/>
          <w:szCs w:val="21"/>
          <w:highlight w:val="none"/>
        </w:rPr>
        <w:t>（4）与采购人存在利害关系可能影响采购公正性的；</w:t>
      </w:r>
    </w:p>
    <w:p w14:paraId="6161802E">
      <w:pPr>
        <w:spacing w:line="360" w:lineRule="exact"/>
        <w:ind w:firstLine="420"/>
        <w:rPr>
          <w:rFonts w:eastAsiaTheme="minorEastAsia"/>
          <w:color w:val="000000" w:themeColor="text1"/>
          <w:szCs w:val="21"/>
          <w:highlight w:val="none"/>
        </w:rPr>
      </w:pPr>
      <w:r>
        <w:rPr>
          <w:rFonts w:eastAsiaTheme="minorEastAsia"/>
          <w:color w:val="000000" w:themeColor="text1"/>
          <w:szCs w:val="21"/>
          <w:highlight w:val="none"/>
        </w:rPr>
        <w:t>（5）单位负责人为同一人或者存在控股、管理关系的不同单位；</w:t>
      </w:r>
    </w:p>
    <w:p w14:paraId="20FD527B">
      <w:pPr>
        <w:spacing w:line="360" w:lineRule="exact"/>
        <w:ind w:firstLine="420"/>
        <w:rPr>
          <w:rFonts w:hint="eastAsia" w:eastAsiaTheme="minorEastAsia"/>
          <w:color w:val="000000" w:themeColor="text1"/>
          <w:szCs w:val="21"/>
          <w:highlight w:val="none"/>
          <w:lang w:eastAsia="zh-CN"/>
        </w:rPr>
      </w:pPr>
      <w:r>
        <w:rPr>
          <w:rFonts w:eastAsiaTheme="minorEastAsia"/>
          <w:color w:val="000000" w:themeColor="text1"/>
          <w:szCs w:val="21"/>
          <w:highlight w:val="none"/>
        </w:rPr>
        <w:t>（6）</w:t>
      </w:r>
      <w:r>
        <w:rPr>
          <w:rFonts w:hint="eastAsia" w:eastAsiaTheme="minorEastAsia"/>
          <w:color w:val="000000" w:themeColor="text1"/>
          <w:szCs w:val="21"/>
          <w:highlight w:val="none"/>
        </w:rPr>
        <w:t>存在同一人直接关联任职股东或高管（董事长、总经理、董事、监事）的</w:t>
      </w:r>
      <w:r>
        <w:rPr>
          <w:rFonts w:hint="eastAsia" w:eastAsiaTheme="minorEastAsia"/>
          <w:color w:val="000000" w:themeColor="text1"/>
          <w:szCs w:val="21"/>
          <w:highlight w:val="none"/>
          <w:lang w:eastAsia="zh-CN"/>
        </w:rPr>
        <w:t>；</w:t>
      </w:r>
    </w:p>
    <w:p w14:paraId="53239F79">
      <w:pPr>
        <w:spacing w:line="360" w:lineRule="exact"/>
        <w:ind w:firstLine="420"/>
        <w:rPr>
          <w:rFonts w:hint="eastAsia" w:eastAsiaTheme="minorEastAsia"/>
          <w:color w:val="000000" w:themeColor="text1"/>
          <w:szCs w:val="21"/>
          <w:highlight w:val="none"/>
        </w:rPr>
      </w:pPr>
      <w:r>
        <w:rPr>
          <w:rFonts w:eastAsiaTheme="minorEastAsia"/>
          <w:color w:val="000000" w:themeColor="text1"/>
          <w:szCs w:val="21"/>
          <w:highlight w:val="none"/>
        </w:rPr>
        <w:t>（</w:t>
      </w:r>
      <w:r>
        <w:rPr>
          <w:rFonts w:hint="eastAsia" w:eastAsiaTheme="minorEastAsia"/>
          <w:color w:val="000000" w:themeColor="text1"/>
          <w:szCs w:val="21"/>
          <w:highlight w:val="none"/>
          <w:lang w:val="en-US" w:eastAsia="zh-CN"/>
        </w:rPr>
        <w:t>7</w:t>
      </w:r>
      <w:r>
        <w:rPr>
          <w:rFonts w:eastAsiaTheme="minorEastAsia"/>
          <w:color w:val="000000" w:themeColor="text1"/>
          <w:szCs w:val="21"/>
          <w:highlight w:val="none"/>
        </w:rPr>
        <w:t>）</w:t>
      </w:r>
      <w:r>
        <w:rPr>
          <w:rFonts w:hint="eastAsia" w:eastAsiaTheme="minorEastAsia"/>
          <w:color w:val="000000" w:themeColor="text1"/>
          <w:szCs w:val="21"/>
          <w:highlight w:val="none"/>
        </w:rPr>
        <w:t>处于被责令停业，财产被接管，破产状态，以及投标（供应商）资格被取消或者被暂停且在暂停期内；</w:t>
      </w:r>
    </w:p>
    <w:p w14:paraId="4F496F16">
      <w:pPr>
        <w:spacing w:line="360" w:lineRule="exact"/>
        <w:ind w:firstLine="420"/>
        <w:rPr>
          <w:rFonts w:eastAsiaTheme="minorEastAsia"/>
          <w:color w:val="000000" w:themeColor="text1"/>
          <w:szCs w:val="21"/>
          <w:highlight w:val="none"/>
        </w:rPr>
      </w:pPr>
      <w:r>
        <w:rPr>
          <w:rFonts w:hint="eastAsia" w:eastAsiaTheme="minorEastAsia"/>
          <w:color w:val="000000" w:themeColor="text1"/>
          <w:szCs w:val="21"/>
          <w:highlight w:val="none"/>
        </w:rPr>
        <w:t>（</w:t>
      </w:r>
      <w:r>
        <w:rPr>
          <w:rFonts w:hint="eastAsia" w:eastAsiaTheme="minorEastAsia"/>
          <w:color w:val="000000" w:themeColor="text1"/>
          <w:szCs w:val="21"/>
          <w:highlight w:val="none"/>
          <w:lang w:val="en-US" w:eastAsia="zh-CN"/>
        </w:rPr>
        <w:t>8</w:t>
      </w:r>
      <w:r>
        <w:rPr>
          <w:rFonts w:hint="eastAsia" w:eastAsiaTheme="minorEastAsia"/>
          <w:color w:val="000000" w:themeColor="text1"/>
          <w:szCs w:val="21"/>
          <w:highlight w:val="none"/>
        </w:rPr>
        <w:t>）处于财产被冻结，导致不具备履行本次谈判项目能力的</w:t>
      </w:r>
      <w:r>
        <w:rPr>
          <w:rFonts w:hint="eastAsia" w:eastAsiaTheme="minorEastAsia"/>
          <w:color w:val="000000" w:themeColor="text1"/>
          <w:szCs w:val="21"/>
          <w:highlight w:val="none"/>
          <w:lang w:eastAsia="zh-CN"/>
        </w:rPr>
        <w:t>；</w:t>
      </w:r>
    </w:p>
    <w:p w14:paraId="03B12DA3">
      <w:pPr>
        <w:pStyle w:val="18"/>
        <w:spacing w:after="0" w:line="360" w:lineRule="exact"/>
        <w:ind w:firstLine="420"/>
        <w:jc w:val="left"/>
        <w:rPr>
          <w:rFonts w:hint="eastAsia" w:eastAsiaTheme="minorEastAsia"/>
          <w:color w:val="000000" w:themeColor="text1"/>
          <w:szCs w:val="21"/>
          <w:highlight w:val="none"/>
          <w:lang w:eastAsia="zh-CN"/>
        </w:rPr>
      </w:pPr>
      <w:r>
        <w:rPr>
          <w:rFonts w:eastAsiaTheme="minorEastAsia"/>
          <w:color w:val="000000" w:themeColor="text1"/>
          <w:szCs w:val="21"/>
          <w:highlight w:val="none"/>
        </w:rPr>
        <w:t>（</w:t>
      </w:r>
      <w:r>
        <w:rPr>
          <w:rFonts w:hint="eastAsia" w:eastAsiaTheme="minorEastAsia"/>
          <w:color w:val="000000" w:themeColor="text1"/>
          <w:szCs w:val="21"/>
          <w:highlight w:val="none"/>
          <w:lang w:val="en-US" w:eastAsia="zh-CN"/>
        </w:rPr>
        <w:t>9</w:t>
      </w:r>
      <w:r>
        <w:rPr>
          <w:rFonts w:eastAsiaTheme="minorEastAsia"/>
          <w:color w:val="000000" w:themeColor="text1"/>
          <w:szCs w:val="21"/>
          <w:highlight w:val="none"/>
        </w:rPr>
        <w:t>）因拖欠工人工资或者发生质量安全事故被有关部门限制在采购项目所在地承接工程的</w:t>
      </w:r>
      <w:r>
        <w:rPr>
          <w:rFonts w:hint="eastAsia" w:eastAsiaTheme="minorEastAsia"/>
          <w:color w:val="000000" w:themeColor="text1"/>
          <w:szCs w:val="21"/>
          <w:highlight w:val="none"/>
          <w:lang w:eastAsia="zh-CN"/>
        </w:rPr>
        <w:t>；</w:t>
      </w:r>
    </w:p>
    <w:p w14:paraId="05896AB1">
      <w:pPr>
        <w:pStyle w:val="18"/>
        <w:shd w:val="clear"/>
        <w:spacing w:after="0" w:line="360" w:lineRule="exact"/>
        <w:ind w:firstLine="420"/>
        <w:jc w:val="left"/>
        <w:rPr>
          <w:rFonts w:hint="eastAsia" w:ascii="Times New Roman" w:hAnsi="Times New Roman" w:eastAsiaTheme="minorEastAsia"/>
          <w:b/>
          <w:bCs/>
          <w:color w:val="000000" w:themeColor="text1"/>
          <w:szCs w:val="21"/>
          <w:highlight w:val="none"/>
        </w:rPr>
      </w:pPr>
      <w:r>
        <w:rPr>
          <w:rFonts w:hint="eastAsia" w:eastAsiaTheme="minorEastAsia"/>
          <w:color w:val="000000" w:themeColor="text1"/>
          <w:szCs w:val="21"/>
          <w:highlight w:val="none"/>
        </w:rPr>
        <w:t>（</w:t>
      </w:r>
      <w:r>
        <w:rPr>
          <w:rFonts w:hint="eastAsia" w:eastAsiaTheme="minorEastAsia"/>
          <w:color w:val="000000" w:themeColor="text1"/>
          <w:szCs w:val="21"/>
          <w:highlight w:val="none"/>
          <w:lang w:val="en-US" w:eastAsia="zh-CN"/>
        </w:rPr>
        <w:t>10</w:t>
      </w:r>
      <w:r>
        <w:rPr>
          <w:rFonts w:hint="eastAsia" w:eastAsiaTheme="minorEastAsia"/>
          <w:color w:val="000000" w:themeColor="text1"/>
          <w:szCs w:val="21"/>
          <w:highlight w:val="none"/>
        </w:rPr>
        <w:t>）法定代表人及拟投入项目负责人近5年有行贿行为的。</w:t>
      </w:r>
    </w:p>
    <w:p w14:paraId="034C8ADC">
      <w:pPr>
        <w:spacing w:line="360" w:lineRule="exact"/>
        <w:ind w:firstLine="420"/>
        <w:rPr>
          <w:rFonts w:eastAsiaTheme="minorEastAsia"/>
          <w:color w:val="000000" w:themeColor="text1"/>
          <w:szCs w:val="21"/>
          <w:highlight w:val="none"/>
        </w:rPr>
      </w:pPr>
      <w:r>
        <w:rPr>
          <w:rFonts w:hint="eastAsia" w:ascii="Times New Roman" w:hAnsi="Times New Roman" w:eastAsiaTheme="minorEastAsia"/>
          <w:b w:val="0"/>
          <w:bCs w:val="0"/>
          <w:color w:val="000000" w:themeColor="text1"/>
          <w:szCs w:val="21"/>
          <w:highlight w:val="none"/>
        </w:rPr>
        <w:t>（</w:t>
      </w:r>
      <w:r>
        <w:rPr>
          <w:rFonts w:hint="eastAsia" w:eastAsiaTheme="minorEastAsia"/>
          <w:b w:val="0"/>
          <w:bCs w:val="0"/>
          <w:color w:val="000000" w:themeColor="text1"/>
          <w:szCs w:val="21"/>
          <w:highlight w:val="none"/>
          <w:lang w:val="en-US" w:eastAsia="zh-CN"/>
        </w:rPr>
        <w:t>11</w:t>
      </w:r>
      <w:r>
        <w:rPr>
          <w:rFonts w:hint="eastAsia" w:ascii="Times New Roman" w:hAnsi="Times New Roman" w:eastAsiaTheme="minorEastAsia"/>
          <w:b w:val="0"/>
          <w:bCs w:val="0"/>
          <w:color w:val="000000" w:themeColor="text1"/>
          <w:szCs w:val="21"/>
          <w:highlight w:val="none"/>
        </w:rPr>
        <w:t>）供应商存在无正当理由放弃谈判/磋商、成交资格、不应当存在的情形或者其他违法违规行为造成采购人重新采购的。</w:t>
      </w:r>
    </w:p>
    <w:p w14:paraId="49413947">
      <w:pPr>
        <w:shd w:val="clear"/>
        <w:spacing w:line="360" w:lineRule="exact"/>
        <w:ind w:firstLine="0" w:firstLineChars="0"/>
        <w:jc w:val="left"/>
        <w:rPr>
          <w:rFonts w:eastAsiaTheme="minorEastAsia"/>
          <w:b/>
          <w:bCs/>
          <w:color w:val="000000" w:themeColor="text1"/>
          <w:szCs w:val="21"/>
          <w:highlight w:val="none"/>
        </w:rPr>
      </w:pPr>
      <w:r>
        <w:rPr>
          <w:rFonts w:eastAsiaTheme="minorEastAsia"/>
          <w:b/>
          <w:bCs/>
          <w:color w:val="000000" w:themeColor="text1"/>
          <w:szCs w:val="21"/>
          <w:highlight w:val="none"/>
        </w:rPr>
        <w:t>1.5费用承担</w:t>
      </w:r>
      <w:bookmarkEnd w:id="44"/>
      <w:bookmarkEnd w:id="45"/>
    </w:p>
    <w:p w14:paraId="77EACD43">
      <w:pPr>
        <w:shd w:val="clear"/>
        <w:spacing w:line="360" w:lineRule="exact"/>
        <w:ind w:firstLine="420"/>
        <w:jc w:val="left"/>
        <w:rPr>
          <w:rFonts w:eastAsiaTheme="minorEastAsia"/>
          <w:color w:val="000000" w:themeColor="text1"/>
          <w:szCs w:val="21"/>
          <w:highlight w:val="none"/>
        </w:rPr>
      </w:pPr>
      <w:r>
        <w:rPr>
          <w:rFonts w:eastAsiaTheme="minorEastAsia"/>
          <w:color w:val="000000" w:themeColor="text1"/>
          <w:szCs w:val="21"/>
          <w:highlight w:val="none"/>
        </w:rPr>
        <w:t>供应商应承担其编制响应文件以及递交响应文件过程中所涉及的一切费用，无论谈判结果如何，采购人对上述费用不负任何责任。</w:t>
      </w:r>
    </w:p>
    <w:p w14:paraId="0B5D9C63">
      <w:pPr>
        <w:shd w:val="clear"/>
        <w:spacing w:line="360" w:lineRule="exact"/>
        <w:ind w:firstLine="0" w:firstLineChars="0"/>
        <w:jc w:val="left"/>
        <w:rPr>
          <w:rFonts w:eastAsiaTheme="minorEastAsia"/>
          <w:b/>
          <w:bCs/>
          <w:color w:val="000000" w:themeColor="text1"/>
          <w:szCs w:val="21"/>
          <w:highlight w:val="none"/>
        </w:rPr>
      </w:pPr>
      <w:bookmarkStart w:id="46" w:name="_Toc389065151"/>
      <w:bookmarkStart w:id="47" w:name="_Toc520410577"/>
      <w:r>
        <w:rPr>
          <w:rFonts w:eastAsiaTheme="minorEastAsia"/>
          <w:b/>
          <w:bCs/>
          <w:color w:val="000000" w:themeColor="text1"/>
          <w:szCs w:val="21"/>
          <w:highlight w:val="none"/>
        </w:rPr>
        <w:t>1.6保密</w:t>
      </w:r>
      <w:bookmarkEnd w:id="46"/>
      <w:bookmarkEnd w:id="47"/>
    </w:p>
    <w:p w14:paraId="32082FCC">
      <w:pPr>
        <w:shd w:val="clear"/>
        <w:spacing w:line="360" w:lineRule="exact"/>
        <w:ind w:firstLine="420"/>
        <w:jc w:val="left"/>
        <w:rPr>
          <w:rFonts w:eastAsiaTheme="minorEastAsia"/>
          <w:color w:val="000000" w:themeColor="text1"/>
          <w:szCs w:val="21"/>
          <w:highlight w:val="none"/>
        </w:rPr>
      </w:pPr>
      <w:r>
        <w:rPr>
          <w:rFonts w:eastAsiaTheme="minorEastAsia"/>
          <w:color w:val="000000" w:themeColor="text1"/>
          <w:szCs w:val="21"/>
          <w:highlight w:val="none"/>
        </w:rPr>
        <w:t>供应商对接收到的一切与本次谈判工作有关的电子及纸质资料包括但不限于谈判文件、报价清单、图纸、答疑等，负有保密责任，不得随意传播，对于由此产生的各种责任由供应商承担，给采购人造成损失的由供应商负责赔偿。</w:t>
      </w:r>
    </w:p>
    <w:p w14:paraId="420667FC">
      <w:pPr>
        <w:shd w:val="clear"/>
        <w:spacing w:line="360" w:lineRule="exact"/>
        <w:ind w:firstLine="0" w:firstLineChars="0"/>
        <w:jc w:val="left"/>
        <w:rPr>
          <w:rFonts w:eastAsiaTheme="minorEastAsia"/>
          <w:b/>
          <w:bCs/>
          <w:color w:val="000000" w:themeColor="text1"/>
          <w:szCs w:val="21"/>
          <w:highlight w:val="none"/>
        </w:rPr>
      </w:pPr>
      <w:bookmarkStart w:id="48" w:name="_Toc389065152"/>
      <w:bookmarkStart w:id="49" w:name="_Toc520410578"/>
      <w:r>
        <w:rPr>
          <w:rFonts w:eastAsiaTheme="minorEastAsia"/>
          <w:b/>
          <w:bCs/>
          <w:color w:val="000000" w:themeColor="text1"/>
          <w:szCs w:val="21"/>
          <w:highlight w:val="none"/>
        </w:rPr>
        <w:t>1.7语言文字</w:t>
      </w:r>
      <w:bookmarkEnd w:id="48"/>
      <w:bookmarkEnd w:id="49"/>
    </w:p>
    <w:p w14:paraId="528B898F">
      <w:pPr>
        <w:shd w:val="clear"/>
        <w:spacing w:line="360" w:lineRule="exact"/>
        <w:ind w:firstLine="420"/>
        <w:jc w:val="left"/>
        <w:rPr>
          <w:rFonts w:eastAsiaTheme="minorEastAsia"/>
          <w:color w:val="000000" w:themeColor="text1"/>
          <w:szCs w:val="21"/>
          <w:highlight w:val="none"/>
        </w:rPr>
      </w:pPr>
      <w:r>
        <w:rPr>
          <w:rFonts w:eastAsiaTheme="minorEastAsia"/>
          <w:color w:val="000000" w:themeColor="text1"/>
          <w:szCs w:val="21"/>
          <w:highlight w:val="none"/>
        </w:rPr>
        <w:t>除专用术语外，与谈判有关的语言均使用中文，必要时专用术语应附有中文注释。</w:t>
      </w:r>
    </w:p>
    <w:p w14:paraId="33FD4E58">
      <w:pPr>
        <w:shd w:val="clear"/>
        <w:spacing w:line="360" w:lineRule="exact"/>
        <w:ind w:firstLine="0" w:firstLineChars="0"/>
        <w:jc w:val="left"/>
        <w:rPr>
          <w:rFonts w:eastAsiaTheme="minorEastAsia"/>
          <w:b/>
          <w:bCs/>
          <w:color w:val="000000" w:themeColor="text1"/>
          <w:szCs w:val="21"/>
          <w:highlight w:val="none"/>
        </w:rPr>
      </w:pPr>
      <w:bookmarkStart w:id="50" w:name="_Toc520410579"/>
      <w:bookmarkStart w:id="51" w:name="_Toc389065153"/>
      <w:r>
        <w:rPr>
          <w:rFonts w:eastAsiaTheme="minorEastAsia"/>
          <w:b/>
          <w:bCs/>
          <w:color w:val="000000" w:themeColor="text1"/>
          <w:szCs w:val="21"/>
          <w:highlight w:val="none"/>
        </w:rPr>
        <w:t>1.8计量单位</w:t>
      </w:r>
      <w:bookmarkEnd w:id="50"/>
      <w:bookmarkEnd w:id="51"/>
    </w:p>
    <w:p w14:paraId="7FB381AE">
      <w:pPr>
        <w:shd w:val="clear"/>
        <w:spacing w:line="360" w:lineRule="exact"/>
        <w:ind w:firstLine="420"/>
        <w:jc w:val="left"/>
        <w:rPr>
          <w:rFonts w:eastAsiaTheme="minorEastAsia"/>
          <w:color w:val="000000" w:themeColor="text1"/>
          <w:szCs w:val="21"/>
          <w:highlight w:val="none"/>
        </w:rPr>
      </w:pPr>
      <w:r>
        <w:rPr>
          <w:rFonts w:eastAsiaTheme="minorEastAsia"/>
          <w:color w:val="000000" w:themeColor="text1"/>
          <w:szCs w:val="21"/>
          <w:highlight w:val="none"/>
        </w:rPr>
        <w:t>所有计量均采用中华人民共和国法定计量单位。</w:t>
      </w:r>
    </w:p>
    <w:p w14:paraId="582ACC60">
      <w:pPr>
        <w:shd w:val="clear"/>
        <w:spacing w:line="360" w:lineRule="exact"/>
        <w:ind w:firstLine="0" w:firstLineChars="0"/>
        <w:jc w:val="left"/>
        <w:rPr>
          <w:rFonts w:eastAsiaTheme="minorEastAsia"/>
          <w:b/>
          <w:bCs/>
          <w:color w:val="000000" w:themeColor="text1"/>
          <w:szCs w:val="21"/>
          <w:highlight w:val="none"/>
        </w:rPr>
      </w:pPr>
      <w:bookmarkStart w:id="52" w:name="_Toc520410580"/>
      <w:bookmarkStart w:id="53" w:name="_Toc389065154"/>
      <w:r>
        <w:rPr>
          <w:rFonts w:eastAsiaTheme="minorEastAsia"/>
          <w:b/>
          <w:bCs/>
          <w:color w:val="000000" w:themeColor="text1"/>
          <w:szCs w:val="21"/>
          <w:highlight w:val="none"/>
        </w:rPr>
        <w:t>1.9踏勘现场</w:t>
      </w:r>
      <w:bookmarkEnd w:id="52"/>
      <w:bookmarkEnd w:id="53"/>
    </w:p>
    <w:p w14:paraId="438782D2">
      <w:pPr>
        <w:shd w:val="clear"/>
        <w:spacing w:line="360" w:lineRule="exact"/>
        <w:ind w:firstLine="420"/>
        <w:jc w:val="left"/>
        <w:rPr>
          <w:rFonts w:eastAsiaTheme="minorEastAsia"/>
          <w:color w:val="000000" w:themeColor="text1"/>
          <w:szCs w:val="21"/>
          <w:highlight w:val="none"/>
        </w:rPr>
      </w:pPr>
      <w:r>
        <w:rPr>
          <w:rFonts w:eastAsiaTheme="minorEastAsia"/>
          <w:color w:val="000000" w:themeColor="text1"/>
          <w:szCs w:val="21"/>
          <w:highlight w:val="none"/>
        </w:rPr>
        <w:t>1.9.1供应商根据需要自行踏勘项目现场。</w:t>
      </w:r>
    </w:p>
    <w:p w14:paraId="15CB3405">
      <w:pPr>
        <w:shd w:val="clear"/>
        <w:spacing w:line="360" w:lineRule="exact"/>
        <w:ind w:firstLine="420"/>
        <w:jc w:val="left"/>
        <w:rPr>
          <w:rFonts w:eastAsiaTheme="minorEastAsia"/>
          <w:color w:val="000000" w:themeColor="text1"/>
          <w:szCs w:val="21"/>
          <w:highlight w:val="none"/>
        </w:rPr>
      </w:pPr>
      <w:r>
        <w:rPr>
          <w:rFonts w:eastAsiaTheme="minorEastAsia"/>
          <w:color w:val="000000" w:themeColor="text1"/>
          <w:szCs w:val="21"/>
          <w:highlight w:val="none"/>
        </w:rPr>
        <w:t>1.9.2 供应商踏勘现场发生的费用自理。</w:t>
      </w:r>
    </w:p>
    <w:p w14:paraId="0FCB5793">
      <w:pPr>
        <w:shd w:val="clear"/>
        <w:spacing w:line="360" w:lineRule="exact"/>
        <w:ind w:firstLine="420"/>
        <w:jc w:val="left"/>
        <w:rPr>
          <w:rFonts w:eastAsiaTheme="minorEastAsia"/>
          <w:color w:val="000000" w:themeColor="text1"/>
          <w:szCs w:val="21"/>
          <w:highlight w:val="none"/>
        </w:rPr>
      </w:pPr>
      <w:r>
        <w:rPr>
          <w:rFonts w:eastAsiaTheme="minorEastAsia"/>
          <w:color w:val="000000" w:themeColor="text1"/>
          <w:szCs w:val="21"/>
          <w:highlight w:val="none"/>
        </w:rPr>
        <w:t>1.9.3 供应商自行负责在踏勘现场中所发生的人员伤亡和财产损失。</w:t>
      </w:r>
    </w:p>
    <w:p w14:paraId="4A96C724">
      <w:pPr>
        <w:shd w:val="clear"/>
        <w:spacing w:line="360" w:lineRule="exact"/>
        <w:ind w:firstLine="0" w:firstLineChars="0"/>
        <w:jc w:val="left"/>
        <w:rPr>
          <w:rFonts w:eastAsiaTheme="minorEastAsia"/>
          <w:b/>
          <w:bCs/>
          <w:color w:val="000000" w:themeColor="text1"/>
          <w:szCs w:val="21"/>
          <w:highlight w:val="none"/>
        </w:rPr>
      </w:pPr>
      <w:bookmarkStart w:id="54" w:name="_Toc520410581"/>
      <w:bookmarkStart w:id="55" w:name="_Toc389065156"/>
      <w:r>
        <w:rPr>
          <w:rFonts w:eastAsiaTheme="minorEastAsia"/>
          <w:b/>
          <w:bCs/>
          <w:color w:val="000000" w:themeColor="text1"/>
          <w:szCs w:val="21"/>
          <w:highlight w:val="none"/>
        </w:rPr>
        <w:t>1.10分包</w:t>
      </w:r>
      <w:bookmarkEnd w:id="54"/>
      <w:bookmarkEnd w:id="55"/>
    </w:p>
    <w:p w14:paraId="3BBD92DF">
      <w:pPr>
        <w:shd w:val="clear"/>
        <w:spacing w:line="360" w:lineRule="exact"/>
        <w:ind w:firstLine="420"/>
        <w:jc w:val="left"/>
        <w:rPr>
          <w:rFonts w:eastAsiaTheme="minorEastAsia"/>
          <w:color w:val="000000" w:themeColor="text1"/>
          <w:szCs w:val="21"/>
          <w:highlight w:val="none"/>
        </w:rPr>
      </w:pPr>
      <w:r>
        <w:rPr>
          <w:rFonts w:eastAsiaTheme="minorEastAsia"/>
          <w:color w:val="000000" w:themeColor="text1"/>
          <w:szCs w:val="21"/>
          <w:highlight w:val="none"/>
        </w:rPr>
        <w:t>本项目成交后分包需经采购人书面同意。</w:t>
      </w:r>
    </w:p>
    <w:p w14:paraId="240DCC6B">
      <w:pPr>
        <w:shd w:val="clear"/>
        <w:spacing w:line="360" w:lineRule="exact"/>
        <w:ind w:firstLine="0" w:firstLineChars="0"/>
        <w:jc w:val="left"/>
        <w:rPr>
          <w:rFonts w:eastAsiaTheme="minorEastAsia"/>
          <w:b/>
          <w:bCs/>
          <w:color w:val="000000" w:themeColor="text1"/>
          <w:szCs w:val="21"/>
          <w:highlight w:val="none"/>
        </w:rPr>
      </w:pPr>
      <w:bookmarkStart w:id="56" w:name="_Toc520410582"/>
      <w:bookmarkStart w:id="57" w:name="_Toc389065198"/>
      <w:r>
        <w:rPr>
          <w:rFonts w:eastAsiaTheme="minorEastAsia"/>
          <w:b/>
          <w:bCs/>
          <w:color w:val="000000" w:themeColor="text1"/>
          <w:szCs w:val="21"/>
          <w:highlight w:val="none"/>
        </w:rPr>
        <w:t>1.11知识产权</w:t>
      </w:r>
      <w:bookmarkEnd w:id="56"/>
      <w:bookmarkEnd w:id="57"/>
    </w:p>
    <w:p w14:paraId="37F956E6">
      <w:pPr>
        <w:shd w:val="clear"/>
        <w:spacing w:line="360" w:lineRule="exact"/>
        <w:ind w:firstLine="420"/>
        <w:jc w:val="left"/>
        <w:rPr>
          <w:rFonts w:eastAsiaTheme="minorEastAsia"/>
          <w:color w:val="000000" w:themeColor="text1"/>
          <w:szCs w:val="21"/>
          <w:highlight w:val="none"/>
        </w:rPr>
      </w:pPr>
      <w:r>
        <w:rPr>
          <w:rFonts w:eastAsiaTheme="minorEastAsia"/>
          <w:color w:val="000000" w:themeColor="text1"/>
          <w:szCs w:val="21"/>
          <w:highlight w:val="none"/>
        </w:rPr>
        <w:t>构成本谈判文件各个组成部分的文件，未经采购人书面同意，供应商不得擅自复印和用于非本谈判项目所需的其他目的。采购人全部或者部分使用非成交供应商响应文件中的技术成果或技术方案时，需征得其书面同意，并不得擅自复印或提供给第三人。</w:t>
      </w:r>
    </w:p>
    <w:p w14:paraId="6788E6C0">
      <w:pPr>
        <w:pStyle w:val="2"/>
        <w:shd w:val="clear"/>
        <w:spacing w:before="0" w:after="0" w:line="360" w:lineRule="exact"/>
        <w:ind w:firstLine="0" w:firstLineChars="0"/>
        <w:jc w:val="left"/>
        <w:rPr>
          <w:rFonts w:ascii="Times New Roman" w:hAnsi="Times New Roman" w:eastAsiaTheme="minorEastAsia"/>
          <w:color w:val="000000" w:themeColor="text1"/>
          <w:sz w:val="21"/>
          <w:szCs w:val="21"/>
          <w:highlight w:val="none"/>
        </w:rPr>
      </w:pPr>
      <w:bookmarkStart w:id="58" w:name="_Toc31603"/>
      <w:bookmarkStart w:id="59" w:name="_Toc520410583"/>
      <w:bookmarkStart w:id="60" w:name="_Toc32306"/>
      <w:r>
        <w:rPr>
          <w:rFonts w:ascii="Times New Roman" w:hAnsi="Times New Roman" w:eastAsiaTheme="minorEastAsia"/>
          <w:color w:val="000000" w:themeColor="text1"/>
          <w:sz w:val="21"/>
          <w:szCs w:val="21"/>
          <w:highlight w:val="none"/>
        </w:rPr>
        <w:t>二、谈判文件</w:t>
      </w:r>
      <w:bookmarkEnd w:id="58"/>
      <w:bookmarkEnd w:id="59"/>
      <w:bookmarkEnd w:id="60"/>
    </w:p>
    <w:p w14:paraId="27FB032A">
      <w:pPr>
        <w:shd w:val="clear"/>
        <w:spacing w:line="360" w:lineRule="exact"/>
        <w:ind w:firstLine="0" w:firstLineChars="0"/>
        <w:jc w:val="left"/>
        <w:rPr>
          <w:rFonts w:eastAsiaTheme="minorEastAsia"/>
          <w:b/>
          <w:bCs/>
          <w:color w:val="000000" w:themeColor="text1"/>
          <w:szCs w:val="21"/>
          <w:highlight w:val="none"/>
        </w:rPr>
      </w:pPr>
      <w:bookmarkStart w:id="61" w:name="_Toc389065159"/>
      <w:bookmarkStart w:id="62" w:name="_Toc520410584"/>
      <w:r>
        <w:rPr>
          <w:rFonts w:eastAsiaTheme="minorEastAsia"/>
          <w:b/>
          <w:bCs/>
          <w:color w:val="000000" w:themeColor="text1"/>
          <w:szCs w:val="21"/>
          <w:highlight w:val="none"/>
        </w:rPr>
        <w:t>2.1谈判文件的组成</w:t>
      </w:r>
      <w:bookmarkEnd w:id="61"/>
      <w:bookmarkEnd w:id="62"/>
    </w:p>
    <w:p w14:paraId="4CEF92E6">
      <w:pPr>
        <w:shd w:val="clear"/>
        <w:spacing w:line="360" w:lineRule="exact"/>
        <w:ind w:firstLine="420"/>
        <w:jc w:val="left"/>
        <w:rPr>
          <w:rFonts w:eastAsiaTheme="minorEastAsia"/>
          <w:color w:val="000000" w:themeColor="text1"/>
          <w:szCs w:val="21"/>
          <w:highlight w:val="none"/>
        </w:rPr>
      </w:pPr>
      <w:r>
        <w:rPr>
          <w:rFonts w:eastAsiaTheme="minorEastAsia"/>
          <w:color w:val="000000" w:themeColor="text1"/>
          <w:szCs w:val="21"/>
          <w:highlight w:val="none"/>
        </w:rPr>
        <w:t>2.1.1本谈判文件包括：</w:t>
      </w:r>
    </w:p>
    <w:p w14:paraId="5A76E642">
      <w:pPr>
        <w:shd w:val="clear"/>
        <w:spacing w:line="360" w:lineRule="exact"/>
        <w:ind w:firstLine="420"/>
        <w:jc w:val="left"/>
        <w:rPr>
          <w:rFonts w:eastAsiaTheme="minorEastAsia"/>
          <w:color w:val="000000" w:themeColor="text1"/>
          <w:szCs w:val="21"/>
          <w:highlight w:val="none"/>
        </w:rPr>
      </w:pPr>
      <w:r>
        <w:rPr>
          <w:rFonts w:eastAsiaTheme="minorEastAsia"/>
          <w:color w:val="000000" w:themeColor="text1"/>
          <w:szCs w:val="21"/>
          <w:highlight w:val="none"/>
        </w:rPr>
        <w:t>（1）竞争性谈判公告；</w:t>
      </w:r>
    </w:p>
    <w:p w14:paraId="5B16C799">
      <w:pPr>
        <w:shd w:val="clear"/>
        <w:spacing w:line="360" w:lineRule="exact"/>
        <w:ind w:firstLine="420"/>
        <w:jc w:val="left"/>
        <w:rPr>
          <w:rFonts w:eastAsiaTheme="minorEastAsia"/>
          <w:color w:val="000000" w:themeColor="text1"/>
          <w:szCs w:val="21"/>
          <w:highlight w:val="none"/>
        </w:rPr>
      </w:pPr>
      <w:r>
        <w:rPr>
          <w:rFonts w:eastAsiaTheme="minorEastAsia"/>
          <w:color w:val="000000" w:themeColor="text1"/>
          <w:szCs w:val="21"/>
          <w:highlight w:val="none"/>
        </w:rPr>
        <w:t>（2）供应商须知；</w:t>
      </w:r>
    </w:p>
    <w:p w14:paraId="59DBEDEA">
      <w:pPr>
        <w:shd w:val="clear"/>
        <w:spacing w:line="360" w:lineRule="exact"/>
        <w:ind w:firstLine="420"/>
        <w:jc w:val="left"/>
        <w:rPr>
          <w:rFonts w:eastAsiaTheme="minorEastAsia"/>
          <w:color w:val="000000" w:themeColor="text1"/>
          <w:szCs w:val="21"/>
          <w:highlight w:val="none"/>
        </w:rPr>
      </w:pPr>
      <w:r>
        <w:rPr>
          <w:rFonts w:eastAsiaTheme="minorEastAsia"/>
          <w:color w:val="000000" w:themeColor="text1"/>
          <w:szCs w:val="21"/>
          <w:highlight w:val="none"/>
        </w:rPr>
        <w:t>（3）评审办法；</w:t>
      </w:r>
    </w:p>
    <w:p w14:paraId="2B651459">
      <w:pPr>
        <w:shd w:val="clear"/>
        <w:spacing w:line="360" w:lineRule="exact"/>
        <w:ind w:firstLine="420"/>
        <w:jc w:val="left"/>
        <w:rPr>
          <w:rFonts w:eastAsiaTheme="minorEastAsia"/>
          <w:color w:val="000000" w:themeColor="text1"/>
          <w:szCs w:val="21"/>
          <w:highlight w:val="none"/>
        </w:rPr>
      </w:pPr>
      <w:r>
        <w:rPr>
          <w:rFonts w:eastAsiaTheme="minorEastAsia"/>
          <w:color w:val="000000" w:themeColor="text1"/>
          <w:szCs w:val="21"/>
          <w:highlight w:val="none"/>
        </w:rPr>
        <w:t>（4）合同条款及格式；</w:t>
      </w:r>
    </w:p>
    <w:p w14:paraId="357B910F">
      <w:pPr>
        <w:spacing w:line="360" w:lineRule="exact"/>
        <w:ind w:firstLine="420"/>
        <w:jc w:val="left"/>
        <w:rPr>
          <w:rFonts w:eastAsiaTheme="minorEastAsia"/>
          <w:color w:val="000000" w:themeColor="text1"/>
          <w:szCs w:val="21"/>
        </w:rPr>
      </w:pPr>
      <w:r>
        <w:rPr>
          <w:rFonts w:eastAsiaTheme="minorEastAsia"/>
          <w:color w:val="000000" w:themeColor="text1"/>
          <w:szCs w:val="21"/>
        </w:rPr>
        <w:t>（5）工程量清单；</w:t>
      </w:r>
    </w:p>
    <w:p w14:paraId="02630B1D">
      <w:pPr>
        <w:shd w:val="clear"/>
        <w:spacing w:line="360" w:lineRule="exact"/>
        <w:ind w:firstLine="420"/>
        <w:jc w:val="left"/>
        <w:rPr>
          <w:rFonts w:eastAsiaTheme="minorEastAsia"/>
          <w:color w:val="000000" w:themeColor="text1"/>
          <w:szCs w:val="21"/>
          <w:highlight w:val="none"/>
        </w:rPr>
      </w:pPr>
      <w:r>
        <w:rPr>
          <w:rFonts w:eastAsiaTheme="minorEastAsia"/>
          <w:color w:val="000000" w:themeColor="text1"/>
          <w:szCs w:val="21"/>
          <w:highlight w:val="none"/>
        </w:rPr>
        <w:t>（</w:t>
      </w:r>
      <w:r>
        <w:rPr>
          <w:rFonts w:hint="eastAsia" w:eastAsiaTheme="minorEastAsia"/>
          <w:color w:val="000000" w:themeColor="text1"/>
          <w:szCs w:val="21"/>
          <w:highlight w:val="none"/>
          <w:lang w:val="en-US" w:eastAsia="zh-CN"/>
        </w:rPr>
        <w:t>6</w:t>
      </w:r>
      <w:r>
        <w:rPr>
          <w:rFonts w:eastAsiaTheme="minorEastAsia"/>
          <w:color w:val="000000" w:themeColor="text1"/>
          <w:szCs w:val="21"/>
          <w:highlight w:val="none"/>
        </w:rPr>
        <w:t>）响应文件格式；</w:t>
      </w:r>
    </w:p>
    <w:p w14:paraId="544204D2">
      <w:pPr>
        <w:shd w:val="clear"/>
        <w:spacing w:line="360" w:lineRule="exact"/>
        <w:ind w:firstLine="420"/>
        <w:jc w:val="left"/>
        <w:rPr>
          <w:rFonts w:eastAsiaTheme="minorEastAsia"/>
          <w:color w:val="000000" w:themeColor="text1"/>
          <w:szCs w:val="21"/>
          <w:highlight w:val="none"/>
        </w:rPr>
      </w:pPr>
      <w:r>
        <w:rPr>
          <w:rFonts w:eastAsiaTheme="minorEastAsia"/>
          <w:color w:val="000000" w:themeColor="text1"/>
          <w:szCs w:val="21"/>
          <w:highlight w:val="none"/>
        </w:rPr>
        <w:t>（</w:t>
      </w:r>
      <w:r>
        <w:rPr>
          <w:rFonts w:hint="eastAsia" w:eastAsiaTheme="minorEastAsia"/>
          <w:color w:val="000000" w:themeColor="text1"/>
          <w:szCs w:val="21"/>
          <w:highlight w:val="none"/>
          <w:lang w:val="en-US" w:eastAsia="zh-CN"/>
        </w:rPr>
        <w:t>7</w:t>
      </w:r>
      <w:r>
        <w:rPr>
          <w:rFonts w:eastAsiaTheme="minorEastAsia"/>
          <w:color w:val="000000" w:themeColor="text1"/>
          <w:szCs w:val="21"/>
          <w:highlight w:val="none"/>
        </w:rPr>
        <w:t>）“供应商须知前附表”规定的其他材料。</w:t>
      </w:r>
    </w:p>
    <w:p w14:paraId="5EAD235D">
      <w:pPr>
        <w:shd w:val="clear"/>
        <w:spacing w:line="360" w:lineRule="exact"/>
        <w:ind w:firstLine="420"/>
        <w:jc w:val="left"/>
        <w:rPr>
          <w:rFonts w:eastAsiaTheme="minorEastAsia"/>
          <w:color w:val="000000" w:themeColor="text1"/>
          <w:szCs w:val="21"/>
          <w:highlight w:val="none"/>
        </w:rPr>
      </w:pPr>
      <w:r>
        <w:rPr>
          <w:rFonts w:eastAsiaTheme="minorEastAsia"/>
          <w:color w:val="000000" w:themeColor="text1"/>
          <w:szCs w:val="21"/>
          <w:highlight w:val="none"/>
        </w:rPr>
        <w:t>2.1.2根据本章第2.2款和第2.3款对谈判文件所作的澄清、修改，构成谈判文件的组成部分。谈判文件的澄清、修改内容前后相互矛盾时，以发布时间在后的文件为准。</w:t>
      </w:r>
    </w:p>
    <w:p w14:paraId="794CDB47">
      <w:pPr>
        <w:shd w:val="clear"/>
        <w:spacing w:line="360" w:lineRule="exact"/>
        <w:ind w:firstLine="0" w:firstLineChars="0"/>
        <w:jc w:val="left"/>
        <w:rPr>
          <w:rFonts w:eastAsiaTheme="minorEastAsia"/>
          <w:b/>
          <w:bCs/>
          <w:color w:val="000000" w:themeColor="text1"/>
          <w:szCs w:val="21"/>
          <w:highlight w:val="none"/>
        </w:rPr>
      </w:pPr>
      <w:bookmarkStart w:id="63" w:name="_Toc389065160"/>
      <w:bookmarkStart w:id="64" w:name="_Toc520410585"/>
      <w:r>
        <w:rPr>
          <w:rFonts w:eastAsiaTheme="minorEastAsia"/>
          <w:b/>
          <w:bCs/>
          <w:color w:val="000000" w:themeColor="text1"/>
          <w:szCs w:val="21"/>
          <w:highlight w:val="none"/>
        </w:rPr>
        <w:t>2.2 谈判文件的澄清</w:t>
      </w:r>
      <w:bookmarkEnd w:id="63"/>
      <w:bookmarkEnd w:id="64"/>
    </w:p>
    <w:p w14:paraId="725DE77C">
      <w:pPr>
        <w:shd w:val="clear"/>
        <w:spacing w:line="360" w:lineRule="exact"/>
        <w:ind w:firstLine="420"/>
        <w:jc w:val="left"/>
        <w:rPr>
          <w:rFonts w:eastAsiaTheme="minorEastAsia"/>
          <w:color w:val="000000" w:themeColor="text1"/>
          <w:szCs w:val="21"/>
          <w:highlight w:val="none"/>
        </w:rPr>
      </w:pPr>
      <w:r>
        <w:rPr>
          <w:rFonts w:eastAsiaTheme="minorEastAsia"/>
          <w:color w:val="000000" w:themeColor="text1"/>
          <w:szCs w:val="21"/>
          <w:highlight w:val="none"/>
        </w:rPr>
        <w:t>2.2.1供应商应仔细阅读和检查谈判文件的全部内容，供应商如有疑问，应在响应文件递交截止时间2日前向采购人提出,供应商不在澄清期限内提出，采购人有权不予答复。</w:t>
      </w:r>
    </w:p>
    <w:p w14:paraId="62809D42">
      <w:pPr>
        <w:shd w:val="clear"/>
        <w:spacing w:line="360" w:lineRule="exact"/>
        <w:ind w:firstLine="420"/>
        <w:jc w:val="left"/>
        <w:rPr>
          <w:rFonts w:eastAsiaTheme="minorEastAsia"/>
          <w:color w:val="000000" w:themeColor="text1"/>
          <w:szCs w:val="21"/>
          <w:highlight w:val="none"/>
        </w:rPr>
      </w:pPr>
      <w:r>
        <w:rPr>
          <w:rFonts w:eastAsiaTheme="minorEastAsia"/>
          <w:color w:val="000000" w:themeColor="text1"/>
          <w:szCs w:val="21"/>
          <w:highlight w:val="none"/>
        </w:rPr>
        <w:t>2.2.2澄清的内容可能影响响应文件编制的，可根据实际情况适当延迟递交响应文件的截止时间。</w:t>
      </w:r>
    </w:p>
    <w:p w14:paraId="2D2190C4">
      <w:pPr>
        <w:shd w:val="clear"/>
        <w:spacing w:line="360" w:lineRule="exact"/>
        <w:ind w:firstLine="420"/>
        <w:jc w:val="left"/>
        <w:rPr>
          <w:rFonts w:eastAsiaTheme="minorEastAsia"/>
          <w:color w:val="000000" w:themeColor="text1"/>
          <w:szCs w:val="21"/>
          <w:highlight w:val="none"/>
        </w:rPr>
      </w:pPr>
      <w:r>
        <w:rPr>
          <w:rFonts w:eastAsiaTheme="minorEastAsia"/>
          <w:color w:val="000000" w:themeColor="text1"/>
          <w:szCs w:val="21"/>
          <w:highlight w:val="none"/>
        </w:rPr>
        <w:t>2.2.3</w:t>
      </w:r>
      <w:r>
        <w:rPr>
          <w:rFonts w:hint="eastAsia" w:eastAsiaTheme="minorEastAsia"/>
          <w:color w:val="000000" w:themeColor="text1"/>
          <w:szCs w:val="21"/>
          <w:highlight w:val="none"/>
        </w:rPr>
        <w:t>供应商应在递交响应文件的截止时间前随时查看“</w:t>
      </w:r>
      <w:r>
        <w:rPr>
          <w:rFonts w:hint="eastAsia" w:eastAsiaTheme="minorEastAsia"/>
          <w:color w:val="000000" w:themeColor="text1"/>
          <w:szCs w:val="21"/>
          <w:highlight w:val="none"/>
          <w:lang w:eastAsia="zh-CN"/>
        </w:rPr>
        <w:t>方洋集团电子采购平台</w:t>
      </w:r>
      <w:r>
        <w:rPr>
          <w:rFonts w:hint="eastAsia" w:eastAsiaTheme="minorEastAsia"/>
          <w:color w:val="000000" w:themeColor="text1"/>
          <w:szCs w:val="21"/>
          <w:highlight w:val="none"/>
        </w:rPr>
        <w:t>中有关该谈判文件的澄清答疑内容”。</w:t>
      </w:r>
      <w:r>
        <w:rPr>
          <w:rFonts w:eastAsiaTheme="minorEastAsia"/>
          <w:color w:val="000000" w:themeColor="text1"/>
          <w:szCs w:val="21"/>
          <w:highlight w:val="none"/>
        </w:rPr>
        <w:t>未按照澄清后的谈判文件编制响应文件，由此造成的后果由供应商自行承担。</w:t>
      </w:r>
    </w:p>
    <w:p w14:paraId="48A626A8">
      <w:pPr>
        <w:shd w:val="clear"/>
        <w:spacing w:line="360" w:lineRule="exact"/>
        <w:ind w:firstLine="0" w:firstLineChars="0"/>
        <w:jc w:val="left"/>
        <w:rPr>
          <w:rFonts w:eastAsiaTheme="minorEastAsia"/>
          <w:b/>
          <w:bCs/>
          <w:color w:val="000000" w:themeColor="text1"/>
          <w:szCs w:val="21"/>
          <w:highlight w:val="none"/>
        </w:rPr>
      </w:pPr>
      <w:bookmarkStart w:id="65" w:name="_Toc520410586"/>
      <w:bookmarkStart w:id="66" w:name="_Toc389065161"/>
      <w:r>
        <w:rPr>
          <w:rFonts w:eastAsiaTheme="minorEastAsia"/>
          <w:b/>
          <w:bCs/>
          <w:color w:val="000000" w:themeColor="text1"/>
          <w:szCs w:val="21"/>
          <w:highlight w:val="none"/>
        </w:rPr>
        <w:t>2.3 谈判文件的修改</w:t>
      </w:r>
      <w:bookmarkEnd w:id="65"/>
      <w:bookmarkEnd w:id="66"/>
    </w:p>
    <w:p w14:paraId="3F20CDE3">
      <w:pPr>
        <w:shd w:val="clear"/>
        <w:spacing w:line="360" w:lineRule="exact"/>
        <w:ind w:firstLine="420"/>
        <w:jc w:val="left"/>
        <w:rPr>
          <w:rFonts w:eastAsiaTheme="minorEastAsia"/>
          <w:color w:val="000000" w:themeColor="text1"/>
          <w:szCs w:val="21"/>
          <w:highlight w:val="none"/>
        </w:rPr>
      </w:pPr>
      <w:r>
        <w:rPr>
          <w:rFonts w:eastAsiaTheme="minorEastAsia"/>
          <w:color w:val="000000" w:themeColor="text1"/>
          <w:szCs w:val="21"/>
          <w:highlight w:val="none"/>
        </w:rPr>
        <w:t>2.3.1谈判文件发布后，采购人确需对谈判文件进行修改的，采购人将发布在“</w:t>
      </w:r>
      <w:r>
        <w:rPr>
          <w:rFonts w:hint="eastAsia" w:eastAsiaTheme="minorEastAsia"/>
          <w:color w:val="000000" w:themeColor="text1"/>
          <w:szCs w:val="21"/>
          <w:highlight w:val="none"/>
          <w:lang w:eastAsia="zh-CN"/>
        </w:rPr>
        <w:t>方洋集团电子采购平台</w:t>
      </w:r>
      <w:r>
        <w:rPr>
          <w:rFonts w:eastAsiaTheme="minorEastAsia"/>
          <w:color w:val="000000" w:themeColor="text1"/>
          <w:szCs w:val="21"/>
          <w:highlight w:val="none"/>
        </w:rPr>
        <w:t>”。</w:t>
      </w:r>
    </w:p>
    <w:p w14:paraId="020DC4EC">
      <w:pPr>
        <w:shd w:val="clear"/>
        <w:spacing w:line="360" w:lineRule="exact"/>
        <w:ind w:firstLine="420"/>
        <w:jc w:val="left"/>
        <w:rPr>
          <w:rFonts w:eastAsiaTheme="minorEastAsia"/>
          <w:color w:val="000000" w:themeColor="text1"/>
          <w:szCs w:val="21"/>
          <w:highlight w:val="none"/>
        </w:rPr>
      </w:pPr>
      <w:r>
        <w:rPr>
          <w:rFonts w:eastAsiaTheme="minorEastAsia"/>
          <w:color w:val="000000" w:themeColor="text1"/>
          <w:szCs w:val="21"/>
          <w:highlight w:val="none"/>
        </w:rPr>
        <w:t>2.3.2修改的内容可能影响响应文件编制的，可根据实际情况适当延迟递交响应文件的截止时间。</w:t>
      </w:r>
    </w:p>
    <w:p w14:paraId="46DE315E">
      <w:pPr>
        <w:shd w:val="clear"/>
        <w:spacing w:line="360" w:lineRule="exact"/>
        <w:ind w:firstLine="420"/>
        <w:jc w:val="left"/>
        <w:rPr>
          <w:rFonts w:eastAsiaTheme="minorEastAsia"/>
          <w:color w:val="000000" w:themeColor="text1"/>
          <w:szCs w:val="21"/>
          <w:highlight w:val="none"/>
        </w:rPr>
      </w:pPr>
      <w:r>
        <w:rPr>
          <w:rFonts w:eastAsiaTheme="minorEastAsia"/>
          <w:color w:val="000000" w:themeColor="text1"/>
          <w:szCs w:val="21"/>
          <w:highlight w:val="none"/>
        </w:rPr>
        <w:t>2.3.3修改文件按本章第2.3.1款规定发出之时起，视为供应商已收到该修改文件。供应商未及时查阅谈判文件的修改，或未按照修改后的谈判文件编制响应文件，由此造成的后果由供应商自行承担。</w:t>
      </w:r>
    </w:p>
    <w:p w14:paraId="7B653C21">
      <w:pPr>
        <w:shd w:val="clear"/>
        <w:spacing w:line="360" w:lineRule="exact"/>
        <w:ind w:firstLine="0" w:firstLineChars="0"/>
        <w:jc w:val="left"/>
        <w:rPr>
          <w:rFonts w:eastAsiaTheme="minorEastAsia"/>
          <w:b/>
          <w:bCs/>
          <w:color w:val="000000" w:themeColor="text1"/>
          <w:szCs w:val="21"/>
          <w:highlight w:val="none"/>
        </w:rPr>
      </w:pPr>
      <w:bookmarkStart w:id="67" w:name="_Toc473034303"/>
      <w:bookmarkStart w:id="68" w:name="_Toc520410587"/>
      <w:r>
        <w:rPr>
          <w:rFonts w:eastAsiaTheme="minorEastAsia"/>
          <w:b/>
          <w:bCs/>
          <w:color w:val="000000" w:themeColor="text1"/>
          <w:szCs w:val="21"/>
          <w:highlight w:val="none"/>
        </w:rPr>
        <w:t xml:space="preserve">2.4 </w:t>
      </w:r>
      <w:bookmarkEnd w:id="67"/>
      <w:bookmarkEnd w:id="68"/>
      <w:r>
        <w:rPr>
          <w:rFonts w:eastAsiaTheme="minorEastAsia"/>
          <w:b/>
          <w:bCs/>
          <w:color w:val="000000" w:themeColor="text1"/>
          <w:szCs w:val="21"/>
          <w:highlight w:val="none"/>
        </w:rPr>
        <w:t>采购控制价</w:t>
      </w:r>
    </w:p>
    <w:p w14:paraId="7974BDCD">
      <w:pPr>
        <w:shd w:val="clear"/>
        <w:spacing w:line="360" w:lineRule="exact"/>
        <w:ind w:firstLine="420"/>
        <w:jc w:val="left"/>
        <w:rPr>
          <w:rFonts w:eastAsiaTheme="minorEastAsia"/>
          <w:color w:val="000000" w:themeColor="text1"/>
          <w:szCs w:val="21"/>
          <w:highlight w:val="none"/>
        </w:rPr>
      </w:pPr>
      <w:r>
        <w:rPr>
          <w:rFonts w:eastAsiaTheme="minorEastAsia"/>
          <w:color w:val="000000" w:themeColor="text1"/>
          <w:szCs w:val="21"/>
          <w:highlight w:val="none"/>
        </w:rPr>
        <w:t>2.4.1采购控制价，是采购人根据国家或省级、行业主管部门颁发的有关计价依据和办法，以及采购内容的市场行情，结合采购项目具体情况编制的本次谈判的最高限价。</w:t>
      </w:r>
    </w:p>
    <w:p w14:paraId="076F6FC0">
      <w:pPr>
        <w:shd w:val="clear"/>
        <w:spacing w:line="360" w:lineRule="exact"/>
        <w:ind w:firstLine="420"/>
        <w:jc w:val="left"/>
        <w:rPr>
          <w:rFonts w:eastAsiaTheme="minorEastAsia"/>
          <w:color w:val="000000" w:themeColor="text1"/>
          <w:szCs w:val="21"/>
          <w:highlight w:val="none"/>
        </w:rPr>
      </w:pPr>
      <w:r>
        <w:rPr>
          <w:rFonts w:eastAsiaTheme="minorEastAsia"/>
          <w:color w:val="000000" w:themeColor="text1"/>
          <w:szCs w:val="21"/>
          <w:highlight w:val="none"/>
        </w:rPr>
        <w:t>2.4.2本项目采购控制价见“竞争性谈判公告”。采购人确需对已发布的项目概算金额进行修改的，采购人将发布在“</w:t>
      </w:r>
      <w:r>
        <w:rPr>
          <w:rFonts w:hint="eastAsia" w:eastAsiaTheme="minorEastAsia"/>
          <w:color w:val="000000" w:themeColor="text1"/>
          <w:szCs w:val="21"/>
          <w:highlight w:val="none"/>
          <w:lang w:eastAsia="zh-CN"/>
        </w:rPr>
        <w:t>方洋集团电子采购平台</w:t>
      </w:r>
      <w:r>
        <w:rPr>
          <w:rFonts w:eastAsiaTheme="minorEastAsia"/>
          <w:color w:val="000000" w:themeColor="text1"/>
          <w:szCs w:val="21"/>
          <w:highlight w:val="none"/>
        </w:rPr>
        <w:t>”。</w:t>
      </w:r>
    </w:p>
    <w:p w14:paraId="4725173C">
      <w:pPr>
        <w:pStyle w:val="2"/>
        <w:shd w:val="clear"/>
        <w:spacing w:before="0" w:after="0" w:line="360" w:lineRule="exact"/>
        <w:ind w:firstLine="0" w:firstLineChars="0"/>
        <w:jc w:val="left"/>
        <w:rPr>
          <w:rFonts w:ascii="Times New Roman" w:hAnsi="Times New Roman" w:eastAsiaTheme="minorEastAsia"/>
          <w:color w:val="000000" w:themeColor="text1"/>
          <w:sz w:val="21"/>
          <w:szCs w:val="21"/>
          <w:highlight w:val="none"/>
        </w:rPr>
      </w:pPr>
      <w:bookmarkStart w:id="69" w:name="_Toc21251"/>
      <w:bookmarkStart w:id="70" w:name="_Toc12659"/>
      <w:bookmarkStart w:id="71" w:name="_Toc389065162"/>
      <w:bookmarkStart w:id="72" w:name="_Toc520410588"/>
      <w:r>
        <w:rPr>
          <w:rFonts w:ascii="Times New Roman" w:hAnsi="Times New Roman" w:eastAsiaTheme="minorEastAsia"/>
          <w:color w:val="000000" w:themeColor="text1"/>
          <w:sz w:val="21"/>
          <w:szCs w:val="21"/>
          <w:highlight w:val="none"/>
        </w:rPr>
        <w:t>三、响应文件</w:t>
      </w:r>
      <w:bookmarkEnd w:id="69"/>
      <w:bookmarkEnd w:id="70"/>
      <w:bookmarkEnd w:id="71"/>
      <w:bookmarkEnd w:id="72"/>
    </w:p>
    <w:p w14:paraId="1769526A">
      <w:pPr>
        <w:shd w:val="clear"/>
        <w:spacing w:line="360" w:lineRule="exact"/>
        <w:ind w:firstLine="0" w:firstLineChars="0"/>
        <w:jc w:val="left"/>
        <w:rPr>
          <w:rFonts w:eastAsiaTheme="minorEastAsia"/>
          <w:b/>
          <w:bCs/>
          <w:color w:val="000000" w:themeColor="text1"/>
          <w:szCs w:val="21"/>
          <w:highlight w:val="none"/>
        </w:rPr>
      </w:pPr>
      <w:bookmarkStart w:id="73" w:name="_Toc520410589"/>
      <w:bookmarkStart w:id="74" w:name="_Toc389065163"/>
      <w:r>
        <w:rPr>
          <w:rFonts w:eastAsiaTheme="minorEastAsia"/>
          <w:b/>
          <w:bCs/>
          <w:color w:val="000000" w:themeColor="text1"/>
          <w:szCs w:val="21"/>
          <w:highlight w:val="none"/>
        </w:rPr>
        <w:t>3.1 响应文件的组成</w:t>
      </w:r>
      <w:bookmarkEnd w:id="73"/>
      <w:bookmarkEnd w:id="74"/>
    </w:p>
    <w:p w14:paraId="21AC8A3F">
      <w:pPr>
        <w:shd w:val="clear"/>
        <w:spacing w:line="360" w:lineRule="exact"/>
        <w:ind w:firstLine="420"/>
        <w:jc w:val="left"/>
        <w:rPr>
          <w:rFonts w:eastAsiaTheme="minorEastAsia"/>
          <w:b/>
          <w:color w:val="000000" w:themeColor="text1"/>
          <w:szCs w:val="21"/>
          <w:highlight w:val="none"/>
        </w:rPr>
      </w:pPr>
      <w:r>
        <w:rPr>
          <w:rFonts w:eastAsiaTheme="minorEastAsia"/>
          <w:color w:val="000000" w:themeColor="text1"/>
          <w:szCs w:val="21"/>
          <w:highlight w:val="none"/>
        </w:rPr>
        <w:t>3.1.1响应文件组成见“供应商须知前附表”；</w:t>
      </w:r>
    </w:p>
    <w:p w14:paraId="700C2843">
      <w:pPr>
        <w:shd w:val="clear"/>
        <w:spacing w:line="360" w:lineRule="exact"/>
        <w:ind w:firstLine="420"/>
        <w:jc w:val="left"/>
        <w:rPr>
          <w:rFonts w:eastAsiaTheme="minorEastAsia"/>
          <w:color w:val="000000" w:themeColor="text1"/>
          <w:szCs w:val="21"/>
          <w:highlight w:val="none"/>
        </w:rPr>
      </w:pPr>
      <w:r>
        <w:rPr>
          <w:rFonts w:eastAsiaTheme="minorEastAsia"/>
          <w:color w:val="000000" w:themeColor="text1"/>
          <w:szCs w:val="21"/>
          <w:highlight w:val="none"/>
        </w:rPr>
        <w:t>3.1.2谈判文件“第</w:t>
      </w:r>
      <w:r>
        <w:rPr>
          <w:rFonts w:hint="eastAsia" w:eastAsiaTheme="minorEastAsia"/>
          <w:color w:val="000000" w:themeColor="text1"/>
          <w:szCs w:val="21"/>
          <w:highlight w:val="none"/>
          <w:lang w:eastAsia="zh-CN"/>
        </w:rPr>
        <w:t>六</w:t>
      </w:r>
      <w:r>
        <w:rPr>
          <w:rFonts w:eastAsiaTheme="minorEastAsia"/>
          <w:color w:val="000000" w:themeColor="text1"/>
          <w:szCs w:val="21"/>
          <w:highlight w:val="none"/>
        </w:rPr>
        <w:t>章响应文件格式”有规定格式要求的，供应商应按规定的格式填写并按要求提交相关的证明材料。</w:t>
      </w:r>
    </w:p>
    <w:p w14:paraId="227ECEA5">
      <w:pPr>
        <w:shd w:val="clear"/>
        <w:spacing w:line="360" w:lineRule="exact"/>
        <w:ind w:firstLine="0" w:firstLineChars="0"/>
        <w:jc w:val="left"/>
        <w:rPr>
          <w:rFonts w:eastAsiaTheme="minorEastAsia"/>
          <w:b/>
          <w:bCs/>
          <w:color w:val="000000" w:themeColor="text1"/>
          <w:szCs w:val="21"/>
          <w:highlight w:val="none"/>
        </w:rPr>
      </w:pPr>
      <w:bookmarkStart w:id="75" w:name="_Toc389065164"/>
      <w:bookmarkStart w:id="76" w:name="_Toc520410590"/>
      <w:r>
        <w:rPr>
          <w:rFonts w:eastAsiaTheme="minorEastAsia"/>
          <w:b/>
          <w:bCs/>
          <w:color w:val="000000" w:themeColor="text1"/>
          <w:szCs w:val="21"/>
          <w:highlight w:val="none"/>
        </w:rPr>
        <w:t>3.2 谈判报价</w:t>
      </w:r>
      <w:bookmarkEnd w:id="75"/>
      <w:bookmarkEnd w:id="76"/>
    </w:p>
    <w:p w14:paraId="68D5A687">
      <w:pPr>
        <w:shd w:val="clear"/>
        <w:spacing w:line="360" w:lineRule="exact"/>
        <w:ind w:firstLine="420"/>
        <w:jc w:val="left"/>
        <w:rPr>
          <w:rFonts w:eastAsiaTheme="minorEastAsia"/>
          <w:b/>
          <w:color w:val="000000" w:themeColor="text1"/>
          <w:szCs w:val="21"/>
          <w:highlight w:val="none"/>
        </w:rPr>
      </w:pPr>
      <w:r>
        <w:rPr>
          <w:rFonts w:eastAsiaTheme="minorEastAsia"/>
          <w:color w:val="000000" w:themeColor="text1"/>
          <w:szCs w:val="21"/>
          <w:highlight w:val="none"/>
        </w:rPr>
        <w:t>3.2.1本项目采用</w:t>
      </w:r>
      <w:r>
        <w:rPr>
          <w:rFonts w:hint="eastAsia" w:eastAsiaTheme="minorEastAsia"/>
          <w:b/>
          <w:bCs/>
          <w:color w:val="000000" w:themeColor="text1"/>
          <w:szCs w:val="21"/>
          <w:highlight w:val="none"/>
          <w:u w:val="single"/>
        </w:rPr>
        <w:t>全费用固定单价</w:t>
      </w:r>
      <w:r>
        <w:rPr>
          <w:rFonts w:eastAsiaTheme="minorEastAsia"/>
          <w:color w:val="000000" w:themeColor="text1"/>
          <w:szCs w:val="21"/>
          <w:highlight w:val="none"/>
        </w:rPr>
        <w:t>计价，</w:t>
      </w:r>
      <w:r>
        <w:rPr>
          <w:rFonts w:eastAsiaTheme="minorEastAsia"/>
          <w:szCs w:val="21"/>
          <w:highlight w:val="none"/>
        </w:rPr>
        <w:t>供应商应充分考虑项目实施期间的市场风险和国家政策性调整风险系数计入报价，并根据本项目和供应商的自身情况，一次性地报出本项目详细地、完整地报价</w:t>
      </w:r>
      <w:r>
        <w:rPr>
          <w:rFonts w:eastAsiaTheme="minorEastAsia"/>
          <w:bCs/>
          <w:szCs w:val="21"/>
          <w:highlight w:val="none"/>
        </w:rPr>
        <w:t>，供应商未作相应报价的，将被视为供应商已经在报价中作了相应的考虑，无论出现何种情况，综合单价在经过确定后，结算时将不作调整。</w:t>
      </w:r>
      <w:r>
        <w:rPr>
          <w:rFonts w:eastAsiaTheme="minorEastAsia"/>
          <w:color w:val="000000" w:themeColor="text1"/>
          <w:szCs w:val="21"/>
          <w:highlight w:val="none"/>
        </w:rPr>
        <w:t>本次报价包含</w:t>
      </w:r>
      <w:r>
        <w:rPr>
          <w:rFonts w:eastAsiaTheme="minorEastAsia"/>
          <w:b/>
          <w:color w:val="000000" w:themeColor="text1"/>
          <w:szCs w:val="21"/>
          <w:highlight w:val="none"/>
        </w:rPr>
        <w:t>响应文件评审专家费。</w:t>
      </w:r>
    </w:p>
    <w:p w14:paraId="359E8194">
      <w:pPr>
        <w:shd w:val="clear"/>
        <w:wordWrap w:val="0"/>
        <w:spacing w:line="360" w:lineRule="exact"/>
        <w:ind w:firstLine="422"/>
        <w:jc w:val="left"/>
        <w:rPr>
          <w:rFonts w:hint="eastAsia" w:ascii="Times New Roman" w:hAnsi="Times New Roman" w:eastAsiaTheme="minorEastAsia"/>
          <w:b/>
          <w:color w:val="000000" w:themeColor="text1"/>
          <w:szCs w:val="21"/>
          <w:highlight w:val="none"/>
        </w:rPr>
      </w:pPr>
      <w:r>
        <w:rPr>
          <w:rFonts w:ascii="Times New Roman" w:hAnsi="Times New Roman" w:eastAsiaTheme="minorEastAsia"/>
          <w:b/>
          <w:color w:val="000000" w:themeColor="text1"/>
          <w:szCs w:val="21"/>
          <w:highlight w:val="none"/>
        </w:rPr>
        <w:t>注：</w:t>
      </w:r>
      <w:r>
        <w:rPr>
          <w:rFonts w:hint="eastAsia" w:eastAsiaTheme="minorEastAsia"/>
          <w:b/>
          <w:color w:val="000000" w:themeColor="text1"/>
          <w:szCs w:val="21"/>
          <w:highlight w:val="none"/>
        </w:rPr>
        <w:t>本项目响应文件评审专家费等共计</w:t>
      </w:r>
      <w:r>
        <w:rPr>
          <w:rFonts w:hint="eastAsia" w:eastAsiaTheme="minorEastAsia"/>
          <w:b/>
          <w:color w:val="000000" w:themeColor="text1"/>
          <w:szCs w:val="21"/>
          <w:highlight w:val="none"/>
          <w:u w:val="single"/>
          <w:lang w:val="en-US" w:eastAsia="zh-CN"/>
        </w:rPr>
        <w:t>6</w:t>
      </w:r>
      <w:r>
        <w:rPr>
          <w:rFonts w:hint="eastAsia" w:eastAsiaTheme="minorEastAsia"/>
          <w:b/>
          <w:color w:val="000000" w:themeColor="text1"/>
          <w:szCs w:val="21"/>
          <w:highlight w:val="none"/>
          <w:u w:val="single"/>
        </w:rPr>
        <w:t>00</w:t>
      </w:r>
      <w:r>
        <w:rPr>
          <w:rFonts w:hint="eastAsia" w:eastAsiaTheme="minorEastAsia"/>
          <w:b/>
          <w:color w:val="000000" w:themeColor="text1"/>
          <w:szCs w:val="21"/>
          <w:highlight w:val="none"/>
        </w:rPr>
        <w:t>元，此费用包含在谈判价中，不单列</w:t>
      </w:r>
      <w:r>
        <w:rPr>
          <w:rFonts w:hint="eastAsia" w:eastAsiaTheme="minorEastAsia"/>
          <w:b/>
          <w:color w:val="000000" w:themeColor="text1"/>
          <w:szCs w:val="21"/>
          <w:highlight w:val="none"/>
          <w:lang w:eastAsia="zh-CN"/>
        </w:rPr>
        <w:t>。</w:t>
      </w:r>
      <w:r>
        <w:rPr>
          <w:rFonts w:hint="eastAsia" w:eastAsiaTheme="minorEastAsia"/>
          <w:b/>
          <w:color w:val="000000" w:themeColor="text1"/>
          <w:szCs w:val="21"/>
          <w:highlight w:val="none"/>
        </w:rPr>
        <w:t>此费用从成交供应商谈判保证金中扣除，如成交供应商无需缴纳谈判保证金，供应商成交后5个工作日内、合同签订前至</w:t>
      </w:r>
      <w:r>
        <w:rPr>
          <w:rFonts w:hint="eastAsia" w:eastAsiaTheme="minorEastAsia"/>
          <w:b/>
          <w:color w:val="000000" w:themeColor="text1"/>
          <w:szCs w:val="21"/>
          <w:highlight w:val="none"/>
          <w:u w:val="single"/>
          <w:lang w:eastAsia="zh-CN"/>
        </w:rPr>
        <w:t>连云港徐圩城建工程有限公司</w:t>
      </w:r>
      <w:r>
        <w:rPr>
          <w:rFonts w:hint="eastAsia" w:eastAsiaTheme="minorEastAsia"/>
          <w:b/>
          <w:color w:val="000000" w:themeColor="text1"/>
          <w:szCs w:val="21"/>
          <w:highlight w:val="none"/>
        </w:rPr>
        <w:t>缴纳此费用</w:t>
      </w:r>
      <w:r>
        <w:rPr>
          <w:rFonts w:hint="eastAsia" w:ascii="Times New Roman" w:hAnsi="Times New Roman" w:eastAsiaTheme="minorEastAsia"/>
          <w:b/>
          <w:color w:val="000000" w:themeColor="text1"/>
          <w:szCs w:val="21"/>
          <w:highlight w:val="none"/>
        </w:rPr>
        <w:t>（联系人：</w:t>
      </w:r>
      <w:r>
        <w:rPr>
          <w:rFonts w:hint="eastAsia" w:eastAsiaTheme="minorEastAsia"/>
          <w:b/>
          <w:color w:val="000000" w:themeColor="text1"/>
          <w:szCs w:val="21"/>
          <w:highlight w:val="none"/>
          <w:u w:val="single"/>
          <w:lang w:val="en-US" w:eastAsia="zh-CN"/>
        </w:rPr>
        <w:t>樊</w:t>
      </w:r>
      <w:r>
        <w:rPr>
          <w:rFonts w:hint="eastAsia" w:ascii="Times New Roman" w:hAnsi="Times New Roman" w:eastAsiaTheme="minorEastAsia"/>
          <w:b/>
          <w:color w:val="000000" w:themeColor="text1"/>
          <w:szCs w:val="21"/>
          <w:highlight w:val="none"/>
          <w:u w:val="single"/>
        </w:rPr>
        <w:t>工</w:t>
      </w:r>
      <w:r>
        <w:rPr>
          <w:rFonts w:hint="eastAsia" w:ascii="Times New Roman" w:hAnsi="Times New Roman" w:eastAsiaTheme="minorEastAsia"/>
          <w:b/>
          <w:color w:val="000000" w:themeColor="text1"/>
          <w:szCs w:val="21"/>
          <w:highlight w:val="none"/>
        </w:rPr>
        <w:t>，联系电话</w:t>
      </w:r>
      <w:r>
        <w:rPr>
          <w:rFonts w:hint="eastAsia" w:ascii="Times New Roman" w:hAnsi="Times New Roman" w:eastAsiaTheme="minorEastAsia"/>
          <w:b/>
          <w:color w:val="000000" w:themeColor="text1"/>
          <w:szCs w:val="21"/>
          <w:highlight w:val="none"/>
          <w:lang w:eastAsia="zh-CN"/>
        </w:rPr>
        <w:t>：</w:t>
      </w:r>
      <w:r>
        <w:rPr>
          <w:rFonts w:hint="eastAsia" w:ascii="Times New Roman" w:hAnsi="Times New Roman" w:eastAsiaTheme="minorEastAsia"/>
          <w:b/>
          <w:color w:val="000000" w:themeColor="text1"/>
          <w:szCs w:val="21"/>
          <w:highlight w:val="none"/>
          <w:u w:val="single"/>
          <w:lang w:eastAsia="zh-CN"/>
        </w:rPr>
        <w:t>1</w:t>
      </w:r>
      <w:r>
        <w:rPr>
          <w:rFonts w:hint="eastAsia" w:eastAsiaTheme="minorEastAsia"/>
          <w:b/>
          <w:color w:val="000000" w:themeColor="text1"/>
          <w:szCs w:val="21"/>
          <w:highlight w:val="none"/>
          <w:u w:val="single"/>
          <w:lang w:val="en-US" w:eastAsia="zh-CN"/>
        </w:rPr>
        <w:t>5895920590</w:t>
      </w:r>
      <w:r>
        <w:rPr>
          <w:rFonts w:hint="eastAsia" w:ascii="Times New Roman" w:hAnsi="Times New Roman" w:eastAsiaTheme="minorEastAsia"/>
          <w:b/>
          <w:color w:val="000000" w:themeColor="text1"/>
          <w:szCs w:val="21"/>
          <w:highlight w:val="none"/>
        </w:rPr>
        <w:t>）。</w:t>
      </w:r>
    </w:p>
    <w:p w14:paraId="18DCF170">
      <w:pPr>
        <w:shd w:val="clear"/>
        <w:wordWrap w:val="0"/>
        <w:spacing w:line="360" w:lineRule="exact"/>
        <w:ind w:firstLine="422"/>
        <w:jc w:val="left"/>
        <w:rPr>
          <w:rFonts w:hint="eastAsia" w:ascii="Times New Roman" w:hAnsi="Times New Roman" w:cs="Times New Roman" w:eastAsiaTheme="minorEastAsia"/>
          <w:b/>
          <w:color w:val="000000" w:themeColor="text1"/>
          <w:kern w:val="2"/>
          <w:sz w:val="21"/>
          <w:szCs w:val="21"/>
          <w:highlight w:val="none"/>
          <w:lang w:val="en-US" w:eastAsia="zh-CN" w:bidi="ar-SA"/>
        </w:rPr>
      </w:pPr>
      <w:r>
        <w:rPr>
          <w:rFonts w:hint="eastAsia" w:ascii="Times New Roman" w:hAnsi="Times New Roman" w:eastAsiaTheme="minorEastAsia"/>
          <w:b/>
          <w:color w:val="000000" w:themeColor="text1"/>
          <w:szCs w:val="21"/>
          <w:highlight w:val="none"/>
        </w:rPr>
        <w:t>此费用采购人不开具发票。</w:t>
      </w:r>
    </w:p>
    <w:p w14:paraId="7EA1D3EA">
      <w:pPr>
        <w:shd w:val="clear"/>
        <w:spacing w:line="360" w:lineRule="exact"/>
        <w:ind w:firstLine="420"/>
        <w:jc w:val="left"/>
        <w:rPr>
          <w:rFonts w:eastAsiaTheme="minorEastAsia"/>
          <w:color w:val="000000" w:themeColor="text1"/>
          <w:szCs w:val="21"/>
          <w:highlight w:val="none"/>
        </w:rPr>
      </w:pPr>
      <w:r>
        <w:rPr>
          <w:rFonts w:eastAsiaTheme="minorEastAsia"/>
          <w:color w:val="000000" w:themeColor="text1"/>
          <w:szCs w:val="21"/>
          <w:highlight w:val="none"/>
        </w:rPr>
        <w:t>3.2.2供应商的响应报价应充分考虑第四章“合同条款及格式”所列合同价格风险。</w:t>
      </w:r>
    </w:p>
    <w:p w14:paraId="7CDCE47D">
      <w:pPr>
        <w:spacing w:line="360" w:lineRule="exact"/>
        <w:ind w:firstLine="420"/>
        <w:jc w:val="left"/>
        <w:rPr>
          <w:rFonts w:eastAsiaTheme="minorEastAsia"/>
          <w:color w:val="000000" w:themeColor="text1"/>
          <w:szCs w:val="21"/>
          <w:highlight w:val="none"/>
        </w:rPr>
      </w:pPr>
      <w:r>
        <w:rPr>
          <w:rFonts w:eastAsiaTheme="minorEastAsia"/>
          <w:color w:val="000000" w:themeColor="text1"/>
          <w:szCs w:val="21"/>
          <w:highlight w:val="none"/>
        </w:rPr>
        <w:t>3.2.3</w:t>
      </w:r>
      <w:bookmarkStart w:id="77" w:name="_Toc520410591"/>
      <w:bookmarkStart w:id="78" w:name="_Toc389065165"/>
      <w:r>
        <w:rPr>
          <w:rFonts w:eastAsiaTheme="minorEastAsia"/>
          <w:color w:val="000000" w:themeColor="text1"/>
          <w:szCs w:val="21"/>
          <w:highlight w:val="yellow"/>
        </w:rPr>
        <w:t>本项目</w:t>
      </w:r>
      <w:r>
        <w:rPr>
          <w:rFonts w:hint="eastAsia" w:eastAsiaTheme="minorEastAsia"/>
          <w:color w:val="000000" w:themeColor="text1"/>
          <w:szCs w:val="21"/>
          <w:highlight w:val="yellow"/>
          <w:lang w:eastAsia="zh-CN"/>
        </w:rPr>
        <w:t>原则上</w:t>
      </w:r>
      <w:r>
        <w:rPr>
          <w:rFonts w:eastAsiaTheme="minorEastAsia"/>
          <w:color w:val="000000" w:themeColor="text1"/>
          <w:szCs w:val="21"/>
          <w:highlight w:val="yellow"/>
        </w:rPr>
        <w:t>采用</w:t>
      </w:r>
      <w:r>
        <w:rPr>
          <w:rFonts w:eastAsiaTheme="minorEastAsia"/>
          <w:b/>
          <w:bCs/>
          <w:color w:val="FF0000"/>
          <w:szCs w:val="21"/>
          <w:highlight w:val="yellow"/>
          <w:u w:val="single"/>
        </w:rPr>
        <w:t xml:space="preserve"> 2 </w:t>
      </w:r>
      <w:r>
        <w:rPr>
          <w:rFonts w:eastAsiaTheme="minorEastAsia"/>
          <w:color w:val="000000" w:themeColor="text1"/>
          <w:szCs w:val="21"/>
          <w:highlight w:val="yellow"/>
        </w:rPr>
        <w:t>轮报价</w:t>
      </w:r>
      <w:r>
        <w:rPr>
          <w:rFonts w:eastAsiaTheme="minorEastAsia"/>
          <w:color w:val="000000" w:themeColor="text1"/>
          <w:szCs w:val="21"/>
          <w:highlight w:val="none"/>
        </w:rPr>
        <w:t>，谈判评审小组将对评审后满足谈判文件资格要求的供应商进行二次报价，供应商应及时在不见面开标大厅填报二次报价，如谈判过程中</w:t>
      </w:r>
      <w:r>
        <w:rPr>
          <w:rFonts w:hint="eastAsia"/>
          <w:highlight w:val="none"/>
        </w:rPr>
        <w:t>因供应商原因导致无法联系等情况，供应商未依据采购人要求填报报价，视为供应商放弃二次报价，以初次报价为最终报价</w:t>
      </w:r>
      <w:r>
        <w:rPr>
          <w:rFonts w:eastAsiaTheme="minorEastAsia"/>
          <w:color w:val="000000" w:themeColor="text1"/>
          <w:szCs w:val="21"/>
          <w:highlight w:val="none"/>
        </w:rPr>
        <w:t>。</w:t>
      </w:r>
    </w:p>
    <w:p w14:paraId="34962BAD">
      <w:pPr>
        <w:spacing w:line="360" w:lineRule="exact"/>
        <w:ind w:firstLine="420"/>
        <w:jc w:val="left"/>
        <w:rPr>
          <w:rFonts w:eastAsiaTheme="minorEastAsia"/>
          <w:color w:val="000000" w:themeColor="text1"/>
          <w:szCs w:val="21"/>
          <w:highlight w:val="none"/>
        </w:rPr>
      </w:pPr>
      <w:r>
        <w:rPr>
          <w:rFonts w:eastAsiaTheme="minorEastAsia"/>
          <w:color w:val="000000" w:themeColor="text1"/>
          <w:szCs w:val="21"/>
          <w:highlight w:val="none"/>
        </w:rPr>
        <w:t>谈判评审小组可根据第二轮报价情况临时增加一轮谈判，邀请供应商进行第三轮报价，此情况下，第三轮报价为最终谈判报价，如谈判过程中</w:t>
      </w:r>
      <w:r>
        <w:rPr>
          <w:rFonts w:hint="eastAsia"/>
          <w:highlight w:val="none"/>
        </w:rPr>
        <w:t>因供应商原因导致无法联系等情况，供应商未依据采购人要求填报报价，视为供应商放弃</w:t>
      </w:r>
      <w:r>
        <w:rPr>
          <w:rFonts w:eastAsiaTheme="minorEastAsia"/>
          <w:color w:val="000000" w:themeColor="text1"/>
          <w:szCs w:val="21"/>
          <w:highlight w:val="none"/>
        </w:rPr>
        <w:t>第三轮</w:t>
      </w:r>
      <w:r>
        <w:rPr>
          <w:rFonts w:hint="eastAsia"/>
          <w:highlight w:val="none"/>
        </w:rPr>
        <w:t>报价，以前一次报价为最终报价</w:t>
      </w:r>
      <w:r>
        <w:rPr>
          <w:rFonts w:eastAsiaTheme="minorEastAsia"/>
          <w:color w:val="000000" w:themeColor="text1"/>
          <w:szCs w:val="21"/>
          <w:highlight w:val="none"/>
        </w:rPr>
        <w:t>。</w:t>
      </w:r>
    </w:p>
    <w:p w14:paraId="73AB5AF4">
      <w:pPr>
        <w:shd w:val="clear"/>
        <w:spacing w:line="360" w:lineRule="exact"/>
        <w:ind w:firstLine="420"/>
        <w:jc w:val="left"/>
        <w:rPr>
          <w:rFonts w:hint="eastAsia" w:eastAsiaTheme="minorEastAsia"/>
          <w:color w:val="000000" w:themeColor="text1"/>
          <w:szCs w:val="21"/>
          <w:highlight w:val="none"/>
          <w:lang w:eastAsia="zh-CN"/>
        </w:rPr>
      </w:pPr>
      <w:r>
        <w:rPr>
          <w:rFonts w:hint="eastAsia" w:eastAsiaTheme="minorEastAsia"/>
          <w:color w:val="000000" w:themeColor="text1"/>
          <w:szCs w:val="21"/>
          <w:highlight w:val="none"/>
          <w:lang w:eastAsia="zh-CN"/>
        </w:rPr>
        <w:t>后一轮报价均不得高于前一轮报价（开标现场临时增加工作内容的除外），</w:t>
      </w:r>
      <w:r>
        <w:rPr>
          <w:rFonts w:hint="eastAsia" w:eastAsiaTheme="minorEastAsia"/>
          <w:b/>
          <w:bCs/>
          <w:color w:val="FF0000"/>
          <w:szCs w:val="21"/>
          <w:highlight w:val="yellow"/>
          <w:lang w:eastAsia="zh-CN"/>
        </w:rPr>
        <w:t>否则采购人有权按无效响应处理</w:t>
      </w:r>
      <w:r>
        <w:rPr>
          <w:rFonts w:hint="eastAsia" w:eastAsiaTheme="minorEastAsia"/>
          <w:color w:val="000000" w:themeColor="text1"/>
          <w:szCs w:val="21"/>
          <w:highlight w:val="none"/>
          <w:lang w:eastAsia="zh-CN"/>
        </w:rPr>
        <w:t>。</w:t>
      </w:r>
    </w:p>
    <w:p w14:paraId="69BC88DB">
      <w:pPr>
        <w:shd w:val="clear"/>
        <w:spacing w:line="360" w:lineRule="exact"/>
        <w:ind w:firstLine="420"/>
        <w:jc w:val="left"/>
        <w:rPr>
          <w:rFonts w:hint="eastAsia" w:ascii="Times New Roman" w:hAnsi="Times New Roman" w:eastAsiaTheme="minorEastAsia"/>
          <w:b/>
          <w:bCs/>
          <w:color w:val="000000" w:themeColor="text1"/>
          <w:szCs w:val="21"/>
          <w:highlight w:val="none"/>
        </w:rPr>
      </w:pPr>
      <w:r>
        <w:rPr>
          <w:rFonts w:hint="eastAsia" w:ascii="Times New Roman" w:hAnsi="Times New Roman" w:eastAsiaTheme="minorEastAsia"/>
          <w:b/>
          <w:bCs/>
          <w:color w:val="000000" w:themeColor="text1"/>
          <w:szCs w:val="21"/>
          <w:highlight w:val="none"/>
        </w:rPr>
        <w:t>特别说明：①各供应商报价时需特别注意网上</w:t>
      </w:r>
      <w:r>
        <w:rPr>
          <w:rFonts w:hint="eastAsia" w:ascii="Times New Roman" w:hAnsi="Times New Roman" w:eastAsiaTheme="minorEastAsia"/>
          <w:b/>
          <w:bCs/>
          <w:color w:val="000000" w:themeColor="text1"/>
          <w:szCs w:val="21"/>
          <w:highlight w:val="none"/>
          <w:lang w:eastAsia="zh-CN"/>
        </w:rPr>
        <w:t>“</w:t>
      </w:r>
      <w:r>
        <w:rPr>
          <w:rFonts w:hint="eastAsia" w:ascii="Times New Roman" w:hAnsi="Times New Roman" w:eastAsiaTheme="minorEastAsia"/>
          <w:b/>
          <w:bCs/>
          <w:color w:val="000000" w:themeColor="text1"/>
          <w:szCs w:val="21"/>
          <w:highlight w:val="none"/>
        </w:rPr>
        <w:t>二次报价”界面等所需填报金额的单位</w:t>
      </w:r>
      <w:r>
        <w:rPr>
          <w:rFonts w:hint="eastAsia" w:ascii="Times New Roman" w:hAnsi="Times New Roman" w:eastAsiaTheme="minorEastAsia"/>
          <w:b/>
          <w:bCs/>
          <w:color w:val="000000" w:themeColor="text1"/>
          <w:szCs w:val="21"/>
          <w:highlight w:val="none"/>
          <w:lang w:eastAsia="zh-CN"/>
        </w:rPr>
        <w:t>（如有）</w:t>
      </w:r>
      <w:r>
        <w:rPr>
          <w:rFonts w:hint="eastAsia" w:ascii="Times New Roman" w:hAnsi="Times New Roman" w:eastAsiaTheme="minorEastAsia"/>
          <w:b/>
          <w:bCs/>
          <w:color w:val="000000" w:themeColor="text1"/>
          <w:szCs w:val="21"/>
          <w:highlight w:val="none"/>
        </w:rPr>
        <w:t>。</w:t>
      </w:r>
    </w:p>
    <w:p w14:paraId="6A9DBE80">
      <w:pPr>
        <w:shd w:val="clear"/>
        <w:spacing w:line="360" w:lineRule="exact"/>
        <w:ind w:firstLine="420"/>
        <w:jc w:val="left"/>
        <w:rPr>
          <w:rFonts w:eastAsiaTheme="minorEastAsia"/>
          <w:b/>
          <w:bCs/>
          <w:color w:val="000000" w:themeColor="text1"/>
          <w:szCs w:val="21"/>
          <w:highlight w:val="none"/>
        </w:rPr>
      </w:pPr>
      <w:r>
        <w:rPr>
          <w:rFonts w:hint="eastAsia" w:ascii="Times New Roman" w:hAnsi="Times New Roman" w:eastAsiaTheme="minorEastAsia"/>
          <w:b/>
          <w:bCs/>
          <w:color w:val="000000" w:themeColor="text1"/>
          <w:szCs w:val="21"/>
          <w:highlight w:val="none"/>
        </w:rPr>
        <w:t>②如未达到采购人预期，采购人有权邀请供应商继续进行报价或取消本次采购重新组织采购。</w:t>
      </w:r>
    </w:p>
    <w:p w14:paraId="3EA68F4C">
      <w:pPr>
        <w:pStyle w:val="18"/>
        <w:keepNext w:val="0"/>
        <w:keepLines w:val="0"/>
        <w:pageBreakBefore w:val="0"/>
        <w:widowControl w:val="0"/>
        <w:shd w:val="clear"/>
        <w:kinsoku/>
        <w:wordWrap/>
        <w:overflowPunct/>
        <w:topLinePunct w:val="0"/>
        <w:autoSpaceDE/>
        <w:autoSpaceDN/>
        <w:bidi w:val="0"/>
        <w:adjustRightInd/>
        <w:snapToGrid/>
        <w:spacing w:after="0"/>
        <w:textAlignment w:val="auto"/>
        <w:rPr>
          <w:rFonts w:hint="eastAsia" w:eastAsiaTheme="minorEastAsia"/>
          <w:b/>
          <w:bCs/>
          <w:color w:val="auto"/>
          <w:szCs w:val="21"/>
          <w:highlight w:val="green"/>
          <w:lang w:val="en-US" w:eastAsia="zh-CN"/>
        </w:rPr>
      </w:pPr>
      <w:r>
        <w:rPr>
          <w:rFonts w:hint="eastAsia" w:eastAsiaTheme="minorEastAsia"/>
          <w:b/>
          <w:bCs/>
          <w:color w:val="auto"/>
          <w:szCs w:val="21"/>
          <w:highlight w:val="green"/>
          <w:lang w:val="en-US" w:eastAsia="zh-CN"/>
        </w:rPr>
        <w:t>3.2.4其他要求</w:t>
      </w:r>
    </w:p>
    <w:p w14:paraId="5AED2C1B">
      <w:pPr>
        <w:keepNext w:val="0"/>
        <w:keepLines w:val="0"/>
        <w:pageBreakBefore w:val="0"/>
        <w:widowControl w:val="0"/>
        <w:numPr>
          <w:ilvl w:val="0"/>
          <w:numId w:val="4"/>
        </w:numPr>
        <w:shd w:val="clear"/>
        <w:kinsoku/>
        <w:wordWrap/>
        <w:overflowPunct/>
        <w:topLinePunct w:val="0"/>
        <w:autoSpaceDE/>
        <w:autoSpaceDN/>
        <w:bidi w:val="0"/>
        <w:adjustRightInd/>
        <w:snapToGrid/>
        <w:spacing w:line="360" w:lineRule="exact"/>
        <w:ind w:firstLine="420" w:firstLineChars="200"/>
        <w:jc w:val="left"/>
        <w:textAlignment w:val="auto"/>
        <w:rPr>
          <w:rFonts w:hint="eastAsia" w:ascii="Times New Roman" w:hAnsi="Times New Roman" w:cs="Times New Roman" w:eastAsiaTheme="minorEastAsia"/>
          <w:color w:val="auto"/>
          <w:kern w:val="2"/>
          <w:sz w:val="21"/>
          <w:szCs w:val="21"/>
          <w:lang w:val="en-US" w:eastAsia="zh-CN" w:bidi="ar-SA"/>
        </w:rPr>
      </w:pPr>
      <w:r>
        <w:rPr>
          <w:rFonts w:hint="eastAsia" w:cs="Times New Roman" w:eastAsiaTheme="minorEastAsia"/>
          <w:color w:val="auto"/>
          <w:kern w:val="2"/>
          <w:sz w:val="21"/>
          <w:szCs w:val="21"/>
          <w:lang w:val="en-US" w:eastAsia="zh-CN" w:bidi="ar-SA"/>
        </w:rPr>
        <w:t>本合同月租单价为固定价格，包括但不限人工费、人身意外保险、设备财产险等保险、第三方责任险等费用、燃料动力费、洒水车水费、压滤机电费、设备使用折旧、设备转移费、安全检查管理、检测维护（包括入场前第三方检测费）、修理保养费（包括配件费）、试运行费、操作人员工资及食宿、生活用水电暖费、措施费（如：防台风、防沙尘、夜间施工费、农忙、节假日加班费、连续施工费用、赶工费等措施费）、科研费、进出场费（含过路过桥等费用）、安装拆卸费、运输费、搬运费、管理费、利润、行政规费、税金等其他相关服务的一切费用，乙方承诺不再提出任何其他费用。在合同期内除税单价固定不变，税率随国家政策相应调整</w:t>
      </w:r>
      <w:r>
        <w:rPr>
          <w:rFonts w:hint="eastAsia" w:ascii="Times New Roman" w:hAnsi="Times New Roman" w:cs="Times New Roman" w:eastAsiaTheme="minorEastAsia"/>
          <w:color w:val="auto"/>
          <w:kern w:val="2"/>
          <w:sz w:val="21"/>
          <w:szCs w:val="21"/>
          <w:lang w:val="en-US" w:eastAsia="zh-CN" w:bidi="ar-SA"/>
        </w:rPr>
        <w:t>。</w:t>
      </w:r>
    </w:p>
    <w:p w14:paraId="110B6A7A">
      <w:pPr>
        <w:keepNext w:val="0"/>
        <w:keepLines w:val="0"/>
        <w:pageBreakBefore w:val="0"/>
        <w:widowControl w:val="0"/>
        <w:numPr>
          <w:ilvl w:val="0"/>
          <w:numId w:val="4"/>
        </w:numPr>
        <w:shd w:val="clear"/>
        <w:kinsoku/>
        <w:wordWrap/>
        <w:overflowPunct/>
        <w:topLinePunct w:val="0"/>
        <w:autoSpaceDE/>
        <w:autoSpaceDN/>
        <w:bidi w:val="0"/>
        <w:adjustRightInd/>
        <w:snapToGrid/>
        <w:spacing w:line="360" w:lineRule="exact"/>
        <w:ind w:firstLine="420" w:firstLineChars="200"/>
        <w:jc w:val="left"/>
        <w:textAlignment w:val="auto"/>
        <w:rPr>
          <w:rFonts w:hint="eastAsia" w:ascii="Times New Roman" w:hAnsi="Times New Roman" w:cs="Times New Roman" w:eastAsiaTheme="minorEastAsia"/>
          <w:color w:val="auto"/>
          <w:szCs w:val="21"/>
          <w:highlight w:val="none"/>
          <w:lang w:eastAsia="zh-CN"/>
        </w:rPr>
      </w:pPr>
      <w:r>
        <w:rPr>
          <w:rFonts w:hint="eastAsia" w:cs="Times New Roman" w:eastAsiaTheme="minorEastAsia"/>
          <w:color w:val="auto"/>
          <w:kern w:val="2"/>
          <w:sz w:val="21"/>
          <w:szCs w:val="21"/>
          <w:lang w:val="en-US" w:eastAsia="zh-CN" w:bidi="ar-SA"/>
        </w:rPr>
        <w:t>租赁时间不足一月者，按实际提供设备(司机)数量、实际租赁天数结算，日租金=月租金/30</w:t>
      </w:r>
      <w:r>
        <w:rPr>
          <w:rFonts w:hint="eastAsia" w:ascii="Times New Roman" w:hAnsi="Times New Roman" w:cs="Times New Roman" w:eastAsiaTheme="minorEastAsia"/>
          <w:color w:val="auto"/>
          <w:kern w:val="2"/>
          <w:sz w:val="21"/>
          <w:szCs w:val="21"/>
          <w:lang w:val="en-US" w:eastAsia="zh-CN" w:bidi="ar-SA"/>
        </w:rPr>
        <w:t>。</w:t>
      </w:r>
    </w:p>
    <w:p w14:paraId="6751FD8B">
      <w:pPr>
        <w:keepNext w:val="0"/>
        <w:keepLines w:val="0"/>
        <w:pageBreakBefore w:val="0"/>
        <w:widowControl w:val="0"/>
        <w:numPr>
          <w:ilvl w:val="0"/>
          <w:numId w:val="4"/>
        </w:numPr>
        <w:shd w:val="clear"/>
        <w:kinsoku/>
        <w:wordWrap/>
        <w:overflowPunct/>
        <w:topLinePunct w:val="0"/>
        <w:autoSpaceDE/>
        <w:autoSpaceDN/>
        <w:bidi w:val="0"/>
        <w:adjustRightInd/>
        <w:snapToGrid/>
        <w:spacing w:line="360" w:lineRule="exact"/>
        <w:ind w:firstLine="420" w:firstLineChars="200"/>
        <w:jc w:val="left"/>
        <w:textAlignment w:val="auto"/>
        <w:rPr>
          <w:rFonts w:hint="eastAsia" w:ascii="Times New Roman" w:hAnsi="Times New Roman" w:cs="Times New Roman" w:eastAsiaTheme="minorEastAsia"/>
          <w:color w:val="auto"/>
          <w:szCs w:val="21"/>
          <w:highlight w:val="none"/>
          <w:lang w:eastAsia="zh-CN"/>
        </w:rPr>
      </w:pPr>
      <w:r>
        <w:rPr>
          <w:rFonts w:hint="eastAsia" w:hAnsiTheme="minorEastAsia" w:eastAsiaTheme="minorEastAsia"/>
          <w:color w:val="000000" w:themeColor="text1"/>
          <w:szCs w:val="21"/>
          <w:highlight w:val="none"/>
          <w:u w:val="single"/>
          <w:lang w:eastAsia="zh-CN"/>
        </w:rPr>
        <w:t>工程量清单</w:t>
      </w:r>
      <w:r>
        <w:rPr>
          <w:rFonts w:hint="eastAsia" w:hAnsiTheme="minorEastAsia" w:eastAsiaTheme="minorEastAsia"/>
          <w:color w:val="000000" w:themeColor="text1"/>
          <w:szCs w:val="21"/>
          <w:highlight w:val="none"/>
          <w:u w:val="none"/>
          <w:lang w:val="en-US" w:eastAsia="zh-CN"/>
        </w:rPr>
        <w:t>中</w:t>
      </w:r>
      <w:r>
        <w:rPr>
          <w:rFonts w:hint="eastAsia" w:cs="Times New Roman" w:eastAsiaTheme="minorEastAsia"/>
          <w:color w:val="auto"/>
          <w:kern w:val="2"/>
          <w:sz w:val="21"/>
          <w:szCs w:val="21"/>
          <w:lang w:val="en-US" w:eastAsia="zh-CN" w:bidi="ar-SA"/>
        </w:rPr>
        <w:t>租赁数量及租赁时间为暂定，甲方有权根据工地施工需要对具体租赁数量及租赁时间进行调整</w:t>
      </w:r>
      <w:r>
        <w:rPr>
          <w:rFonts w:hint="eastAsia" w:ascii="Times New Roman" w:hAnsi="Times New Roman" w:cs="Times New Roman" w:eastAsiaTheme="minorEastAsia"/>
          <w:color w:val="auto"/>
          <w:kern w:val="2"/>
          <w:sz w:val="21"/>
          <w:szCs w:val="21"/>
          <w:lang w:val="en-US" w:eastAsia="zh-CN" w:bidi="ar-SA"/>
        </w:rPr>
        <w:t>。</w:t>
      </w:r>
    </w:p>
    <w:bookmarkEnd w:id="23"/>
    <w:bookmarkEnd w:id="24"/>
    <w:bookmarkEnd w:id="25"/>
    <w:bookmarkEnd w:id="26"/>
    <w:bookmarkEnd w:id="27"/>
    <w:bookmarkEnd w:id="28"/>
    <w:bookmarkEnd w:id="77"/>
    <w:bookmarkEnd w:id="78"/>
    <w:p w14:paraId="220473F5">
      <w:pPr>
        <w:spacing w:line="360" w:lineRule="exact"/>
        <w:ind w:firstLine="0" w:firstLineChars="0"/>
        <w:jc w:val="left"/>
        <w:rPr>
          <w:rFonts w:eastAsiaTheme="minorEastAsia"/>
          <w:b/>
          <w:bCs/>
          <w:color w:val="000000" w:themeColor="text1"/>
          <w:szCs w:val="21"/>
        </w:rPr>
      </w:pPr>
      <w:bookmarkStart w:id="79" w:name="_Toc12025629"/>
      <w:r>
        <w:rPr>
          <w:rFonts w:eastAsiaTheme="minorEastAsia"/>
          <w:b/>
          <w:bCs/>
          <w:color w:val="000000" w:themeColor="text1"/>
          <w:szCs w:val="21"/>
        </w:rPr>
        <w:t>3.3 谈判有效期</w:t>
      </w:r>
    </w:p>
    <w:p w14:paraId="36AAD068">
      <w:pPr>
        <w:spacing w:line="360" w:lineRule="exact"/>
        <w:ind w:firstLine="420"/>
        <w:jc w:val="left"/>
        <w:rPr>
          <w:rFonts w:eastAsiaTheme="minorEastAsia"/>
          <w:color w:val="000000" w:themeColor="text1"/>
          <w:szCs w:val="21"/>
        </w:rPr>
      </w:pPr>
      <w:r>
        <w:rPr>
          <w:rFonts w:eastAsiaTheme="minorEastAsia"/>
          <w:color w:val="000000" w:themeColor="text1"/>
          <w:szCs w:val="21"/>
        </w:rPr>
        <w:t>3.3.1本项目谈判有效期见</w:t>
      </w:r>
      <w:r>
        <w:rPr>
          <w:rFonts w:hint="eastAsia" w:asciiTheme="minorEastAsia" w:hAnsiTheme="minorEastAsia" w:eastAsiaTheme="minorEastAsia"/>
          <w:color w:val="000000" w:themeColor="text1"/>
          <w:szCs w:val="21"/>
          <w:lang w:eastAsia="zh-CN"/>
        </w:rPr>
        <w:t>“</w:t>
      </w:r>
      <w:r>
        <w:rPr>
          <w:rFonts w:asciiTheme="minorEastAsia" w:hAnsiTheme="minorEastAsia" w:eastAsiaTheme="minorEastAsia"/>
          <w:color w:val="000000" w:themeColor="text1"/>
          <w:szCs w:val="21"/>
        </w:rPr>
        <w:t>供应商须知前附表</w:t>
      </w:r>
      <w:r>
        <w:rPr>
          <w:rFonts w:hint="eastAsia" w:asciiTheme="minorEastAsia" w:hAnsiTheme="minorEastAsia" w:eastAsiaTheme="minorEastAsia"/>
          <w:color w:val="000000" w:themeColor="text1"/>
          <w:szCs w:val="21"/>
          <w:lang w:eastAsia="zh-CN"/>
        </w:rPr>
        <w:t>”</w:t>
      </w:r>
      <w:r>
        <w:rPr>
          <w:rFonts w:eastAsiaTheme="minorEastAsia"/>
          <w:color w:val="000000" w:themeColor="text1"/>
          <w:szCs w:val="21"/>
        </w:rPr>
        <w:t>，在规定的谈判有效期内，供应商不得要求撤销或修改其响应文件。</w:t>
      </w:r>
    </w:p>
    <w:p w14:paraId="68C3C444">
      <w:pPr>
        <w:spacing w:line="360" w:lineRule="exact"/>
        <w:ind w:firstLine="420"/>
        <w:jc w:val="left"/>
        <w:rPr>
          <w:rFonts w:eastAsiaTheme="minorEastAsia"/>
          <w:color w:val="000000" w:themeColor="text1"/>
          <w:szCs w:val="21"/>
        </w:rPr>
      </w:pPr>
      <w:r>
        <w:rPr>
          <w:rFonts w:eastAsiaTheme="minorEastAsia"/>
          <w:color w:val="000000" w:themeColor="text1"/>
          <w:szCs w:val="21"/>
        </w:rPr>
        <w:t>3.3.2出现特殊情况需要延长谈判有效期的，采购人将通知所有供应商延长谈判有效期。供应商同意延长的，应相应延长其谈判保证金的有效期，但不得要求或被允许修改或撤销其响应文件；供应商拒绝延长的，其响应文件失效，但供应商有权收回其谈判保证金。</w:t>
      </w:r>
    </w:p>
    <w:p w14:paraId="5D5A9118">
      <w:pPr>
        <w:spacing w:line="360" w:lineRule="exact"/>
        <w:ind w:firstLine="0" w:firstLineChars="0"/>
        <w:jc w:val="left"/>
        <w:rPr>
          <w:rFonts w:eastAsiaTheme="minorEastAsia"/>
          <w:b/>
          <w:bCs/>
          <w:color w:val="000000" w:themeColor="text1"/>
          <w:szCs w:val="21"/>
        </w:rPr>
      </w:pPr>
      <w:bookmarkStart w:id="80" w:name="_Toc389065166"/>
      <w:bookmarkStart w:id="81" w:name="_Toc520410592"/>
      <w:r>
        <w:rPr>
          <w:rFonts w:eastAsiaTheme="minorEastAsia"/>
          <w:b/>
          <w:bCs/>
          <w:color w:val="000000" w:themeColor="text1"/>
          <w:szCs w:val="21"/>
        </w:rPr>
        <w:t>3.4 谈判保证金</w:t>
      </w:r>
      <w:bookmarkEnd w:id="80"/>
      <w:bookmarkEnd w:id="81"/>
    </w:p>
    <w:p w14:paraId="659C1F9B">
      <w:pPr>
        <w:spacing w:line="360" w:lineRule="exact"/>
        <w:ind w:firstLine="420"/>
        <w:jc w:val="left"/>
        <w:rPr>
          <w:rFonts w:eastAsiaTheme="minorEastAsia"/>
          <w:color w:val="000000" w:themeColor="text1"/>
          <w:szCs w:val="21"/>
        </w:rPr>
      </w:pPr>
      <w:r>
        <w:rPr>
          <w:rFonts w:eastAsiaTheme="minorEastAsia"/>
          <w:color w:val="000000" w:themeColor="text1"/>
          <w:szCs w:val="21"/>
        </w:rPr>
        <w:t>3.4.1 谈判保证金提交要求：</w:t>
      </w:r>
      <w:bookmarkStart w:id="82" w:name="_Hlk39483102"/>
      <w:r>
        <w:rPr>
          <w:rFonts w:eastAsiaTheme="minorEastAsia"/>
          <w:color w:val="000000" w:themeColor="text1"/>
          <w:szCs w:val="21"/>
        </w:rPr>
        <w:t>见</w:t>
      </w:r>
      <w:r>
        <w:rPr>
          <w:rFonts w:hint="eastAsia" w:eastAsiaTheme="minorEastAsia"/>
          <w:color w:val="000000" w:themeColor="text1"/>
          <w:szCs w:val="21"/>
          <w:lang w:eastAsia="zh-CN"/>
        </w:rPr>
        <w:t>“</w:t>
      </w:r>
      <w:r>
        <w:rPr>
          <w:rFonts w:eastAsiaTheme="minorEastAsia"/>
          <w:color w:val="000000" w:themeColor="text1"/>
          <w:szCs w:val="21"/>
        </w:rPr>
        <w:t>供应商须知前附表</w:t>
      </w:r>
      <w:r>
        <w:rPr>
          <w:rFonts w:hint="eastAsia" w:eastAsiaTheme="minorEastAsia"/>
          <w:color w:val="000000" w:themeColor="text1"/>
          <w:szCs w:val="21"/>
          <w:lang w:eastAsia="zh-CN"/>
        </w:rPr>
        <w:t>”</w:t>
      </w:r>
      <w:r>
        <w:rPr>
          <w:rFonts w:eastAsiaTheme="minorEastAsia"/>
          <w:color w:val="000000" w:themeColor="text1"/>
          <w:szCs w:val="21"/>
        </w:rPr>
        <w:t>。</w:t>
      </w:r>
      <w:bookmarkEnd w:id="82"/>
    </w:p>
    <w:p w14:paraId="49A681C1">
      <w:pPr>
        <w:spacing w:line="360" w:lineRule="exact"/>
        <w:ind w:firstLine="420"/>
        <w:jc w:val="left"/>
        <w:rPr>
          <w:rFonts w:eastAsiaTheme="minorEastAsia"/>
          <w:color w:val="000000" w:themeColor="text1"/>
          <w:szCs w:val="21"/>
        </w:rPr>
      </w:pPr>
      <w:r>
        <w:rPr>
          <w:rFonts w:eastAsiaTheme="minorEastAsia"/>
          <w:color w:val="000000" w:themeColor="text1"/>
          <w:szCs w:val="21"/>
        </w:rPr>
        <w:t>3.4.2 供应商不按本章第3.4.1项要求提交谈判保证金的，评审委员会将否决其递交的响应文件。</w:t>
      </w:r>
    </w:p>
    <w:p w14:paraId="65F5D614">
      <w:pPr>
        <w:spacing w:line="360" w:lineRule="exact"/>
        <w:ind w:firstLine="420"/>
        <w:rPr>
          <w:rFonts w:eastAsiaTheme="minorEastAsia"/>
          <w:color w:val="000000" w:themeColor="text1"/>
          <w:szCs w:val="21"/>
        </w:rPr>
      </w:pPr>
      <w:r>
        <w:rPr>
          <w:rFonts w:eastAsiaTheme="minorEastAsia"/>
          <w:color w:val="000000" w:themeColor="text1"/>
          <w:szCs w:val="21"/>
        </w:rPr>
        <w:t>3.4.3采购人</w:t>
      </w:r>
      <w:r>
        <w:rPr>
          <w:rFonts w:eastAsiaTheme="minorEastAsia"/>
          <w:color w:val="000000" w:themeColor="text1"/>
          <w:szCs w:val="21"/>
          <w:highlight w:val="none"/>
        </w:rPr>
        <w:t>在</w:t>
      </w:r>
      <w:r>
        <w:rPr>
          <w:rFonts w:hint="eastAsia" w:eastAsiaTheme="minorEastAsia"/>
          <w:color w:val="000000" w:themeColor="text1"/>
          <w:szCs w:val="21"/>
          <w:highlight w:val="none"/>
        </w:rPr>
        <w:t>成交通知书发放（确定成交人）</w:t>
      </w:r>
      <w:r>
        <w:rPr>
          <w:rFonts w:eastAsiaTheme="minorEastAsia"/>
          <w:color w:val="000000" w:themeColor="text1"/>
          <w:szCs w:val="21"/>
          <w:highlight w:val="none"/>
        </w:rPr>
        <w:t>后</w:t>
      </w:r>
      <w:r>
        <w:rPr>
          <w:rFonts w:hint="eastAsia" w:ascii="Times New Roman" w:hAnsi="Times New Roman" w:eastAsiaTheme="minorEastAsia"/>
          <w:color w:val="000000" w:themeColor="text1"/>
          <w:szCs w:val="21"/>
          <w:highlight w:val="yellow"/>
        </w:rPr>
        <w:t>10工作日</w:t>
      </w:r>
      <w:r>
        <w:rPr>
          <w:rFonts w:eastAsiaTheme="minorEastAsia"/>
          <w:color w:val="000000" w:themeColor="text1"/>
          <w:szCs w:val="21"/>
        </w:rPr>
        <w:t>内退还非成交供应商的谈判保证金，合同签订后</w:t>
      </w:r>
      <w:r>
        <w:rPr>
          <w:rFonts w:hint="eastAsia" w:ascii="Times New Roman" w:hAnsi="Times New Roman" w:eastAsiaTheme="minorEastAsia"/>
          <w:color w:val="000000" w:themeColor="text1"/>
          <w:szCs w:val="21"/>
          <w:highlight w:val="yellow"/>
        </w:rPr>
        <w:t>10工作日</w:t>
      </w:r>
      <w:r>
        <w:rPr>
          <w:rFonts w:eastAsiaTheme="minorEastAsia"/>
          <w:color w:val="000000" w:themeColor="text1"/>
          <w:szCs w:val="21"/>
        </w:rPr>
        <w:t>内退还成交供应商的谈判保证金。</w:t>
      </w:r>
    </w:p>
    <w:p w14:paraId="6B19F4B9">
      <w:pPr>
        <w:spacing w:line="360" w:lineRule="exact"/>
        <w:ind w:firstLine="420"/>
        <w:jc w:val="left"/>
        <w:rPr>
          <w:rFonts w:eastAsiaTheme="minorEastAsia"/>
          <w:color w:val="000000" w:themeColor="text1"/>
          <w:szCs w:val="21"/>
        </w:rPr>
      </w:pPr>
      <w:r>
        <w:rPr>
          <w:rFonts w:eastAsiaTheme="minorEastAsia"/>
          <w:color w:val="000000" w:themeColor="text1"/>
          <w:szCs w:val="21"/>
        </w:rPr>
        <w:t>3.4.4谈判保证金不予退还的情形：见</w:t>
      </w:r>
      <w:r>
        <w:rPr>
          <w:rFonts w:hint="eastAsia" w:eastAsiaTheme="minorEastAsia"/>
          <w:color w:val="000000" w:themeColor="text1"/>
          <w:szCs w:val="21"/>
          <w:lang w:eastAsia="zh-CN"/>
        </w:rPr>
        <w:t>“</w:t>
      </w:r>
      <w:r>
        <w:rPr>
          <w:rFonts w:eastAsiaTheme="minorEastAsia"/>
          <w:color w:val="000000" w:themeColor="text1"/>
          <w:szCs w:val="21"/>
        </w:rPr>
        <w:t>供应商须知前附表</w:t>
      </w:r>
      <w:r>
        <w:rPr>
          <w:rFonts w:hint="eastAsia" w:eastAsiaTheme="minorEastAsia"/>
          <w:color w:val="000000" w:themeColor="text1"/>
          <w:szCs w:val="21"/>
          <w:lang w:eastAsia="zh-CN"/>
        </w:rPr>
        <w:t>”</w:t>
      </w:r>
      <w:r>
        <w:rPr>
          <w:rFonts w:eastAsiaTheme="minorEastAsia"/>
          <w:color w:val="000000" w:themeColor="text1"/>
          <w:szCs w:val="21"/>
        </w:rPr>
        <w:t>。</w:t>
      </w:r>
    </w:p>
    <w:p w14:paraId="32D202A5">
      <w:pPr>
        <w:spacing w:line="360" w:lineRule="exact"/>
        <w:ind w:firstLine="0" w:firstLineChars="0"/>
        <w:jc w:val="left"/>
        <w:rPr>
          <w:rFonts w:eastAsiaTheme="minorEastAsia"/>
          <w:b/>
          <w:bCs/>
          <w:color w:val="000000" w:themeColor="text1"/>
          <w:szCs w:val="21"/>
        </w:rPr>
      </w:pPr>
      <w:bookmarkStart w:id="83" w:name="_Toc520410593"/>
      <w:bookmarkStart w:id="84" w:name="_Toc389065168"/>
      <w:bookmarkStart w:id="85" w:name="_Toc520410594"/>
      <w:bookmarkStart w:id="86" w:name="_Toc389065169"/>
      <w:r>
        <w:rPr>
          <w:rFonts w:eastAsiaTheme="minorEastAsia"/>
          <w:b/>
          <w:bCs/>
          <w:color w:val="000000" w:themeColor="text1"/>
          <w:szCs w:val="21"/>
        </w:rPr>
        <w:t>3.5 响应文件的编制</w:t>
      </w:r>
      <w:bookmarkEnd w:id="83"/>
      <w:bookmarkEnd w:id="84"/>
    </w:p>
    <w:p w14:paraId="261AC2E2">
      <w:pPr>
        <w:spacing w:line="360" w:lineRule="exact"/>
        <w:ind w:firstLine="420"/>
        <w:jc w:val="left"/>
        <w:rPr>
          <w:rFonts w:eastAsiaTheme="minorEastAsia"/>
          <w:color w:val="000000" w:themeColor="text1"/>
          <w:szCs w:val="21"/>
        </w:rPr>
      </w:pPr>
      <w:r>
        <w:rPr>
          <w:rFonts w:eastAsiaTheme="minorEastAsia"/>
          <w:color w:val="000000" w:themeColor="text1"/>
          <w:szCs w:val="21"/>
        </w:rPr>
        <w:t>3.5.1供应商应认真阅读谈判文件所有的内容，响应文件应按第</w:t>
      </w:r>
      <w:r>
        <w:rPr>
          <w:rFonts w:hint="eastAsia" w:eastAsiaTheme="minorEastAsia"/>
          <w:color w:val="000000" w:themeColor="text1"/>
          <w:szCs w:val="21"/>
        </w:rPr>
        <w:t>六</w:t>
      </w:r>
      <w:r>
        <w:rPr>
          <w:rFonts w:eastAsiaTheme="minorEastAsia"/>
          <w:color w:val="000000" w:themeColor="text1"/>
          <w:szCs w:val="21"/>
        </w:rPr>
        <w:t>章</w:t>
      </w:r>
      <w:r>
        <w:rPr>
          <w:rFonts w:hint="eastAsia" w:eastAsiaTheme="minorEastAsia"/>
          <w:color w:val="000000" w:themeColor="text1"/>
          <w:szCs w:val="21"/>
          <w:lang w:eastAsia="zh-CN"/>
        </w:rPr>
        <w:t>“</w:t>
      </w:r>
      <w:r>
        <w:rPr>
          <w:rFonts w:eastAsiaTheme="minorEastAsia"/>
          <w:color w:val="000000" w:themeColor="text1"/>
          <w:szCs w:val="21"/>
        </w:rPr>
        <w:t>响应文件格式</w:t>
      </w:r>
      <w:r>
        <w:rPr>
          <w:rFonts w:hint="eastAsia" w:eastAsiaTheme="minorEastAsia"/>
          <w:color w:val="000000" w:themeColor="text1"/>
          <w:szCs w:val="21"/>
          <w:lang w:eastAsia="zh-CN"/>
        </w:rPr>
        <w:t>”</w:t>
      </w:r>
      <w:r>
        <w:rPr>
          <w:rFonts w:eastAsiaTheme="minorEastAsia"/>
          <w:color w:val="000000" w:themeColor="text1"/>
          <w:szCs w:val="21"/>
        </w:rPr>
        <w:t>进行编写，如有必要可自行增加，作为响应文件的组成部分。</w:t>
      </w:r>
    </w:p>
    <w:p w14:paraId="184354DD">
      <w:pPr>
        <w:spacing w:line="360" w:lineRule="exact"/>
        <w:ind w:firstLine="420"/>
        <w:jc w:val="left"/>
        <w:rPr>
          <w:rFonts w:eastAsiaTheme="minorEastAsia"/>
          <w:color w:val="000000" w:themeColor="text1"/>
          <w:szCs w:val="21"/>
        </w:rPr>
      </w:pPr>
      <w:r>
        <w:rPr>
          <w:rFonts w:eastAsiaTheme="minorEastAsia"/>
          <w:color w:val="000000" w:themeColor="text1"/>
          <w:szCs w:val="21"/>
        </w:rPr>
        <w:t>3.5.2响应文件应当对谈判文件有关工期、谈判有效期、质量要求、技术标准和要求、采购范围等实质性内容作出响应。</w:t>
      </w:r>
    </w:p>
    <w:p w14:paraId="55583F8F">
      <w:pPr>
        <w:spacing w:line="360" w:lineRule="exact"/>
        <w:ind w:firstLine="420"/>
        <w:jc w:val="left"/>
        <w:rPr>
          <w:rFonts w:eastAsiaTheme="minorEastAsia"/>
          <w:color w:val="000000" w:themeColor="text1"/>
          <w:szCs w:val="21"/>
        </w:rPr>
      </w:pPr>
      <w:r>
        <w:rPr>
          <w:rFonts w:eastAsiaTheme="minorEastAsia"/>
          <w:color w:val="000000" w:themeColor="text1"/>
          <w:szCs w:val="21"/>
        </w:rPr>
        <w:t>3.5.3未注明用何种语言和币种的，以中文和人民币为准。全套响应文件应无修改和行间插字，如有修改，须在修改处加盖供应商法定代表人或其授权委托人的签字。</w:t>
      </w:r>
    </w:p>
    <w:p w14:paraId="3E548B26">
      <w:pPr>
        <w:pStyle w:val="2"/>
        <w:spacing w:before="0" w:after="0" w:line="360" w:lineRule="exact"/>
        <w:ind w:firstLine="0" w:firstLineChars="0"/>
        <w:jc w:val="left"/>
        <w:rPr>
          <w:rFonts w:ascii="Times New Roman" w:hAnsi="Times New Roman" w:eastAsiaTheme="minorEastAsia"/>
          <w:color w:val="000000" w:themeColor="text1"/>
          <w:sz w:val="21"/>
          <w:szCs w:val="21"/>
        </w:rPr>
      </w:pPr>
      <w:bookmarkStart w:id="87" w:name="_Toc3256"/>
      <w:r>
        <w:rPr>
          <w:rFonts w:ascii="Times New Roman" w:hAnsi="Times New Roman" w:eastAsiaTheme="minorEastAsia"/>
          <w:color w:val="000000" w:themeColor="text1"/>
          <w:sz w:val="21"/>
          <w:szCs w:val="21"/>
        </w:rPr>
        <w:t>四、</w:t>
      </w:r>
      <w:bookmarkEnd w:id="85"/>
      <w:bookmarkEnd w:id="86"/>
      <w:bookmarkStart w:id="88" w:name="_Toc389065170"/>
      <w:bookmarkStart w:id="89" w:name="_Toc520410595"/>
      <w:r>
        <w:rPr>
          <w:rFonts w:ascii="Times New Roman" w:hAnsi="Times New Roman" w:eastAsiaTheme="minorEastAsia"/>
          <w:color w:val="000000" w:themeColor="text1"/>
          <w:sz w:val="21"/>
          <w:szCs w:val="21"/>
        </w:rPr>
        <w:t>响应文件的递交</w:t>
      </w:r>
      <w:bookmarkEnd w:id="87"/>
      <w:r>
        <w:rPr>
          <w:rFonts w:ascii="Times New Roman" w:hAnsi="Times New Roman" w:eastAsiaTheme="minorEastAsia"/>
          <w:color w:val="000000" w:themeColor="text1"/>
          <w:sz w:val="21"/>
          <w:szCs w:val="21"/>
        </w:rPr>
        <w:t>、修改与撤回</w:t>
      </w:r>
    </w:p>
    <w:p w14:paraId="27E0980C">
      <w:pPr>
        <w:spacing w:line="360" w:lineRule="exact"/>
        <w:ind w:firstLine="0" w:firstLineChars="0"/>
        <w:jc w:val="left"/>
        <w:rPr>
          <w:rFonts w:eastAsiaTheme="minorEastAsia"/>
          <w:bCs/>
          <w:color w:val="000000" w:themeColor="text1"/>
          <w:szCs w:val="21"/>
        </w:rPr>
      </w:pPr>
      <w:r>
        <w:rPr>
          <w:rFonts w:eastAsiaTheme="minorEastAsia"/>
          <w:bCs/>
          <w:color w:val="000000" w:themeColor="text1"/>
          <w:szCs w:val="21"/>
        </w:rPr>
        <w:t>4.1 响应文件的</w:t>
      </w:r>
      <w:bookmarkEnd w:id="88"/>
      <w:bookmarkEnd w:id="89"/>
      <w:r>
        <w:rPr>
          <w:rFonts w:eastAsiaTheme="minorEastAsia"/>
          <w:bCs/>
          <w:color w:val="000000" w:themeColor="text1"/>
          <w:szCs w:val="21"/>
        </w:rPr>
        <w:t>递交</w:t>
      </w:r>
    </w:p>
    <w:p w14:paraId="4F2A41D4">
      <w:pPr>
        <w:spacing w:line="360" w:lineRule="exact"/>
        <w:ind w:firstLine="420"/>
        <w:jc w:val="left"/>
        <w:rPr>
          <w:rFonts w:eastAsiaTheme="minorEastAsia"/>
          <w:color w:val="000000" w:themeColor="text1"/>
          <w:szCs w:val="21"/>
        </w:rPr>
      </w:pPr>
      <w:bookmarkStart w:id="90" w:name="_Toc520410596"/>
      <w:bookmarkStart w:id="91" w:name="_Toc389065171"/>
      <w:r>
        <w:rPr>
          <w:rFonts w:eastAsiaTheme="minorEastAsia"/>
          <w:color w:val="000000" w:themeColor="text1"/>
          <w:szCs w:val="21"/>
        </w:rPr>
        <w:t xml:space="preserve">4.1.1 </w:t>
      </w:r>
      <w:bookmarkEnd w:id="90"/>
      <w:bookmarkEnd w:id="91"/>
      <w:r>
        <w:rPr>
          <w:rFonts w:eastAsiaTheme="minorEastAsia"/>
          <w:color w:val="000000" w:themeColor="text1"/>
          <w:szCs w:val="21"/>
        </w:rPr>
        <w:t>供应商应在供应商须知前附表规定的响应文件递交截止时间前，向</w:t>
      </w:r>
      <w:r>
        <w:rPr>
          <w:rFonts w:hint="eastAsia" w:eastAsiaTheme="minorEastAsia"/>
          <w:color w:val="000000" w:themeColor="text1"/>
          <w:szCs w:val="21"/>
          <w:lang w:eastAsia="zh-CN"/>
        </w:rPr>
        <w:t>“方洋集团电子采购平台”</w:t>
      </w:r>
      <w:r>
        <w:rPr>
          <w:rFonts w:eastAsiaTheme="minorEastAsia"/>
          <w:color w:val="000000" w:themeColor="text1"/>
          <w:szCs w:val="21"/>
        </w:rPr>
        <w:t>递交电子响应文件。</w:t>
      </w:r>
    </w:p>
    <w:p w14:paraId="531440A6">
      <w:pPr>
        <w:spacing w:line="360" w:lineRule="exact"/>
        <w:ind w:firstLine="420"/>
        <w:jc w:val="left"/>
        <w:rPr>
          <w:rFonts w:eastAsiaTheme="minorEastAsia"/>
          <w:color w:val="000000" w:themeColor="text1"/>
          <w:szCs w:val="21"/>
        </w:rPr>
      </w:pPr>
      <w:r>
        <w:rPr>
          <w:rFonts w:eastAsiaTheme="minorEastAsia"/>
          <w:color w:val="000000" w:themeColor="text1"/>
          <w:szCs w:val="21"/>
        </w:rPr>
        <w:t>4.</w:t>
      </w:r>
      <w:r>
        <w:rPr>
          <w:rFonts w:hint="eastAsia" w:eastAsiaTheme="minorEastAsia"/>
          <w:color w:val="000000" w:themeColor="text1"/>
          <w:szCs w:val="21"/>
        </w:rPr>
        <w:t xml:space="preserve">1.2 </w:t>
      </w:r>
      <w:r>
        <w:rPr>
          <w:rFonts w:eastAsiaTheme="minorEastAsia"/>
          <w:color w:val="000000" w:themeColor="text1"/>
          <w:szCs w:val="21"/>
        </w:rPr>
        <w:t>响应文件递交的地点：详见</w:t>
      </w:r>
      <w:r>
        <w:rPr>
          <w:rFonts w:hint="eastAsia" w:eastAsiaTheme="minorEastAsia"/>
          <w:color w:val="000000" w:themeColor="text1"/>
          <w:szCs w:val="21"/>
          <w:lang w:eastAsia="zh-CN"/>
        </w:rPr>
        <w:t>“</w:t>
      </w:r>
      <w:r>
        <w:rPr>
          <w:rFonts w:eastAsiaTheme="minorEastAsia"/>
          <w:color w:val="000000" w:themeColor="text1"/>
          <w:szCs w:val="21"/>
        </w:rPr>
        <w:t>供应商须知前附表</w:t>
      </w:r>
      <w:r>
        <w:rPr>
          <w:rFonts w:hint="eastAsia" w:eastAsiaTheme="minorEastAsia"/>
          <w:color w:val="000000" w:themeColor="text1"/>
          <w:szCs w:val="21"/>
          <w:lang w:eastAsia="zh-CN"/>
        </w:rPr>
        <w:t>”</w:t>
      </w:r>
      <w:r>
        <w:rPr>
          <w:rFonts w:eastAsiaTheme="minorEastAsia"/>
          <w:color w:val="000000" w:themeColor="text1"/>
          <w:szCs w:val="21"/>
        </w:rPr>
        <w:t>。</w:t>
      </w:r>
    </w:p>
    <w:p w14:paraId="79ABC812">
      <w:pPr>
        <w:spacing w:line="360" w:lineRule="exact"/>
        <w:ind w:firstLine="420"/>
        <w:jc w:val="left"/>
        <w:rPr>
          <w:rFonts w:eastAsiaTheme="minorEastAsia"/>
          <w:color w:val="000000" w:themeColor="text1"/>
          <w:szCs w:val="21"/>
        </w:rPr>
      </w:pPr>
      <w:r>
        <w:rPr>
          <w:rFonts w:eastAsiaTheme="minorEastAsia"/>
          <w:color w:val="000000" w:themeColor="text1"/>
          <w:szCs w:val="21"/>
        </w:rPr>
        <w:t>4.1.3 逾期上传</w:t>
      </w:r>
      <w:r>
        <w:rPr>
          <w:rFonts w:hint="eastAsia" w:eastAsiaTheme="minorEastAsia"/>
          <w:color w:val="000000" w:themeColor="text1"/>
          <w:szCs w:val="21"/>
        </w:rPr>
        <w:t>电子</w:t>
      </w:r>
      <w:r>
        <w:rPr>
          <w:rFonts w:eastAsiaTheme="minorEastAsia"/>
          <w:color w:val="000000" w:themeColor="text1"/>
          <w:szCs w:val="21"/>
        </w:rPr>
        <w:t>响应文件的，采购人不予受理。</w:t>
      </w:r>
    </w:p>
    <w:p w14:paraId="77FF32F1">
      <w:pPr>
        <w:spacing w:line="360" w:lineRule="exact"/>
        <w:ind w:firstLine="0" w:firstLineChars="0"/>
        <w:jc w:val="left"/>
        <w:rPr>
          <w:rFonts w:eastAsiaTheme="minorEastAsia"/>
          <w:b/>
          <w:bCs/>
          <w:color w:val="000000" w:themeColor="text1"/>
          <w:szCs w:val="21"/>
        </w:rPr>
      </w:pPr>
      <w:bookmarkStart w:id="92" w:name="_Toc520410597"/>
      <w:bookmarkStart w:id="93" w:name="_Toc389065172"/>
      <w:r>
        <w:rPr>
          <w:rFonts w:eastAsiaTheme="minorEastAsia"/>
          <w:b/>
          <w:bCs/>
          <w:color w:val="000000" w:themeColor="text1"/>
          <w:szCs w:val="21"/>
        </w:rPr>
        <w:t>4.</w:t>
      </w:r>
      <w:r>
        <w:rPr>
          <w:rFonts w:hint="eastAsia" w:eastAsiaTheme="minorEastAsia"/>
          <w:b/>
          <w:bCs/>
          <w:color w:val="000000" w:themeColor="text1"/>
          <w:szCs w:val="21"/>
        </w:rPr>
        <w:t>2</w:t>
      </w:r>
      <w:r>
        <w:rPr>
          <w:rFonts w:eastAsiaTheme="minorEastAsia"/>
          <w:b/>
          <w:bCs/>
          <w:color w:val="000000" w:themeColor="text1"/>
          <w:szCs w:val="21"/>
        </w:rPr>
        <w:t>响应文件的修改与撤回</w:t>
      </w:r>
      <w:bookmarkEnd w:id="92"/>
      <w:bookmarkEnd w:id="93"/>
    </w:p>
    <w:p w14:paraId="40E2802B">
      <w:pPr>
        <w:spacing w:line="360" w:lineRule="exact"/>
        <w:ind w:firstLine="420"/>
        <w:jc w:val="left"/>
        <w:rPr>
          <w:rFonts w:eastAsiaTheme="minorEastAsia"/>
          <w:color w:val="000000" w:themeColor="text1"/>
          <w:szCs w:val="21"/>
        </w:rPr>
      </w:pPr>
      <w:r>
        <w:rPr>
          <w:rFonts w:eastAsiaTheme="minorEastAsia"/>
          <w:color w:val="000000" w:themeColor="text1"/>
          <w:szCs w:val="21"/>
        </w:rPr>
        <w:t>在本章第4.</w:t>
      </w:r>
      <w:r>
        <w:rPr>
          <w:rFonts w:hint="eastAsia" w:eastAsiaTheme="minorEastAsia"/>
          <w:color w:val="000000" w:themeColor="text1"/>
          <w:szCs w:val="21"/>
        </w:rPr>
        <w:t>1</w:t>
      </w:r>
      <w:r>
        <w:rPr>
          <w:rFonts w:eastAsiaTheme="minorEastAsia"/>
          <w:color w:val="000000" w:themeColor="text1"/>
          <w:szCs w:val="21"/>
        </w:rPr>
        <w:t>项规定的</w:t>
      </w:r>
      <w:r>
        <w:rPr>
          <w:rFonts w:eastAsiaTheme="minorEastAsia"/>
          <w:b/>
          <w:bCs/>
          <w:color w:val="000000" w:themeColor="text1"/>
          <w:szCs w:val="21"/>
        </w:rPr>
        <w:t>响应文件递交截止</w:t>
      </w:r>
      <w:r>
        <w:rPr>
          <w:rFonts w:eastAsiaTheme="minorEastAsia"/>
          <w:color w:val="000000" w:themeColor="text1"/>
          <w:szCs w:val="21"/>
        </w:rPr>
        <w:t>时间前，供应商可以修改或撤回已递交的响应文件。</w:t>
      </w:r>
    </w:p>
    <w:p w14:paraId="75BC0522">
      <w:pPr>
        <w:pStyle w:val="2"/>
        <w:spacing w:before="0" w:after="0" w:line="360" w:lineRule="exact"/>
        <w:ind w:firstLine="0" w:firstLineChars="0"/>
        <w:jc w:val="left"/>
        <w:rPr>
          <w:rFonts w:ascii="Times New Roman" w:hAnsi="Times New Roman" w:eastAsiaTheme="minorEastAsia"/>
          <w:color w:val="000000" w:themeColor="text1"/>
          <w:sz w:val="21"/>
          <w:szCs w:val="21"/>
        </w:rPr>
      </w:pPr>
      <w:bookmarkStart w:id="94" w:name="_Toc19817"/>
      <w:bookmarkStart w:id="95" w:name="_Toc247527584"/>
      <w:bookmarkStart w:id="96" w:name="_Toc247513983"/>
      <w:bookmarkStart w:id="97" w:name="_Toc144974527"/>
      <w:bookmarkStart w:id="98" w:name="_Toc443200841"/>
      <w:bookmarkStart w:id="99" w:name="_Toc152042335"/>
      <w:bookmarkStart w:id="100" w:name="_Toc152045559"/>
      <w:r>
        <w:rPr>
          <w:rFonts w:ascii="Times New Roman" w:hAnsi="Times New Roman" w:eastAsiaTheme="minorEastAsia"/>
          <w:color w:val="000000" w:themeColor="text1"/>
          <w:sz w:val="21"/>
          <w:szCs w:val="21"/>
        </w:rPr>
        <w:t>五、谈判与评审</w:t>
      </w:r>
      <w:bookmarkEnd w:id="94"/>
    </w:p>
    <w:bookmarkEnd w:id="95"/>
    <w:bookmarkEnd w:id="96"/>
    <w:bookmarkEnd w:id="97"/>
    <w:bookmarkEnd w:id="98"/>
    <w:bookmarkEnd w:id="99"/>
    <w:bookmarkEnd w:id="100"/>
    <w:p w14:paraId="32974964">
      <w:pPr>
        <w:spacing w:line="360" w:lineRule="exact"/>
        <w:ind w:firstLine="0" w:firstLineChars="0"/>
        <w:jc w:val="left"/>
        <w:rPr>
          <w:rFonts w:eastAsiaTheme="minorEastAsia"/>
          <w:bCs/>
          <w:color w:val="000000" w:themeColor="text1"/>
          <w:szCs w:val="21"/>
        </w:rPr>
      </w:pPr>
      <w:bookmarkStart w:id="101" w:name="_Toc389065175"/>
      <w:bookmarkStart w:id="102" w:name="_Toc520410600"/>
      <w:r>
        <w:rPr>
          <w:rFonts w:eastAsiaTheme="minorEastAsia"/>
          <w:b/>
          <w:color w:val="000000" w:themeColor="text1"/>
          <w:szCs w:val="21"/>
        </w:rPr>
        <w:t>5.1</w:t>
      </w:r>
      <w:bookmarkEnd w:id="101"/>
      <w:bookmarkEnd w:id="102"/>
      <w:bookmarkStart w:id="103" w:name="_Toc520410601"/>
      <w:bookmarkStart w:id="104" w:name="_Toc389065176"/>
      <w:r>
        <w:rPr>
          <w:rFonts w:eastAsiaTheme="minorEastAsia"/>
          <w:b/>
          <w:color w:val="000000" w:themeColor="text1"/>
          <w:szCs w:val="21"/>
        </w:rPr>
        <w:t>谈判时间、地点和供应商参会代表：</w:t>
      </w:r>
    </w:p>
    <w:p w14:paraId="170B43C7">
      <w:pPr>
        <w:spacing w:line="360" w:lineRule="exact"/>
        <w:ind w:firstLine="420"/>
        <w:jc w:val="left"/>
        <w:rPr>
          <w:rFonts w:eastAsiaTheme="minorEastAsia"/>
          <w:bCs/>
          <w:color w:val="000000" w:themeColor="text1"/>
          <w:szCs w:val="21"/>
        </w:rPr>
      </w:pPr>
      <w:r>
        <w:rPr>
          <w:rFonts w:eastAsiaTheme="minorEastAsia"/>
          <w:bCs/>
          <w:color w:val="000000" w:themeColor="text1"/>
          <w:szCs w:val="21"/>
        </w:rPr>
        <w:t>5.1.1谈判时间和地点：详见</w:t>
      </w:r>
      <w:r>
        <w:rPr>
          <w:rFonts w:hint="eastAsia" w:eastAsiaTheme="minorEastAsia"/>
          <w:bCs/>
          <w:color w:val="000000" w:themeColor="text1"/>
          <w:szCs w:val="21"/>
          <w:lang w:eastAsia="zh-CN"/>
        </w:rPr>
        <w:t>“</w:t>
      </w:r>
      <w:r>
        <w:rPr>
          <w:rFonts w:eastAsiaTheme="minorEastAsia"/>
          <w:bCs/>
          <w:color w:val="000000" w:themeColor="text1"/>
          <w:szCs w:val="21"/>
        </w:rPr>
        <w:t>供应商须知前附表</w:t>
      </w:r>
      <w:r>
        <w:rPr>
          <w:rFonts w:hint="eastAsia" w:eastAsiaTheme="minorEastAsia"/>
          <w:bCs/>
          <w:color w:val="000000" w:themeColor="text1"/>
          <w:szCs w:val="21"/>
          <w:lang w:eastAsia="zh-CN"/>
        </w:rPr>
        <w:t>”</w:t>
      </w:r>
      <w:r>
        <w:rPr>
          <w:rFonts w:eastAsiaTheme="minorEastAsia"/>
          <w:bCs/>
          <w:color w:val="000000" w:themeColor="text1"/>
          <w:szCs w:val="21"/>
        </w:rPr>
        <w:t>。</w:t>
      </w:r>
    </w:p>
    <w:p w14:paraId="04EB91CD">
      <w:pPr>
        <w:spacing w:line="360" w:lineRule="exact"/>
        <w:ind w:firstLine="420"/>
        <w:jc w:val="left"/>
        <w:rPr>
          <w:rFonts w:eastAsiaTheme="minorEastAsia"/>
          <w:bCs/>
          <w:color w:val="000000" w:themeColor="text1"/>
          <w:szCs w:val="21"/>
        </w:rPr>
      </w:pPr>
      <w:r>
        <w:rPr>
          <w:rFonts w:eastAsiaTheme="minorEastAsia"/>
          <w:bCs/>
          <w:color w:val="000000" w:themeColor="text1"/>
          <w:szCs w:val="21"/>
        </w:rPr>
        <w:t>5.1.2参加谈判会议的供应商代表：详见</w:t>
      </w:r>
      <w:r>
        <w:rPr>
          <w:rFonts w:hint="eastAsia" w:eastAsiaTheme="minorEastAsia"/>
          <w:bCs/>
          <w:color w:val="000000" w:themeColor="text1"/>
          <w:szCs w:val="21"/>
          <w:lang w:eastAsia="zh-CN"/>
        </w:rPr>
        <w:t>“</w:t>
      </w:r>
      <w:r>
        <w:rPr>
          <w:rFonts w:eastAsiaTheme="minorEastAsia"/>
          <w:bCs/>
          <w:color w:val="000000" w:themeColor="text1"/>
          <w:szCs w:val="21"/>
        </w:rPr>
        <w:t>供应商须知前附表</w:t>
      </w:r>
      <w:r>
        <w:rPr>
          <w:rFonts w:hint="eastAsia" w:eastAsiaTheme="minorEastAsia"/>
          <w:bCs/>
          <w:color w:val="000000" w:themeColor="text1"/>
          <w:szCs w:val="21"/>
          <w:lang w:eastAsia="zh-CN"/>
        </w:rPr>
        <w:t>”</w:t>
      </w:r>
      <w:r>
        <w:rPr>
          <w:rFonts w:eastAsiaTheme="minorEastAsia"/>
          <w:bCs/>
          <w:color w:val="000000" w:themeColor="text1"/>
          <w:szCs w:val="21"/>
        </w:rPr>
        <w:t>。</w:t>
      </w:r>
    </w:p>
    <w:p w14:paraId="699641A6">
      <w:pPr>
        <w:spacing w:line="360" w:lineRule="exact"/>
        <w:ind w:firstLine="0" w:firstLineChars="0"/>
        <w:jc w:val="left"/>
        <w:rPr>
          <w:rFonts w:eastAsiaTheme="minorEastAsia"/>
          <w:b/>
          <w:color w:val="000000" w:themeColor="text1"/>
          <w:szCs w:val="21"/>
        </w:rPr>
      </w:pPr>
      <w:r>
        <w:rPr>
          <w:rFonts w:eastAsiaTheme="minorEastAsia"/>
          <w:b/>
          <w:color w:val="000000" w:themeColor="text1"/>
          <w:szCs w:val="21"/>
        </w:rPr>
        <w:t>5.2谈判程序</w:t>
      </w:r>
    </w:p>
    <w:p w14:paraId="6BAEDAF6">
      <w:pPr>
        <w:spacing w:line="360" w:lineRule="exact"/>
        <w:ind w:firstLine="420"/>
        <w:jc w:val="left"/>
        <w:rPr>
          <w:rFonts w:eastAsiaTheme="minorEastAsia"/>
          <w:color w:val="000000" w:themeColor="text1"/>
          <w:szCs w:val="21"/>
        </w:rPr>
      </w:pPr>
      <w:r>
        <w:rPr>
          <w:rFonts w:eastAsiaTheme="minorEastAsia"/>
          <w:color w:val="000000" w:themeColor="text1"/>
          <w:szCs w:val="21"/>
        </w:rPr>
        <w:t>5.2.1谈判程序见</w:t>
      </w:r>
      <w:r>
        <w:rPr>
          <w:rFonts w:hint="eastAsia" w:eastAsiaTheme="minorEastAsia"/>
          <w:color w:val="000000" w:themeColor="text1"/>
          <w:szCs w:val="21"/>
          <w:lang w:eastAsia="zh-CN"/>
        </w:rPr>
        <w:t>“</w:t>
      </w:r>
      <w:r>
        <w:rPr>
          <w:rFonts w:eastAsiaTheme="minorEastAsia"/>
          <w:color w:val="000000" w:themeColor="text1"/>
          <w:szCs w:val="21"/>
        </w:rPr>
        <w:t>供应商须知前附表</w:t>
      </w:r>
      <w:r>
        <w:rPr>
          <w:rFonts w:hint="eastAsia" w:eastAsiaTheme="minorEastAsia"/>
          <w:color w:val="000000" w:themeColor="text1"/>
          <w:szCs w:val="21"/>
          <w:lang w:eastAsia="zh-CN"/>
        </w:rPr>
        <w:t>”</w:t>
      </w:r>
      <w:r>
        <w:rPr>
          <w:rFonts w:eastAsiaTheme="minorEastAsia"/>
          <w:color w:val="000000" w:themeColor="text1"/>
          <w:szCs w:val="21"/>
        </w:rPr>
        <w:t>。</w:t>
      </w:r>
    </w:p>
    <w:p w14:paraId="73835B00">
      <w:pPr>
        <w:spacing w:line="360" w:lineRule="exact"/>
        <w:ind w:firstLine="420"/>
        <w:jc w:val="left"/>
        <w:rPr>
          <w:rFonts w:eastAsiaTheme="minorEastAsia"/>
          <w:bCs/>
          <w:color w:val="000000" w:themeColor="text1"/>
          <w:szCs w:val="21"/>
        </w:rPr>
      </w:pPr>
      <w:r>
        <w:rPr>
          <w:rFonts w:eastAsiaTheme="minorEastAsia"/>
          <w:color w:val="000000" w:themeColor="text1"/>
          <w:szCs w:val="21"/>
        </w:rPr>
        <w:t>5.2.2</w:t>
      </w:r>
      <w:r>
        <w:rPr>
          <w:rFonts w:eastAsiaTheme="minorEastAsia"/>
          <w:bCs/>
          <w:color w:val="000000" w:themeColor="text1"/>
          <w:szCs w:val="21"/>
        </w:rPr>
        <w:t>供应商网上谈判流</w:t>
      </w:r>
    </w:p>
    <w:p w14:paraId="01F9B107">
      <w:pPr>
        <w:spacing w:line="360" w:lineRule="exact"/>
        <w:ind w:firstLine="420"/>
        <w:jc w:val="left"/>
        <w:rPr>
          <w:rFonts w:eastAsiaTheme="minorEastAsia"/>
          <w:bCs/>
          <w:color w:val="000000" w:themeColor="text1"/>
          <w:szCs w:val="21"/>
        </w:rPr>
      </w:pPr>
      <w:r>
        <w:rPr>
          <w:rFonts w:eastAsiaTheme="minorEastAsia"/>
          <w:bCs/>
          <w:color w:val="000000" w:themeColor="text1"/>
          <w:szCs w:val="21"/>
        </w:rPr>
        <w:t>供应商门户网站首页点击</w:t>
      </w:r>
      <w:r>
        <w:rPr>
          <w:rFonts w:hint="eastAsia" w:eastAsiaTheme="minorEastAsia"/>
          <w:bCs/>
          <w:color w:val="000000" w:themeColor="text1"/>
          <w:szCs w:val="21"/>
          <w:lang w:eastAsia="zh-CN"/>
        </w:rPr>
        <w:t>“</w:t>
      </w:r>
      <w:r>
        <w:rPr>
          <w:rFonts w:eastAsiaTheme="minorEastAsia"/>
          <w:bCs/>
          <w:color w:val="000000" w:themeColor="text1"/>
          <w:szCs w:val="21"/>
        </w:rPr>
        <w:t>网上开标大厅</w:t>
      </w:r>
      <w:r>
        <w:rPr>
          <w:rFonts w:hint="eastAsia" w:eastAsiaTheme="minorEastAsia"/>
          <w:bCs/>
          <w:color w:val="000000" w:themeColor="text1"/>
          <w:szCs w:val="21"/>
          <w:lang w:eastAsia="zh-CN"/>
        </w:rPr>
        <w:t>”</w:t>
      </w:r>
      <w:r>
        <w:rPr>
          <w:rFonts w:eastAsiaTheme="minorEastAsia"/>
          <w:bCs/>
          <w:color w:val="000000" w:themeColor="text1"/>
          <w:szCs w:val="21"/>
        </w:rPr>
        <w:t>-&gt;供应商登录-&gt;进入开标大厅-&gt;选择谈判项目-&gt;进入谈判房间-&gt;异议提出（若有异议）-&gt;等待唱标-&gt;唱标结果查看-&gt;唱标结果确认-&gt;开标结束。</w:t>
      </w:r>
    </w:p>
    <w:p w14:paraId="230A8475">
      <w:pPr>
        <w:spacing w:line="360" w:lineRule="exact"/>
        <w:ind w:firstLine="420"/>
        <w:jc w:val="left"/>
        <w:rPr>
          <w:rFonts w:eastAsiaTheme="minorEastAsia"/>
          <w:bCs/>
          <w:color w:val="000000" w:themeColor="text1"/>
          <w:szCs w:val="21"/>
        </w:rPr>
      </w:pPr>
      <w:r>
        <w:rPr>
          <w:rFonts w:eastAsiaTheme="minorEastAsia"/>
          <w:bCs/>
          <w:color w:val="000000" w:themeColor="text1"/>
          <w:szCs w:val="21"/>
        </w:rPr>
        <w:t>如果采购人开启二次报价，则供应商需要进行二次报价，二次报价报完后，等待采购人公布最终谈判结果。</w:t>
      </w:r>
    </w:p>
    <w:p w14:paraId="62996E8A">
      <w:pPr>
        <w:spacing w:line="360" w:lineRule="exact"/>
        <w:ind w:firstLine="0" w:firstLineChars="0"/>
        <w:jc w:val="left"/>
        <w:rPr>
          <w:rFonts w:eastAsiaTheme="minorEastAsia"/>
          <w:b/>
          <w:bCs/>
          <w:color w:val="000000" w:themeColor="text1"/>
          <w:szCs w:val="21"/>
        </w:rPr>
      </w:pPr>
      <w:r>
        <w:rPr>
          <w:rFonts w:eastAsiaTheme="minorEastAsia"/>
          <w:b/>
          <w:bCs/>
          <w:color w:val="000000" w:themeColor="text1"/>
          <w:szCs w:val="21"/>
        </w:rPr>
        <w:t>5.</w:t>
      </w:r>
      <w:bookmarkEnd w:id="103"/>
      <w:r>
        <w:rPr>
          <w:rFonts w:eastAsiaTheme="minorEastAsia"/>
          <w:b/>
          <w:bCs/>
          <w:color w:val="000000" w:themeColor="text1"/>
          <w:szCs w:val="21"/>
        </w:rPr>
        <w:t>3特殊情况处理</w:t>
      </w:r>
    </w:p>
    <w:bookmarkEnd w:id="104"/>
    <w:p w14:paraId="067659EE">
      <w:pPr>
        <w:spacing w:line="360" w:lineRule="exact"/>
        <w:ind w:firstLine="420"/>
        <w:jc w:val="left"/>
        <w:rPr>
          <w:rFonts w:eastAsiaTheme="minorEastAsia"/>
          <w:color w:val="000000" w:themeColor="text1"/>
          <w:szCs w:val="21"/>
        </w:rPr>
      </w:pPr>
      <w:r>
        <w:rPr>
          <w:rFonts w:eastAsiaTheme="minorEastAsia"/>
          <w:color w:val="000000" w:themeColor="text1"/>
          <w:szCs w:val="21"/>
        </w:rPr>
        <w:t>供应商对谈判活动过程有异议的，应当在现场提出，采购人或代理机构应当场作出答复，并作书面记录，谈判活动结束后供应商再对谈判过程提出异议的，采购人不再受理。</w:t>
      </w:r>
    </w:p>
    <w:p w14:paraId="2822E57D">
      <w:pPr>
        <w:spacing w:line="360" w:lineRule="exact"/>
        <w:ind w:firstLine="0" w:firstLineChars="0"/>
        <w:jc w:val="left"/>
        <w:rPr>
          <w:rFonts w:eastAsiaTheme="minorEastAsia"/>
          <w:b/>
          <w:bCs/>
          <w:color w:val="000000" w:themeColor="text1"/>
          <w:szCs w:val="21"/>
        </w:rPr>
      </w:pPr>
      <w:r>
        <w:rPr>
          <w:rFonts w:eastAsiaTheme="minorEastAsia"/>
          <w:b/>
          <w:bCs/>
          <w:color w:val="000000" w:themeColor="text1"/>
          <w:szCs w:val="21"/>
        </w:rPr>
        <w:t>5.</w:t>
      </w:r>
      <w:bookmarkStart w:id="105" w:name="_Toc520410603"/>
      <w:bookmarkStart w:id="106" w:name="_Toc389065178"/>
      <w:r>
        <w:rPr>
          <w:rFonts w:eastAsiaTheme="minorEastAsia"/>
          <w:b/>
          <w:bCs/>
          <w:color w:val="000000" w:themeColor="text1"/>
          <w:szCs w:val="21"/>
        </w:rPr>
        <w:t>4谈判评审小组</w:t>
      </w:r>
      <w:bookmarkEnd w:id="105"/>
      <w:bookmarkEnd w:id="106"/>
    </w:p>
    <w:p w14:paraId="15D5C7B2">
      <w:pPr>
        <w:spacing w:line="360" w:lineRule="exact"/>
        <w:ind w:firstLine="420"/>
        <w:jc w:val="left"/>
        <w:rPr>
          <w:rFonts w:eastAsiaTheme="minorEastAsia"/>
          <w:color w:val="000000" w:themeColor="text1"/>
          <w:szCs w:val="21"/>
        </w:rPr>
      </w:pPr>
      <w:r>
        <w:rPr>
          <w:rFonts w:eastAsiaTheme="minorEastAsia"/>
          <w:color w:val="000000" w:themeColor="text1"/>
          <w:szCs w:val="21"/>
        </w:rPr>
        <w:t>5.4.1 评审工作由采购人依法组建的谈判评审小组负责。评审小组成员人数以及小组成员的确定方式见</w:t>
      </w:r>
      <w:r>
        <w:rPr>
          <w:rFonts w:hint="eastAsia" w:eastAsiaTheme="minorEastAsia"/>
          <w:color w:val="000000" w:themeColor="text1"/>
          <w:szCs w:val="21"/>
          <w:lang w:eastAsia="zh-CN"/>
        </w:rPr>
        <w:t>“</w:t>
      </w:r>
      <w:r>
        <w:rPr>
          <w:rFonts w:eastAsiaTheme="minorEastAsia"/>
          <w:color w:val="000000" w:themeColor="text1"/>
          <w:szCs w:val="21"/>
        </w:rPr>
        <w:t>供应商须知前附表</w:t>
      </w:r>
      <w:r>
        <w:rPr>
          <w:rFonts w:hint="eastAsia" w:eastAsiaTheme="minorEastAsia"/>
          <w:color w:val="000000" w:themeColor="text1"/>
          <w:szCs w:val="21"/>
          <w:lang w:eastAsia="zh-CN"/>
        </w:rPr>
        <w:t>”</w:t>
      </w:r>
      <w:r>
        <w:rPr>
          <w:rFonts w:eastAsiaTheme="minorEastAsia"/>
          <w:color w:val="000000" w:themeColor="text1"/>
          <w:szCs w:val="21"/>
        </w:rPr>
        <w:t>。</w:t>
      </w:r>
    </w:p>
    <w:p w14:paraId="29296BA0">
      <w:pPr>
        <w:spacing w:line="360" w:lineRule="exact"/>
        <w:ind w:firstLine="420"/>
        <w:jc w:val="left"/>
        <w:rPr>
          <w:rFonts w:eastAsiaTheme="minorEastAsia"/>
          <w:color w:val="000000" w:themeColor="text1"/>
          <w:szCs w:val="21"/>
        </w:rPr>
      </w:pPr>
      <w:r>
        <w:rPr>
          <w:rFonts w:eastAsiaTheme="minorEastAsia"/>
          <w:color w:val="000000" w:themeColor="text1"/>
          <w:szCs w:val="21"/>
        </w:rPr>
        <w:t>5.4.2 评审小组成员有下列情形之一的，应当回避：</w:t>
      </w:r>
      <w:bookmarkStart w:id="107" w:name="_Toc389065179"/>
    </w:p>
    <w:p w14:paraId="72531A43">
      <w:pPr>
        <w:spacing w:line="360" w:lineRule="exact"/>
        <w:ind w:firstLine="420"/>
        <w:jc w:val="left"/>
        <w:rPr>
          <w:rFonts w:eastAsiaTheme="minorEastAsia"/>
          <w:color w:val="000000" w:themeColor="text1"/>
          <w:szCs w:val="21"/>
        </w:rPr>
      </w:pPr>
      <w:r>
        <w:rPr>
          <w:rFonts w:eastAsiaTheme="minorEastAsia"/>
          <w:color w:val="000000" w:themeColor="text1"/>
          <w:szCs w:val="21"/>
        </w:rPr>
        <w:t>（1）供应商或供应商的主要负责人的近亲属；</w:t>
      </w:r>
    </w:p>
    <w:p w14:paraId="0A0223FA">
      <w:pPr>
        <w:spacing w:line="360" w:lineRule="exact"/>
        <w:ind w:firstLine="420"/>
        <w:jc w:val="left"/>
        <w:rPr>
          <w:rFonts w:eastAsiaTheme="minorEastAsia"/>
          <w:color w:val="000000" w:themeColor="text1"/>
          <w:szCs w:val="21"/>
        </w:rPr>
      </w:pPr>
      <w:r>
        <w:rPr>
          <w:rFonts w:eastAsiaTheme="minorEastAsia"/>
          <w:color w:val="000000" w:themeColor="text1"/>
          <w:szCs w:val="21"/>
        </w:rPr>
        <w:t>（2）与供应商有经济利益关系，可能影响对谈判公正评审的；</w:t>
      </w:r>
    </w:p>
    <w:p w14:paraId="5A7C76DB">
      <w:pPr>
        <w:spacing w:line="360" w:lineRule="exact"/>
        <w:ind w:firstLine="420"/>
        <w:jc w:val="left"/>
        <w:rPr>
          <w:rFonts w:eastAsiaTheme="minorEastAsia"/>
          <w:color w:val="000000" w:themeColor="text1"/>
          <w:szCs w:val="21"/>
        </w:rPr>
      </w:pPr>
      <w:r>
        <w:rPr>
          <w:rFonts w:eastAsiaTheme="minorEastAsia"/>
          <w:color w:val="000000" w:themeColor="text1"/>
          <w:szCs w:val="21"/>
        </w:rPr>
        <w:t>（3）曾因在采购有关活动中从事违法行为而受过行政处罚或刑事处罚的。</w:t>
      </w:r>
    </w:p>
    <w:p w14:paraId="2AF4439F">
      <w:pPr>
        <w:spacing w:line="360" w:lineRule="exact"/>
        <w:ind w:firstLine="0" w:firstLineChars="0"/>
        <w:jc w:val="left"/>
        <w:rPr>
          <w:rFonts w:eastAsiaTheme="minorEastAsia"/>
          <w:b/>
          <w:bCs/>
          <w:color w:val="000000" w:themeColor="text1"/>
          <w:szCs w:val="21"/>
        </w:rPr>
      </w:pPr>
      <w:bookmarkStart w:id="108" w:name="_Toc520410604"/>
      <w:r>
        <w:rPr>
          <w:rFonts w:eastAsiaTheme="minorEastAsia"/>
          <w:b/>
          <w:bCs/>
          <w:color w:val="000000" w:themeColor="text1"/>
          <w:szCs w:val="21"/>
        </w:rPr>
        <w:t>5.5评审原则</w:t>
      </w:r>
      <w:bookmarkEnd w:id="107"/>
      <w:bookmarkEnd w:id="108"/>
    </w:p>
    <w:p w14:paraId="76182D41">
      <w:pPr>
        <w:spacing w:line="360" w:lineRule="exact"/>
        <w:ind w:firstLine="420"/>
        <w:jc w:val="left"/>
        <w:rPr>
          <w:rFonts w:eastAsiaTheme="minorEastAsia"/>
          <w:color w:val="000000" w:themeColor="text1"/>
          <w:szCs w:val="21"/>
        </w:rPr>
      </w:pPr>
      <w:r>
        <w:rPr>
          <w:rFonts w:eastAsiaTheme="minorEastAsia"/>
          <w:color w:val="000000" w:themeColor="text1"/>
          <w:szCs w:val="21"/>
        </w:rPr>
        <w:t>评审活动遵循公平、公正、科学和择优的原则。</w:t>
      </w:r>
    </w:p>
    <w:p w14:paraId="0B95E1E9">
      <w:pPr>
        <w:spacing w:line="360" w:lineRule="exact"/>
        <w:ind w:firstLine="0" w:firstLineChars="0"/>
        <w:jc w:val="left"/>
        <w:rPr>
          <w:rFonts w:eastAsiaTheme="minorEastAsia"/>
          <w:b/>
          <w:bCs/>
          <w:color w:val="000000" w:themeColor="text1"/>
          <w:szCs w:val="21"/>
        </w:rPr>
      </w:pPr>
      <w:r>
        <w:rPr>
          <w:rFonts w:eastAsiaTheme="minorEastAsia"/>
          <w:b/>
          <w:bCs/>
          <w:color w:val="000000" w:themeColor="text1"/>
          <w:szCs w:val="21"/>
        </w:rPr>
        <w:t>5.6评审</w:t>
      </w:r>
    </w:p>
    <w:p w14:paraId="5E1E71D1">
      <w:pPr>
        <w:spacing w:line="360" w:lineRule="exact"/>
        <w:ind w:firstLine="420"/>
        <w:jc w:val="left"/>
        <w:rPr>
          <w:rFonts w:eastAsiaTheme="minorEastAsia"/>
          <w:color w:val="000000" w:themeColor="text1"/>
          <w:szCs w:val="21"/>
        </w:rPr>
      </w:pPr>
      <w:r>
        <w:rPr>
          <w:rFonts w:eastAsiaTheme="minorEastAsia"/>
          <w:color w:val="000000" w:themeColor="text1"/>
          <w:szCs w:val="21"/>
        </w:rPr>
        <w:t>评审小组按照第三章</w:t>
      </w:r>
      <w:r>
        <w:rPr>
          <w:rFonts w:hint="eastAsia" w:eastAsiaTheme="minorEastAsia"/>
          <w:color w:val="000000" w:themeColor="text1"/>
          <w:szCs w:val="21"/>
          <w:lang w:eastAsia="zh-CN"/>
        </w:rPr>
        <w:t>“</w:t>
      </w:r>
      <w:r>
        <w:rPr>
          <w:rFonts w:eastAsiaTheme="minorEastAsia"/>
          <w:color w:val="000000" w:themeColor="text1"/>
          <w:szCs w:val="21"/>
        </w:rPr>
        <w:t>评审办法</w:t>
      </w:r>
      <w:r>
        <w:rPr>
          <w:rFonts w:hint="eastAsia" w:eastAsiaTheme="minorEastAsia"/>
          <w:color w:val="000000" w:themeColor="text1"/>
          <w:szCs w:val="21"/>
          <w:lang w:eastAsia="zh-CN"/>
        </w:rPr>
        <w:t>”</w:t>
      </w:r>
      <w:r>
        <w:rPr>
          <w:rFonts w:eastAsiaTheme="minorEastAsia"/>
          <w:color w:val="000000" w:themeColor="text1"/>
          <w:szCs w:val="21"/>
        </w:rPr>
        <w:t>规定的方法、评审因素、标准和程序对响应文件进行评审并推荐成交候选人，推荐成交候选人的人数见</w:t>
      </w:r>
      <w:r>
        <w:rPr>
          <w:rFonts w:hint="eastAsia" w:eastAsiaTheme="minorEastAsia"/>
          <w:color w:val="000000" w:themeColor="text1"/>
          <w:szCs w:val="21"/>
          <w:lang w:eastAsia="zh-CN"/>
        </w:rPr>
        <w:t>“</w:t>
      </w:r>
      <w:r>
        <w:rPr>
          <w:rFonts w:eastAsiaTheme="minorEastAsia"/>
          <w:color w:val="000000" w:themeColor="text1"/>
          <w:szCs w:val="21"/>
        </w:rPr>
        <w:t>供应商须知前附表</w:t>
      </w:r>
      <w:r>
        <w:rPr>
          <w:rFonts w:hint="eastAsia" w:eastAsiaTheme="minorEastAsia"/>
          <w:color w:val="000000" w:themeColor="text1"/>
          <w:szCs w:val="21"/>
          <w:lang w:eastAsia="zh-CN"/>
        </w:rPr>
        <w:t>”</w:t>
      </w:r>
      <w:r>
        <w:rPr>
          <w:rFonts w:eastAsiaTheme="minorEastAsia"/>
          <w:color w:val="000000" w:themeColor="text1"/>
          <w:szCs w:val="21"/>
        </w:rPr>
        <w:t>。第三章</w:t>
      </w:r>
      <w:r>
        <w:rPr>
          <w:rFonts w:hint="eastAsia" w:eastAsiaTheme="minorEastAsia"/>
          <w:color w:val="000000" w:themeColor="text1"/>
          <w:szCs w:val="21"/>
          <w:lang w:eastAsia="zh-CN"/>
        </w:rPr>
        <w:t>“</w:t>
      </w:r>
      <w:r>
        <w:rPr>
          <w:rFonts w:eastAsiaTheme="minorEastAsia"/>
          <w:color w:val="000000" w:themeColor="text1"/>
          <w:szCs w:val="21"/>
        </w:rPr>
        <w:t>评审办法</w:t>
      </w:r>
      <w:r>
        <w:rPr>
          <w:rFonts w:hint="eastAsia" w:eastAsiaTheme="minorEastAsia"/>
          <w:color w:val="000000" w:themeColor="text1"/>
          <w:szCs w:val="21"/>
          <w:lang w:eastAsia="zh-CN"/>
        </w:rPr>
        <w:t>”</w:t>
      </w:r>
      <w:r>
        <w:rPr>
          <w:rFonts w:eastAsiaTheme="minorEastAsia"/>
          <w:color w:val="000000" w:themeColor="text1"/>
          <w:szCs w:val="21"/>
        </w:rPr>
        <w:t>没有规定的方法、评审因素和标准，不作为评审依据。</w:t>
      </w:r>
    </w:p>
    <w:p w14:paraId="3DDB6C35">
      <w:pPr>
        <w:pStyle w:val="2"/>
        <w:spacing w:before="0" w:after="0" w:line="360" w:lineRule="exact"/>
        <w:ind w:firstLine="0" w:firstLineChars="0"/>
        <w:jc w:val="left"/>
        <w:rPr>
          <w:rFonts w:ascii="Times New Roman" w:hAnsi="Times New Roman" w:eastAsiaTheme="minorEastAsia"/>
          <w:b w:val="0"/>
          <w:bCs/>
          <w:color w:val="000000" w:themeColor="text1"/>
          <w:sz w:val="21"/>
          <w:szCs w:val="21"/>
        </w:rPr>
      </w:pPr>
      <w:bookmarkStart w:id="109" w:name="_Toc26505"/>
      <w:r>
        <w:rPr>
          <w:rFonts w:ascii="Times New Roman" w:hAnsi="Times New Roman" w:eastAsiaTheme="minorEastAsia"/>
          <w:color w:val="000000" w:themeColor="text1"/>
          <w:sz w:val="21"/>
          <w:szCs w:val="21"/>
        </w:rPr>
        <w:t>六、成交结果公示</w:t>
      </w:r>
      <w:bookmarkEnd w:id="109"/>
    </w:p>
    <w:p w14:paraId="71620B48">
      <w:pPr>
        <w:spacing w:line="360" w:lineRule="exact"/>
        <w:ind w:firstLine="422"/>
        <w:jc w:val="left"/>
        <w:rPr>
          <w:rFonts w:eastAsiaTheme="minorEastAsia"/>
          <w:color w:val="000000" w:themeColor="text1"/>
          <w:szCs w:val="21"/>
        </w:rPr>
      </w:pPr>
      <w:r>
        <w:rPr>
          <w:rFonts w:eastAsiaTheme="minorEastAsia"/>
          <w:b/>
          <w:bCs/>
          <w:color w:val="000000" w:themeColor="text1"/>
          <w:szCs w:val="21"/>
        </w:rPr>
        <w:t>6.1</w:t>
      </w:r>
      <w:r>
        <w:rPr>
          <w:rFonts w:eastAsiaTheme="minorEastAsia"/>
          <w:color w:val="000000" w:themeColor="text1"/>
          <w:szCs w:val="21"/>
        </w:rPr>
        <w:t>采购人在收到评审报告之日起3日内在本采购项目竞争性谈判公告发布的同一媒介发布成交结果公示，公示期不少于3日。</w:t>
      </w:r>
    </w:p>
    <w:p w14:paraId="0D763AA2">
      <w:pPr>
        <w:spacing w:line="360" w:lineRule="exact"/>
        <w:ind w:firstLine="422"/>
        <w:jc w:val="left"/>
        <w:rPr>
          <w:rFonts w:eastAsiaTheme="minorEastAsia"/>
          <w:color w:val="000000" w:themeColor="text1"/>
          <w:szCs w:val="21"/>
        </w:rPr>
      </w:pPr>
      <w:r>
        <w:rPr>
          <w:rFonts w:eastAsiaTheme="minorEastAsia"/>
          <w:b/>
          <w:bCs/>
          <w:color w:val="000000" w:themeColor="text1"/>
          <w:szCs w:val="21"/>
        </w:rPr>
        <w:t>6.2</w:t>
      </w:r>
      <w:r>
        <w:rPr>
          <w:rFonts w:eastAsiaTheme="minorEastAsia"/>
          <w:color w:val="000000" w:themeColor="text1"/>
          <w:szCs w:val="21"/>
        </w:rPr>
        <w:t>公示内容包括成交供应商名称、项目负责人（经理）、成交价格、工期及评审小组评审情况。</w:t>
      </w:r>
    </w:p>
    <w:p w14:paraId="281A4073">
      <w:pPr>
        <w:spacing w:line="360" w:lineRule="exact"/>
        <w:ind w:firstLine="422"/>
        <w:jc w:val="left"/>
        <w:rPr>
          <w:rFonts w:eastAsiaTheme="minorEastAsia"/>
          <w:color w:val="000000" w:themeColor="text1"/>
          <w:szCs w:val="21"/>
        </w:rPr>
      </w:pPr>
      <w:r>
        <w:rPr>
          <w:rFonts w:eastAsiaTheme="minorEastAsia"/>
          <w:b/>
          <w:bCs/>
          <w:color w:val="000000" w:themeColor="text1"/>
          <w:szCs w:val="21"/>
        </w:rPr>
        <w:t>6.3</w:t>
      </w:r>
      <w:r>
        <w:rPr>
          <w:rFonts w:eastAsiaTheme="minorEastAsia"/>
          <w:color w:val="000000" w:themeColor="text1"/>
          <w:szCs w:val="21"/>
        </w:rPr>
        <w:t>供应商或者其他利害关系人对评审结果有异议的，应当在公示期间提出。采购人自收到异议之日起3日内作出答复。</w:t>
      </w:r>
    </w:p>
    <w:p w14:paraId="0CD35589">
      <w:pPr>
        <w:pStyle w:val="2"/>
        <w:spacing w:before="0" w:after="0" w:line="360" w:lineRule="exact"/>
        <w:ind w:firstLine="0" w:firstLineChars="0"/>
        <w:jc w:val="left"/>
        <w:rPr>
          <w:rFonts w:ascii="Times New Roman" w:hAnsi="Times New Roman" w:eastAsiaTheme="minorEastAsia"/>
          <w:color w:val="000000" w:themeColor="text1"/>
          <w:sz w:val="21"/>
          <w:szCs w:val="21"/>
        </w:rPr>
      </w:pPr>
      <w:bookmarkStart w:id="110" w:name="_Toc520410607"/>
      <w:bookmarkStart w:id="111" w:name="_Toc252"/>
      <w:r>
        <w:rPr>
          <w:rFonts w:ascii="Times New Roman" w:hAnsi="Times New Roman" w:eastAsiaTheme="minorEastAsia"/>
          <w:color w:val="000000" w:themeColor="text1"/>
          <w:sz w:val="21"/>
          <w:szCs w:val="21"/>
        </w:rPr>
        <w:t>七、</w:t>
      </w:r>
      <w:bookmarkEnd w:id="110"/>
      <w:r>
        <w:rPr>
          <w:rFonts w:ascii="Times New Roman" w:hAnsi="Times New Roman" w:eastAsiaTheme="minorEastAsia"/>
          <w:color w:val="000000" w:themeColor="text1"/>
          <w:sz w:val="21"/>
          <w:szCs w:val="21"/>
        </w:rPr>
        <w:t>合同授予</w:t>
      </w:r>
      <w:bookmarkEnd w:id="111"/>
    </w:p>
    <w:p w14:paraId="59D870CD">
      <w:pPr>
        <w:spacing w:line="360" w:lineRule="exact"/>
        <w:ind w:firstLine="422"/>
        <w:jc w:val="left"/>
        <w:rPr>
          <w:rFonts w:eastAsiaTheme="minorEastAsia"/>
          <w:color w:val="000000" w:themeColor="text1"/>
          <w:szCs w:val="21"/>
        </w:rPr>
      </w:pPr>
      <w:r>
        <w:rPr>
          <w:rFonts w:eastAsiaTheme="minorEastAsia"/>
          <w:b/>
          <w:bCs/>
          <w:color w:val="000000" w:themeColor="text1"/>
          <w:szCs w:val="21"/>
        </w:rPr>
        <w:t>7.1</w:t>
      </w:r>
      <w:r>
        <w:rPr>
          <w:rFonts w:eastAsiaTheme="minorEastAsia"/>
          <w:color w:val="000000" w:themeColor="text1"/>
          <w:szCs w:val="21"/>
        </w:rPr>
        <w:t>采购人应当确定谈判评审小组推荐的第一成交候选人为成交供应商。</w:t>
      </w:r>
    </w:p>
    <w:p w14:paraId="631C4A18">
      <w:pPr>
        <w:spacing w:line="360" w:lineRule="exact"/>
        <w:ind w:firstLine="420"/>
        <w:jc w:val="left"/>
        <w:rPr>
          <w:rFonts w:eastAsiaTheme="minorEastAsia"/>
          <w:color w:val="000000" w:themeColor="text1"/>
          <w:szCs w:val="21"/>
          <w:highlight w:val="none"/>
        </w:rPr>
      </w:pPr>
      <w:r>
        <w:rPr>
          <w:rFonts w:eastAsiaTheme="minorEastAsia"/>
          <w:color w:val="000000" w:themeColor="text1"/>
          <w:szCs w:val="21"/>
        </w:rPr>
        <w:t>7.2成交结果通知：成交结果公示期满无异议或投诉的，采</w:t>
      </w:r>
      <w:r>
        <w:rPr>
          <w:rFonts w:eastAsiaTheme="minorEastAsia"/>
          <w:color w:val="000000" w:themeColor="text1"/>
          <w:szCs w:val="21"/>
          <w:highlight w:val="none"/>
        </w:rPr>
        <w:t>购人应在</w:t>
      </w:r>
      <w:r>
        <w:rPr>
          <w:rFonts w:hint="eastAsia" w:hAnsiTheme="minorEastAsia" w:eastAsiaTheme="minorEastAsia"/>
          <w:color w:val="000000" w:themeColor="text1"/>
          <w:szCs w:val="21"/>
          <w:highlight w:val="none"/>
        </w:rPr>
        <w:t>谈判</w:t>
      </w:r>
      <w:r>
        <w:rPr>
          <w:rFonts w:hAnsiTheme="minorEastAsia" w:eastAsiaTheme="minorEastAsia"/>
          <w:color w:val="000000" w:themeColor="text1"/>
          <w:szCs w:val="21"/>
          <w:highlight w:val="none"/>
        </w:rPr>
        <w:t>有效期</w:t>
      </w:r>
      <w:r>
        <w:rPr>
          <w:rFonts w:eastAsiaTheme="minorEastAsia"/>
          <w:color w:val="000000" w:themeColor="text1"/>
          <w:szCs w:val="21"/>
          <w:highlight w:val="none"/>
        </w:rPr>
        <w:t>内按规定的格式以书面形式向成交供应商发出成交通知书。</w:t>
      </w:r>
    </w:p>
    <w:p w14:paraId="4E7D43EB">
      <w:pPr>
        <w:pStyle w:val="61"/>
        <w:spacing w:line="360" w:lineRule="exact"/>
        <w:ind w:firstLine="422"/>
        <w:rPr>
          <w:rFonts w:cs="Times New Roman" w:eastAsiaTheme="minorEastAsia"/>
          <w:b/>
          <w:bCs/>
          <w:color w:val="000000" w:themeColor="text1"/>
          <w:kern w:val="2"/>
          <w:sz w:val="21"/>
          <w:szCs w:val="21"/>
          <w:highlight w:val="none"/>
        </w:rPr>
      </w:pPr>
      <w:r>
        <w:rPr>
          <w:rFonts w:cs="Times New Roman" w:eastAsiaTheme="minorEastAsia"/>
          <w:b/>
          <w:bCs/>
          <w:color w:val="000000" w:themeColor="text1"/>
          <w:kern w:val="2"/>
          <w:sz w:val="21"/>
          <w:szCs w:val="21"/>
          <w:highlight w:val="none"/>
        </w:rPr>
        <w:t>7.3签订合同</w:t>
      </w:r>
    </w:p>
    <w:p w14:paraId="7682E221">
      <w:pPr>
        <w:spacing w:line="360" w:lineRule="exact"/>
        <w:ind w:firstLine="420"/>
        <w:jc w:val="left"/>
        <w:rPr>
          <w:rFonts w:eastAsiaTheme="minorEastAsia"/>
          <w:color w:val="000000" w:themeColor="text1"/>
          <w:szCs w:val="21"/>
        </w:rPr>
      </w:pPr>
      <w:r>
        <w:rPr>
          <w:rFonts w:eastAsiaTheme="minorEastAsia"/>
          <w:color w:val="000000" w:themeColor="text1"/>
          <w:szCs w:val="21"/>
          <w:highlight w:val="none"/>
        </w:rPr>
        <w:t>7.3.1成交供应商公示期满无异议或投诉的，采购人将按有关规定及时与成交供应商订立书面合同。成交供应商无正当理由拒签合同的，采购人将取消其成交供应商资格，其谈判保证金</w:t>
      </w:r>
      <w:r>
        <w:rPr>
          <w:rFonts w:eastAsiaTheme="minorEastAsia"/>
          <w:color w:val="000000" w:themeColor="text1"/>
          <w:szCs w:val="21"/>
        </w:rPr>
        <w:t>不予退还；给采购人造成的损失超过谈判保证金数额的，成交供应商还应当对超过部分予以赔偿。</w:t>
      </w:r>
    </w:p>
    <w:p w14:paraId="17672F78">
      <w:pPr>
        <w:spacing w:line="360" w:lineRule="exact"/>
        <w:ind w:firstLine="420"/>
        <w:jc w:val="left"/>
        <w:rPr>
          <w:rFonts w:eastAsiaTheme="minorEastAsia"/>
          <w:color w:val="000000" w:themeColor="text1"/>
          <w:szCs w:val="21"/>
        </w:rPr>
      </w:pPr>
      <w:r>
        <w:rPr>
          <w:rFonts w:eastAsiaTheme="minorEastAsia"/>
          <w:color w:val="000000" w:themeColor="text1"/>
          <w:szCs w:val="21"/>
        </w:rPr>
        <w:t>7.3.2排名第一的供应商候选人放弃成交供应商资格，或因不可抗力提出不能履行合同，或者被查实存在影响成交结果的违法行为等情形，不符合成交条件的，采购人可以按照谈判评审小组提出的供应商候选人名单排序依次确定其他成交候选人为成交供应商或重新采购。</w:t>
      </w:r>
    </w:p>
    <w:p w14:paraId="093B5766">
      <w:pPr>
        <w:spacing w:line="360" w:lineRule="exact"/>
        <w:ind w:firstLine="420"/>
        <w:jc w:val="left"/>
        <w:rPr>
          <w:rFonts w:eastAsiaTheme="minorEastAsia"/>
          <w:color w:val="000000" w:themeColor="text1"/>
          <w:szCs w:val="21"/>
        </w:rPr>
      </w:pPr>
      <w:r>
        <w:rPr>
          <w:rFonts w:eastAsiaTheme="minorEastAsia"/>
          <w:color w:val="000000" w:themeColor="text1"/>
          <w:szCs w:val="21"/>
        </w:rPr>
        <w:t>7.3.3签订合同时，项目经理部主要管理人员须在合同中明确，未经采购人同意，不得更换项目部主要管理人员。</w:t>
      </w:r>
    </w:p>
    <w:p w14:paraId="407C69F1">
      <w:pPr>
        <w:pStyle w:val="61"/>
        <w:spacing w:line="360" w:lineRule="exact"/>
        <w:ind w:firstLine="422"/>
        <w:rPr>
          <w:rFonts w:ascii="Times New Roman" w:hAnsi="Times New Roman" w:cs="Times New Roman" w:eastAsiaTheme="minorEastAsia"/>
          <w:b/>
          <w:bCs/>
          <w:color w:val="000000" w:themeColor="text1"/>
          <w:kern w:val="2"/>
          <w:sz w:val="21"/>
          <w:szCs w:val="21"/>
          <w:highlight w:val="none"/>
        </w:rPr>
      </w:pPr>
      <w:r>
        <w:rPr>
          <w:rFonts w:hint="eastAsia" w:ascii="Times New Roman" w:hAnsi="Times New Roman" w:cs="Times New Roman" w:eastAsiaTheme="minorEastAsia"/>
          <w:b/>
          <w:bCs/>
          <w:color w:val="000000" w:themeColor="text1"/>
          <w:kern w:val="2"/>
          <w:sz w:val="21"/>
          <w:szCs w:val="21"/>
          <w:highlight w:val="none"/>
        </w:rPr>
        <w:t>7.4履约保证金</w:t>
      </w:r>
    </w:p>
    <w:p w14:paraId="0BCEA136">
      <w:pPr>
        <w:shd w:val="clear"/>
        <w:spacing w:line="360" w:lineRule="exact"/>
        <w:ind w:firstLine="420"/>
        <w:jc w:val="left"/>
        <w:rPr>
          <w:rFonts w:hint="eastAsia" w:eastAsiaTheme="minorEastAsia"/>
          <w:color w:val="000000" w:themeColor="text1"/>
          <w:szCs w:val="21"/>
          <w:highlight w:val="none"/>
        </w:rPr>
      </w:pPr>
      <w:r>
        <w:rPr>
          <w:rFonts w:hint="eastAsia" w:eastAsiaTheme="minorEastAsia"/>
          <w:color w:val="000000" w:themeColor="text1"/>
          <w:szCs w:val="21"/>
          <w:highlight w:val="none"/>
        </w:rPr>
        <w:t>7</w:t>
      </w:r>
      <w:r>
        <w:rPr>
          <w:rFonts w:hint="eastAsia" w:eastAsiaTheme="minorEastAsia"/>
          <w:color w:val="000000" w:themeColor="text1"/>
          <w:szCs w:val="21"/>
          <w:highlight w:val="none"/>
          <w:lang w:val="en-US" w:eastAsia="zh-CN"/>
        </w:rPr>
        <w:t>.</w:t>
      </w:r>
      <w:r>
        <w:rPr>
          <w:rFonts w:hint="eastAsia" w:eastAsiaTheme="minorEastAsia"/>
          <w:color w:val="000000" w:themeColor="text1"/>
          <w:szCs w:val="21"/>
          <w:highlight w:val="none"/>
        </w:rPr>
        <w:t>4</w:t>
      </w:r>
      <w:r>
        <w:rPr>
          <w:rFonts w:hint="eastAsia" w:eastAsiaTheme="minorEastAsia"/>
          <w:color w:val="000000" w:themeColor="text1"/>
          <w:szCs w:val="21"/>
          <w:highlight w:val="none"/>
          <w:lang w:val="en-US" w:eastAsia="zh-CN"/>
        </w:rPr>
        <w:t>.</w:t>
      </w:r>
      <w:r>
        <w:rPr>
          <w:rFonts w:hint="eastAsia" w:eastAsiaTheme="minorEastAsia"/>
          <w:color w:val="000000" w:themeColor="text1"/>
          <w:szCs w:val="21"/>
          <w:highlight w:val="none"/>
        </w:rPr>
        <w:t>1在签订合同前，</w:t>
      </w:r>
      <w:r>
        <w:rPr>
          <w:rFonts w:hint="eastAsia" w:eastAsiaTheme="minorEastAsia"/>
          <w:color w:val="000000" w:themeColor="text1"/>
          <w:szCs w:val="21"/>
          <w:highlight w:val="none"/>
          <w:lang w:eastAsia="zh-CN"/>
        </w:rPr>
        <w:t>成交供应商</w:t>
      </w:r>
      <w:r>
        <w:rPr>
          <w:rFonts w:hint="eastAsia" w:eastAsiaTheme="minorEastAsia"/>
          <w:color w:val="000000" w:themeColor="text1"/>
          <w:szCs w:val="21"/>
          <w:highlight w:val="none"/>
        </w:rPr>
        <w:t>应按“</w:t>
      </w:r>
      <w:r>
        <w:rPr>
          <w:rFonts w:hint="eastAsia" w:eastAsiaTheme="minorEastAsia"/>
          <w:color w:val="000000" w:themeColor="text1"/>
          <w:szCs w:val="21"/>
          <w:highlight w:val="none"/>
          <w:lang w:eastAsia="zh-CN"/>
        </w:rPr>
        <w:t>供应商</w:t>
      </w:r>
      <w:r>
        <w:rPr>
          <w:rFonts w:hint="eastAsia" w:eastAsiaTheme="minorEastAsia"/>
          <w:color w:val="000000" w:themeColor="text1"/>
          <w:szCs w:val="21"/>
          <w:highlight w:val="none"/>
        </w:rPr>
        <w:t>须知前附表”规定的金额、担保形式和</w:t>
      </w:r>
      <w:r>
        <w:rPr>
          <w:rFonts w:hint="eastAsia" w:eastAsiaTheme="minorEastAsia"/>
          <w:color w:val="000000" w:themeColor="text1"/>
          <w:szCs w:val="21"/>
          <w:highlight w:val="none"/>
          <w:lang w:eastAsia="zh-CN"/>
        </w:rPr>
        <w:t>采购文</w:t>
      </w:r>
      <w:r>
        <w:rPr>
          <w:rFonts w:hint="eastAsia" w:eastAsiaTheme="minorEastAsia"/>
          <w:color w:val="000000" w:themeColor="text1"/>
          <w:szCs w:val="21"/>
          <w:highlight w:val="none"/>
        </w:rPr>
        <w:t>件第四章“合同条款及格式”规定的履约担保格式向</w:t>
      </w:r>
      <w:r>
        <w:rPr>
          <w:rFonts w:hint="eastAsia" w:eastAsiaTheme="minorEastAsia"/>
          <w:color w:val="000000" w:themeColor="text1"/>
          <w:szCs w:val="21"/>
          <w:highlight w:val="none"/>
          <w:lang w:eastAsia="zh-CN"/>
        </w:rPr>
        <w:t>采购</w:t>
      </w:r>
      <w:r>
        <w:rPr>
          <w:rFonts w:hint="eastAsia" w:eastAsiaTheme="minorEastAsia"/>
          <w:color w:val="000000" w:themeColor="text1"/>
          <w:szCs w:val="21"/>
          <w:highlight w:val="none"/>
        </w:rPr>
        <w:t>人提交履约保证金。</w:t>
      </w:r>
    </w:p>
    <w:p w14:paraId="3A7ACC31">
      <w:pPr>
        <w:shd w:val="clear"/>
        <w:spacing w:line="360" w:lineRule="exact"/>
        <w:ind w:firstLine="420"/>
        <w:jc w:val="left"/>
      </w:pPr>
      <w:r>
        <w:rPr>
          <w:rFonts w:hint="eastAsia" w:eastAsiaTheme="minorEastAsia"/>
          <w:color w:val="000000" w:themeColor="text1"/>
          <w:szCs w:val="21"/>
          <w:highlight w:val="none"/>
        </w:rPr>
        <w:drawing>
          <wp:anchor distT="0" distB="0" distL="0" distR="0" simplePos="0" relativeHeight="251666432" behindDoc="0" locked="0" layoutInCell="1" allowOverlap="1">
            <wp:simplePos x="0" y="0"/>
            <wp:positionH relativeFrom="column">
              <wp:posOffset>7502525</wp:posOffset>
            </wp:positionH>
            <wp:positionV relativeFrom="paragraph">
              <wp:posOffset>526415</wp:posOffset>
            </wp:positionV>
            <wp:extent cx="57150" cy="1193800"/>
            <wp:effectExtent l="0" t="0" r="0" b="6350"/>
            <wp:wrapNone/>
            <wp:docPr id="158" name="IM 158"/>
            <wp:cNvGraphicFramePr/>
            <a:graphic xmlns:a="http://schemas.openxmlformats.org/drawingml/2006/main">
              <a:graphicData uri="http://schemas.openxmlformats.org/drawingml/2006/picture">
                <pic:pic xmlns:pic="http://schemas.openxmlformats.org/drawingml/2006/picture">
                  <pic:nvPicPr>
                    <pic:cNvPr id="158" name="IM 158"/>
                    <pic:cNvPicPr/>
                  </pic:nvPicPr>
                  <pic:blipFill>
                    <a:blip r:embed="rId23"/>
                    <a:stretch>
                      <a:fillRect/>
                    </a:stretch>
                  </pic:blipFill>
                  <pic:spPr>
                    <a:xfrm>
                      <a:off x="0" y="0"/>
                      <a:ext cx="57150" cy="1193800"/>
                    </a:xfrm>
                    <a:prstGeom prst="rect">
                      <a:avLst/>
                    </a:prstGeom>
                  </pic:spPr>
                </pic:pic>
              </a:graphicData>
            </a:graphic>
          </wp:anchor>
        </w:drawing>
      </w:r>
      <w:r>
        <w:rPr>
          <w:rFonts w:hint="eastAsia" w:eastAsiaTheme="minorEastAsia"/>
          <w:color w:val="000000" w:themeColor="text1"/>
          <w:szCs w:val="21"/>
          <w:highlight w:val="none"/>
        </w:rPr>
        <w:t>7.4.2</w:t>
      </w:r>
      <w:r>
        <w:rPr>
          <w:rFonts w:hint="eastAsia" w:eastAsiaTheme="minorEastAsia"/>
          <w:color w:val="000000" w:themeColor="text1"/>
          <w:szCs w:val="21"/>
          <w:highlight w:val="none"/>
          <w:lang w:eastAsia="zh-CN"/>
        </w:rPr>
        <w:t>成交供应商</w:t>
      </w:r>
      <w:r>
        <w:rPr>
          <w:rFonts w:hint="eastAsia" w:eastAsiaTheme="minorEastAsia"/>
          <w:color w:val="000000" w:themeColor="text1"/>
          <w:szCs w:val="21"/>
          <w:highlight w:val="none"/>
        </w:rPr>
        <w:t>不能按本章第7.</w:t>
      </w:r>
      <w:r>
        <w:rPr>
          <w:rFonts w:hint="eastAsia" w:eastAsiaTheme="minorEastAsia"/>
          <w:color w:val="000000" w:themeColor="text1"/>
          <w:szCs w:val="21"/>
          <w:highlight w:val="none"/>
          <w:lang w:val="en-US" w:eastAsia="zh-CN"/>
        </w:rPr>
        <w:t>4</w:t>
      </w:r>
      <w:r>
        <w:rPr>
          <w:rFonts w:hint="eastAsia" w:eastAsiaTheme="minorEastAsia"/>
          <w:color w:val="000000" w:themeColor="text1"/>
          <w:szCs w:val="21"/>
          <w:highlight w:val="none"/>
        </w:rPr>
        <w:t>.1项要求提交履约保证金的，视为放弃</w:t>
      </w:r>
      <w:r>
        <w:rPr>
          <w:rFonts w:hint="eastAsia" w:eastAsiaTheme="minorEastAsia"/>
          <w:color w:val="000000" w:themeColor="text1"/>
          <w:szCs w:val="21"/>
          <w:highlight w:val="none"/>
          <w:lang w:eastAsia="zh-CN"/>
        </w:rPr>
        <w:t>成交</w:t>
      </w:r>
      <w:r>
        <w:rPr>
          <w:rFonts w:hint="eastAsia" w:eastAsiaTheme="minorEastAsia"/>
          <w:color w:val="000000" w:themeColor="text1"/>
          <w:szCs w:val="21"/>
          <w:highlight w:val="none"/>
        </w:rPr>
        <w:t>，其</w:t>
      </w:r>
      <w:r>
        <w:rPr>
          <w:rFonts w:hint="eastAsia" w:eastAsiaTheme="minorEastAsia"/>
          <w:color w:val="000000" w:themeColor="text1"/>
          <w:szCs w:val="21"/>
          <w:highlight w:val="none"/>
          <w:lang w:eastAsia="zh-CN"/>
        </w:rPr>
        <w:t>谈判</w:t>
      </w:r>
      <w:r>
        <w:rPr>
          <w:rFonts w:hint="eastAsia" w:eastAsiaTheme="minorEastAsia"/>
          <w:color w:val="000000" w:themeColor="text1"/>
          <w:szCs w:val="21"/>
          <w:highlight w:val="none"/>
        </w:rPr>
        <w:t>保证金不予退还，给</w:t>
      </w:r>
      <w:r>
        <w:rPr>
          <w:rFonts w:hint="eastAsia" w:eastAsiaTheme="minorEastAsia"/>
          <w:color w:val="000000" w:themeColor="text1"/>
          <w:szCs w:val="21"/>
          <w:highlight w:val="none"/>
          <w:lang w:eastAsia="zh-CN"/>
        </w:rPr>
        <w:t>采购</w:t>
      </w:r>
      <w:r>
        <w:rPr>
          <w:rFonts w:hint="eastAsia" w:eastAsiaTheme="minorEastAsia"/>
          <w:color w:val="000000" w:themeColor="text1"/>
          <w:szCs w:val="21"/>
          <w:highlight w:val="none"/>
        </w:rPr>
        <w:t>人造成的损失超过投标保证金数额的，</w:t>
      </w:r>
      <w:r>
        <w:rPr>
          <w:rFonts w:hint="eastAsia" w:eastAsiaTheme="minorEastAsia"/>
          <w:color w:val="000000" w:themeColor="text1"/>
          <w:szCs w:val="21"/>
          <w:highlight w:val="none"/>
          <w:lang w:eastAsia="zh-CN"/>
        </w:rPr>
        <w:t>成交供应商</w:t>
      </w:r>
      <w:r>
        <w:rPr>
          <w:rFonts w:hint="eastAsia" w:eastAsiaTheme="minorEastAsia"/>
          <w:color w:val="000000" w:themeColor="text1"/>
          <w:szCs w:val="21"/>
          <w:highlight w:val="none"/>
        </w:rPr>
        <w:t>还应当对超过部分予以赔偿。</w:t>
      </w:r>
    </w:p>
    <w:p w14:paraId="0E43A3AB">
      <w:pPr>
        <w:pStyle w:val="2"/>
        <w:spacing w:before="0" w:after="0" w:line="360" w:lineRule="exact"/>
        <w:ind w:firstLine="0" w:firstLineChars="0"/>
        <w:jc w:val="left"/>
        <w:rPr>
          <w:rFonts w:ascii="Times New Roman" w:hAnsi="Times New Roman" w:eastAsiaTheme="minorEastAsia"/>
          <w:color w:val="000000" w:themeColor="text1"/>
          <w:sz w:val="21"/>
          <w:szCs w:val="21"/>
        </w:rPr>
      </w:pPr>
      <w:bookmarkStart w:id="112" w:name="_Toc18396"/>
      <w:bookmarkStart w:id="113" w:name="_Toc520410612"/>
      <w:bookmarkStart w:id="114" w:name="_Toc389065192"/>
      <w:r>
        <w:rPr>
          <w:rFonts w:ascii="Times New Roman" w:hAnsi="Times New Roman" w:eastAsiaTheme="minorEastAsia"/>
          <w:color w:val="000000" w:themeColor="text1"/>
          <w:sz w:val="21"/>
          <w:szCs w:val="21"/>
        </w:rPr>
        <w:t>八、纪律和监督</w:t>
      </w:r>
      <w:bookmarkEnd w:id="112"/>
      <w:bookmarkEnd w:id="113"/>
      <w:bookmarkEnd w:id="114"/>
    </w:p>
    <w:p w14:paraId="171A6311">
      <w:pPr>
        <w:spacing w:line="360" w:lineRule="exact"/>
        <w:ind w:firstLine="0" w:firstLineChars="0"/>
        <w:jc w:val="left"/>
        <w:rPr>
          <w:rFonts w:eastAsiaTheme="minorEastAsia"/>
          <w:b/>
          <w:bCs/>
          <w:color w:val="000000" w:themeColor="text1"/>
          <w:szCs w:val="21"/>
        </w:rPr>
      </w:pPr>
      <w:bookmarkStart w:id="115" w:name="_Toc520410613"/>
      <w:bookmarkStart w:id="116" w:name="_Toc389065193"/>
      <w:r>
        <w:rPr>
          <w:rFonts w:eastAsiaTheme="minorEastAsia"/>
          <w:b/>
          <w:bCs/>
          <w:color w:val="000000" w:themeColor="text1"/>
          <w:szCs w:val="21"/>
        </w:rPr>
        <w:t>8.1 对采购人的纪律要求</w:t>
      </w:r>
      <w:bookmarkEnd w:id="115"/>
      <w:bookmarkEnd w:id="116"/>
    </w:p>
    <w:p w14:paraId="0B1C8142">
      <w:pPr>
        <w:spacing w:line="360" w:lineRule="exact"/>
        <w:ind w:firstLine="420"/>
        <w:jc w:val="left"/>
        <w:rPr>
          <w:rFonts w:eastAsiaTheme="minorEastAsia"/>
          <w:color w:val="000000" w:themeColor="text1"/>
          <w:szCs w:val="21"/>
        </w:rPr>
      </w:pPr>
      <w:r>
        <w:rPr>
          <w:rFonts w:eastAsiaTheme="minorEastAsia"/>
          <w:color w:val="000000" w:themeColor="text1"/>
          <w:szCs w:val="21"/>
        </w:rPr>
        <w:t>采购人不得泄漏采购活动中应当保密的情况和资料，不得与供应商串通损害国家利益、社会公共利益或者他人合法权益。</w:t>
      </w:r>
    </w:p>
    <w:p w14:paraId="4DC200D7">
      <w:pPr>
        <w:spacing w:line="360" w:lineRule="exact"/>
        <w:ind w:firstLine="0" w:firstLineChars="0"/>
        <w:jc w:val="left"/>
        <w:rPr>
          <w:rFonts w:eastAsiaTheme="minorEastAsia"/>
          <w:color w:val="000000" w:themeColor="text1"/>
          <w:szCs w:val="21"/>
        </w:rPr>
      </w:pPr>
      <w:bookmarkStart w:id="117" w:name="_Toc520410614"/>
      <w:r>
        <w:rPr>
          <w:rFonts w:eastAsiaTheme="minorEastAsia"/>
          <w:b/>
          <w:bCs/>
          <w:color w:val="000000" w:themeColor="text1"/>
          <w:szCs w:val="21"/>
        </w:rPr>
        <w:t>8.2 对供应商的纪律要求</w:t>
      </w:r>
      <w:bookmarkEnd w:id="117"/>
    </w:p>
    <w:p w14:paraId="0D02607F">
      <w:pPr>
        <w:spacing w:line="360" w:lineRule="exact"/>
        <w:ind w:firstLine="420"/>
        <w:jc w:val="left"/>
        <w:rPr>
          <w:rFonts w:eastAsiaTheme="minorEastAsia"/>
          <w:color w:val="000000" w:themeColor="text1"/>
          <w:szCs w:val="21"/>
        </w:rPr>
      </w:pPr>
      <w:r>
        <w:rPr>
          <w:rFonts w:eastAsiaTheme="minorEastAsia"/>
          <w:color w:val="000000" w:themeColor="text1"/>
          <w:szCs w:val="21"/>
        </w:rPr>
        <w:t>供应商不得相互串通参与谈判或者与采购人串通参加谈判，不得向采购人或者谈判评审小组成员行贿谋取成交，不得以他人名义参加谈判或者以其他方式弄虚作假骗取成交；供应商不得以任何方式干扰、影响评审工作。在响应文件的审查、澄清、评价和比较以及授予合同过程中，供应商对采购人和评审小组成员施加影响的任何行为，都将导致取消其成交供应商资格。</w:t>
      </w:r>
    </w:p>
    <w:p w14:paraId="0924CB5A">
      <w:pPr>
        <w:spacing w:line="360" w:lineRule="exact"/>
        <w:ind w:firstLine="0" w:firstLineChars="0"/>
        <w:jc w:val="left"/>
        <w:rPr>
          <w:rFonts w:eastAsiaTheme="minorEastAsia"/>
          <w:b/>
          <w:bCs/>
          <w:color w:val="000000" w:themeColor="text1"/>
          <w:szCs w:val="21"/>
        </w:rPr>
      </w:pPr>
      <w:bookmarkStart w:id="118" w:name="_Toc520410615"/>
      <w:bookmarkStart w:id="119" w:name="_Toc389065194"/>
      <w:r>
        <w:rPr>
          <w:rFonts w:eastAsiaTheme="minorEastAsia"/>
          <w:b/>
          <w:bCs/>
          <w:color w:val="000000" w:themeColor="text1"/>
          <w:szCs w:val="21"/>
        </w:rPr>
        <w:t>8.3 对谈判评审小组成员的纪律要求</w:t>
      </w:r>
      <w:bookmarkEnd w:id="118"/>
      <w:bookmarkEnd w:id="119"/>
    </w:p>
    <w:p w14:paraId="70958795">
      <w:pPr>
        <w:spacing w:line="360" w:lineRule="exact"/>
        <w:ind w:firstLine="420"/>
        <w:jc w:val="left"/>
        <w:rPr>
          <w:rFonts w:eastAsiaTheme="minorEastAsia"/>
          <w:color w:val="000000" w:themeColor="text1"/>
          <w:szCs w:val="21"/>
        </w:rPr>
      </w:pPr>
      <w:r>
        <w:rPr>
          <w:rFonts w:eastAsiaTheme="minorEastAsia"/>
          <w:color w:val="000000" w:themeColor="text1"/>
          <w:szCs w:val="21"/>
        </w:rPr>
        <w:t>谈判评审小组成员不得收受他人的财物或者其他好处，不得向他人透漏对响应文件的评审和比较、成交供应商的推荐情况以及评审有关的其他情况。在评审活动中，谈判评审小组成员不得擅离职守，影响评审程序正常进行，不得使用第二章</w:t>
      </w:r>
      <w:r>
        <w:rPr>
          <w:rFonts w:hint="eastAsia" w:eastAsiaTheme="minorEastAsia"/>
          <w:color w:val="000000" w:themeColor="text1"/>
          <w:szCs w:val="21"/>
          <w:lang w:eastAsia="zh-CN"/>
        </w:rPr>
        <w:t>“</w:t>
      </w:r>
      <w:r>
        <w:rPr>
          <w:rFonts w:eastAsiaTheme="minorEastAsia"/>
          <w:color w:val="000000" w:themeColor="text1"/>
          <w:szCs w:val="21"/>
        </w:rPr>
        <w:t>评审办法</w:t>
      </w:r>
      <w:r>
        <w:rPr>
          <w:rFonts w:hint="eastAsia" w:eastAsiaTheme="minorEastAsia"/>
          <w:color w:val="000000" w:themeColor="text1"/>
          <w:szCs w:val="21"/>
          <w:lang w:eastAsia="zh-CN"/>
        </w:rPr>
        <w:t>”</w:t>
      </w:r>
      <w:r>
        <w:rPr>
          <w:rFonts w:eastAsiaTheme="minorEastAsia"/>
          <w:color w:val="000000" w:themeColor="text1"/>
          <w:szCs w:val="21"/>
        </w:rPr>
        <w:t>没有规定的评审因素和标准进行评审。</w:t>
      </w:r>
    </w:p>
    <w:p w14:paraId="666CF590">
      <w:pPr>
        <w:spacing w:line="360" w:lineRule="exact"/>
        <w:ind w:firstLine="0" w:firstLineChars="0"/>
        <w:jc w:val="left"/>
        <w:rPr>
          <w:rFonts w:eastAsiaTheme="minorEastAsia"/>
          <w:color w:val="000000" w:themeColor="text1"/>
          <w:szCs w:val="21"/>
        </w:rPr>
      </w:pPr>
      <w:bookmarkStart w:id="120" w:name="_Toc520410616"/>
      <w:bookmarkStart w:id="121" w:name="_Toc389065195"/>
      <w:r>
        <w:rPr>
          <w:rFonts w:eastAsiaTheme="minorEastAsia"/>
          <w:b/>
          <w:bCs/>
          <w:color w:val="000000" w:themeColor="text1"/>
          <w:szCs w:val="21"/>
        </w:rPr>
        <w:t>8.4 对与评审活动有关的工作人员的纪律要求</w:t>
      </w:r>
      <w:bookmarkEnd w:id="120"/>
      <w:bookmarkEnd w:id="121"/>
    </w:p>
    <w:p w14:paraId="7D0F52BD">
      <w:pPr>
        <w:spacing w:line="360" w:lineRule="exact"/>
        <w:ind w:firstLine="420"/>
        <w:jc w:val="left"/>
        <w:rPr>
          <w:rFonts w:eastAsiaTheme="minorEastAsia"/>
          <w:color w:val="000000" w:themeColor="text1"/>
          <w:szCs w:val="21"/>
        </w:rPr>
      </w:pPr>
      <w:r>
        <w:rPr>
          <w:rFonts w:eastAsiaTheme="minorEastAsia"/>
          <w:color w:val="000000" w:themeColor="text1"/>
          <w:szCs w:val="21"/>
        </w:rPr>
        <w:t>与评审活动有关的工作人员不得收受他人的财物或者其他好处，不得向他人透漏对响应文件的评审和比较、成交供应商的推荐情况以及评审有关的其他情况。在评审活动中，与评审活动有关的工作人员不得擅离职守，影响评审程序正常进行。</w:t>
      </w:r>
      <w:bookmarkStart w:id="122" w:name="_Toc389065196"/>
    </w:p>
    <w:p w14:paraId="3C90E8DF">
      <w:pPr>
        <w:spacing w:line="360" w:lineRule="exact"/>
        <w:ind w:firstLine="0" w:firstLineChars="0"/>
        <w:jc w:val="left"/>
        <w:rPr>
          <w:rFonts w:eastAsiaTheme="minorEastAsia"/>
          <w:color w:val="000000" w:themeColor="text1"/>
          <w:szCs w:val="21"/>
        </w:rPr>
      </w:pPr>
      <w:bookmarkStart w:id="123" w:name="_Toc520410617"/>
      <w:r>
        <w:rPr>
          <w:rFonts w:eastAsiaTheme="minorEastAsia"/>
          <w:b/>
          <w:bCs/>
          <w:color w:val="000000" w:themeColor="text1"/>
          <w:szCs w:val="21"/>
        </w:rPr>
        <w:t>8.5 异议与投诉</w:t>
      </w:r>
      <w:bookmarkEnd w:id="122"/>
      <w:bookmarkEnd w:id="123"/>
      <w:bookmarkStart w:id="124" w:name="_Toc389065197"/>
    </w:p>
    <w:p w14:paraId="151E52C2">
      <w:pPr>
        <w:spacing w:line="360" w:lineRule="exact"/>
        <w:ind w:firstLine="420"/>
        <w:jc w:val="left"/>
        <w:rPr>
          <w:rFonts w:eastAsiaTheme="minorEastAsia"/>
          <w:color w:val="000000" w:themeColor="text1"/>
          <w:szCs w:val="21"/>
        </w:rPr>
      </w:pPr>
      <w:r>
        <w:rPr>
          <w:rFonts w:eastAsiaTheme="minorEastAsia"/>
          <w:color w:val="000000" w:themeColor="text1"/>
          <w:szCs w:val="21"/>
        </w:rPr>
        <w:t>8.5.1供应商或者其他利害关系人对采购项目谈判文件有异议的，应当在提交响应文件截止时间2日前提出。采购人或代理机构应当自收到异议之日起3日内作出答复；作出答复前，应当暂停采购活动。</w:t>
      </w:r>
    </w:p>
    <w:p w14:paraId="20CB4C13">
      <w:pPr>
        <w:spacing w:line="360" w:lineRule="exact"/>
        <w:ind w:firstLine="420"/>
        <w:jc w:val="left"/>
        <w:rPr>
          <w:rFonts w:eastAsiaTheme="minorEastAsia"/>
          <w:color w:val="000000" w:themeColor="text1"/>
          <w:szCs w:val="21"/>
        </w:rPr>
      </w:pPr>
      <w:r>
        <w:rPr>
          <w:rFonts w:eastAsiaTheme="minorEastAsia"/>
          <w:color w:val="000000" w:themeColor="text1"/>
          <w:szCs w:val="21"/>
        </w:rPr>
        <w:t>8.5.2供应商或者其他利害关系人对采购项目的评审结果有异议的，应当在成交结果公示期间提出。采购人或代理机构应当自收到异议之日起3日内作出答复；作出答复前，应当暂停采购活动。</w:t>
      </w:r>
    </w:p>
    <w:p w14:paraId="42DA4009">
      <w:pPr>
        <w:spacing w:line="360" w:lineRule="exact"/>
        <w:ind w:firstLine="420"/>
        <w:jc w:val="left"/>
        <w:rPr>
          <w:rFonts w:eastAsiaTheme="minorEastAsia"/>
          <w:color w:val="000000" w:themeColor="text1"/>
          <w:szCs w:val="21"/>
        </w:rPr>
      </w:pPr>
      <w:r>
        <w:rPr>
          <w:rFonts w:eastAsiaTheme="minorEastAsia"/>
          <w:color w:val="000000" w:themeColor="text1"/>
          <w:szCs w:val="21"/>
        </w:rPr>
        <w:t>8.5.3供应商或其他利害关系人认为本次采购活动违反法律、法规和规章规定的，可以在知道或者应当知道之日起10日内向采购活动监督管理部门（见供应商须知前附表）提出书面投诉。投诉应当有明确的请求和必要的证明材料。就第8.5.1项、8.5.2项规定事项提出投诉的，应先向采购人提出异议。</w:t>
      </w:r>
    </w:p>
    <w:p w14:paraId="4A5C2230">
      <w:pPr>
        <w:spacing w:line="360" w:lineRule="exact"/>
        <w:ind w:firstLine="420"/>
        <w:jc w:val="left"/>
        <w:rPr>
          <w:rFonts w:eastAsiaTheme="minorEastAsia"/>
          <w:color w:val="000000" w:themeColor="text1"/>
          <w:szCs w:val="21"/>
        </w:rPr>
      </w:pPr>
      <w:r>
        <w:rPr>
          <w:rFonts w:eastAsiaTheme="minorEastAsia"/>
          <w:color w:val="000000" w:themeColor="text1"/>
          <w:szCs w:val="21"/>
        </w:rPr>
        <w:t>8.5.4异议时应当提出而未提出的事项，投诉时不予受理；异议、投诉的提出及后续处理须由供应商确定的授权委托代表全程参与，转委托无效。采购人可根据实际情况约谈提出异议、投诉供应商的法定代表人。</w:t>
      </w:r>
    </w:p>
    <w:p w14:paraId="2D337A0F">
      <w:pPr>
        <w:spacing w:line="360" w:lineRule="exact"/>
        <w:ind w:firstLine="420"/>
        <w:jc w:val="left"/>
        <w:rPr>
          <w:rFonts w:eastAsiaTheme="minorEastAsia"/>
          <w:color w:val="000000" w:themeColor="text1"/>
          <w:szCs w:val="21"/>
        </w:rPr>
      </w:pPr>
      <w:r>
        <w:rPr>
          <w:rFonts w:eastAsiaTheme="minorEastAsia"/>
          <w:color w:val="000000" w:themeColor="text1"/>
          <w:szCs w:val="21"/>
        </w:rPr>
        <w:t>8.5.5除8.5.1、8.5.2、8.5.3、8.5.4条要求外，异议与投诉的提出和处理程序应当按照《徐圩新区国有资金采购活动异议和投诉处理操作规则》（可在</w:t>
      </w:r>
      <w:r>
        <w:rPr>
          <w:rFonts w:hint="eastAsia" w:eastAsiaTheme="minorEastAsia"/>
          <w:color w:val="000000" w:themeColor="text1"/>
          <w:szCs w:val="21"/>
          <w:lang w:eastAsia="zh-CN"/>
        </w:rPr>
        <w:t>“方洋集团电子采购平台”</w:t>
      </w:r>
      <w:r>
        <w:rPr>
          <w:rFonts w:eastAsiaTheme="minorEastAsia"/>
          <w:color w:val="000000" w:themeColor="text1"/>
          <w:szCs w:val="21"/>
        </w:rPr>
        <w:t>下载相关材料）相关要求执行。</w:t>
      </w:r>
    </w:p>
    <w:bookmarkEnd w:id="124"/>
    <w:p w14:paraId="15B6663C">
      <w:pPr>
        <w:pStyle w:val="2"/>
        <w:spacing w:before="0" w:after="0" w:line="360" w:lineRule="exact"/>
        <w:ind w:firstLine="0" w:firstLineChars="0"/>
        <w:jc w:val="left"/>
        <w:rPr>
          <w:rFonts w:ascii="Times New Roman" w:hAnsi="Times New Roman" w:eastAsiaTheme="minorEastAsia"/>
          <w:color w:val="000000" w:themeColor="text1"/>
          <w:sz w:val="21"/>
          <w:szCs w:val="21"/>
        </w:rPr>
      </w:pPr>
      <w:bookmarkStart w:id="125" w:name="_Toc520410618"/>
      <w:bookmarkStart w:id="126" w:name="_Toc6535"/>
      <w:r>
        <w:rPr>
          <w:rFonts w:ascii="Times New Roman" w:hAnsi="Times New Roman" w:eastAsiaTheme="minorEastAsia"/>
          <w:color w:val="000000" w:themeColor="text1"/>
          <w:sz w:val="21"/>
          <w:szCs w:val="21"/>
        </w:rPr>
        <w:t>九、解释权</w:t>
      </w:r>
      <w:bookmarkEnd w:id="125"/>
      <w:bookmarkEnd w:id="126"/>
    </w:p>
    <w:p w14:paraId="4B6214FE">
      <w:pPr>
        <w:spacing w:line="360" w:lineRule="exact"/>
        <w:ind w:firstLine="420"/>
        <w:jc w:val="left"/>
        <w:rPr>
          <w:rFonts w:eastAsiaTheme="minorEastAsia"/>
          <w:color w:val="000000" w:themeColor="text1"/>
          <w:szCs w:val="21"/>
        </w:rPr>
      </w:pPr>
      <w:r>
        <w:rPr>
          <w:rFonts w:eastAsiaTheme="minorEastAsia"/>
          <w:color w:val="000000" w:themeColor="text1"/>
          <w:szCs w:val="21"/>
        </w:rPr>
        <w:t>构成本谈判文件的各个组成文件应互为解释，互为说明；如有不明确或不一致，构成合同文件组成内容的，以合同文件约定内容为准，且以专用合同条款约定的合同文件优先顺序解释；除谈判文件中有特别规定外，仅适用于采购阶段的规定，按谈判公告、供应商须知、评审办法、响应文件格式的先后顺序解释；同一组成文件中就同一事项的规定或约定不一致的，以编排顺序在后者为准；同一组成文件不同版本之间有不一致的，以形成时间在后者为准。按本款前述规定仍不能形成结论的，由采购人负责解释。</w:t>
      </w:r>
    </w:p>
    <w:p w14:paraId="197B5034">
      <w:pPr>
        <w:pStyle w:val="2"/>
        <w:spacing w:before="0" w:after="0" w:line="360" w:lineRule="exact"/>
        <w:ind w:firstLine="0" w:firstLineChars="0"/>
        <w:jc w:val="left"/>
        <w:rPr>
          <w:rFonts w:ascii="Times New Roman" w:hAnsi="Times New Roman" w:eastAsiaTheme="minorEastAsia"/>
          <w:color w:val="000000" w:themeColor="text1"/>
          <w:sz w:val="21"/>
          <w:szCs w:val="21"/>
        </w:rPr>
      </w:pPr>
      <w:bookmarkStart w:id="127" w:name="_Toc520410619"/>
      <w:bookmarkStart w:id="128" w:name="_Toc20950"/>
      <w:r>
        <w:rPr>
          <w:rFonts w:ascii="Times New Roman" w:hAnsi="Times New Roman" w:eastAsiaTheme="minorEastAsia"/>
          <w:color w:val="000000" w:themeColor="text1"/>
          <w:sz w:val="21"/>
          <w:szCs w:val="21"/>
        </w:rPr>
        <w:t>十、采购人补充的其他内容</w:t>
      </w:r>
      <w:bookmarkEnd w:id="127"/>
      <w:bookmarkEnd w:id="128"/>
    </w:p>
    <w:p w14:paraId="50D89826">
      <w:pPr>
        <w:shd w:val="clear"/>
        <w:spacing w:line="360" w:lineRule="exact"/>
        <w:ind w:firstLine="420"/>
        <w:rPr>
          <w:bCs/>
          <w:color w:val="000000" w:themeColor="text1"/>
          <w:szCs w:val="21"/>
          <w:highlight w:val="none"/>
        </w:rPr>
      </w:pPr>
      <w:r>
        <w:rPr>
          <w:rFonts w:hint="eastAsia"/>
          <w:bCs/>
          <w:color w:val="000000" w:themeColor="text1"/>
          <w:szCs w:val="21"/>
        </w:rPr>
        <w:t>详见</w:t>
      </w:r>
      <w:r>
        <w:rPr>
          <w:rFonts w:hint="eastAsia"/>
          <w:bCs/>
          <w:color w:val="000000" w:themeColor="text1"/>
          <w:szCs w:val="21"/>
          <w:lang w:eastAsia="zh-CN"/>
        </w:rPr>
        <w:t>“</w:t>
      </w:r>
      <w:r>
        <w:rPr>
          <w:rFonts w:hint="eastAsia"/>
          <w:bCs/>
          <w:color w:val="000000" w:themeColor="text1"/>
          <w:szCs w:val="21"/>
        </w:rPr>
        <w:t>供应商须知前附表</w:t>
      </w:r>
      <w:r>
        <w:rPr>
          <w:rFonts w:hint="eastAsia"/>
          <w:bCs/>
          <w:color w:val="000000" w:themeColor="text1"/>
          <w:szCs w:val="21"/>
          <w:lang w:eastAsia="zh-CN"/>
        </w:rPr>
        <w:t>”</w:t>
      </w:r>
      <w:r>
        <w:rPr>
          <w:rFonts w:hint="eastAsia"/>
          <w:bCs/>
          <w:color w:val="000000" w:themeColor="text1"/>
          <w:szCs w:val="21"/>
        </w:rPr>
        <w:t>。</w:t>
      </w:r>
    </w:p>
    <w:p w14:paraId="0D1772F1">
      <w:pPr>
        <w:shd w:val="clear"/>
        <w:ind w:firstLine="723"/>
        <w:rPr>
          <w:rFonts w:eastAsia="黑体"/>
          <w:b/>
          <w:color w:val="000000" w:themeColor="text1"/>
          <w:sz w:val="36"/>
          <w:szCs w:val="36"/>
          <w:highlight w:val="none"/>
        </w:rPr>
      </w:pPr>
      <w:r>
        <w:rPr>
          <w:rFonts w:eastAsia="黑体"/>
          <w:b/>
          <w:color w:val="000000" w:themeColor="text1"/>
          <w:sz w:val="36"/>
          <w:szCs w:val="36"/>
          <w:highlight w:val="none"/>
        </w:rPr>
        <w:br w:type="page"/>
      </w:r>
    </w:p>
    <w:bookmarkEnd w:id="79"/>
    <w:p w14:paraId="79B0B381">
      <w:pPr>
        <w:pStyle w:val="3"/>
        <w:spacing w:line="400" w:lineRule="atLeast"/>
        <w:ind w:firstLine="0" w:firstLineChars="0"/>
        <w:jc w:val="center"/>
        <w:rPr>
          <w:color w:val="000000" w:themeColor="text1"/>
          <w:sz w:val="24"/>
        </w:rPr>
      </w:pPr>
      <w:bookmarkStart w:id="129" w:name="_Toc103"/>
      <w:bookmarkStart w:id="130" w:name="_Toc12025630"/>
      <w:bookmarkStart w:id="131" w:name="_Toc520666374"/>
      <w:r>
        <w:rPr>
          <w:rFonts w:ascii="Times New Roman"/>
          <w:color w:val="000000" w:themeColor="text1"/>
        </w:rPr>
        <w:t>第三章</w:t>
      </w:r>
      <w:r>
        <w:rPr>
          <w:rFonts w:hint="eastAsia" w:ascii="Times New Roman"/>
          <w:color w:val="000000" w:themeColor="text1"/>
        </w:rPr>
        <w:t xml:space="preserve"> </w:t>
      </w:r>
      <w:r>
        <w:rPr>
          <w:rFonts w:ascii="Times New Roman"/>
          <w:color w:val="000000" w:themeColor="text1"/>
        </w:rPr>
        <w:t>评审办法</w:t>
      </w:r>
      <w:bookmarkEnd w:id="129"/>
      <w:bookmarkStart w:id="132" w:name="EBdd50372fb5f147338f0b3ac167590a20"/>
      <w:bookmarkEnd w:id="132"/>
    </w:p>
    <w:p w14:paraId="38808FBC">
      <w:pPr>
        <w:pStyle w:val="2"/>
        <w:spacing w:before="0" w:after="0" w:line="360" w:lineRule="exact"/>
        <w:ind w:firstLine="422"/>
        <w:jc w:val="left"/>
        <w:rPr>
          <w:rFonts w:ascii="Times New Roman" w:hAnsi="Times New Roman" w:eastAsiaTheme="minorEastAsia"/>
          <w:color w:val="000000" w:themeColor="text1"/>
          <w:sz w:val="21"/>
          <w:szCs w:val="21"/>
        </w:rPr>
      </w:pPr>
      <w:bookmarkStart w:id="133" w:name="_Toc520410622"/>
      <w:bookmarkStart w:id="134" w:name="_Toc246996986"/>
      <w:bookmarkStart w:id="135" w:name="_Toc475027990"/>
      <w:bookmarkStart w:id="136" w:name="_Toc179632618"/>
      <w:bookmarkStart w:id="137" w:name="_Toc354417665"/>
      <w:bookmarkStart w:id="138" w:name="_Toc152042377"/>
      <w:bookmarkStart w:id="139" w:name="_Toc247085758"/>
      <w:bookmarkStart w:id="140" w:name="_Toc152045600"/>
      <w:bookmarkStart w:id="141" w:name="_Toc144974567"/>
      <w:bookmarkStart w:id="142" w:name="_Toc246996243"/>
      <w:bookmarkStart w:id="143" w:name="_Toc4077"/>
      <w:r>
        <w:rPr>
          <w:rFonts w:ascii="Times New Roman" w:hAnsiTheme="minorEastAsia" w:eastAsiaTheme="minorEastAsia"/>
          <w:color w:val="000000" w:themeColor="text1"/>
          <w:sz w:val="21"/>
          <w:szCs w:val="21"/>
        </w:rPr>
        <w:t>一、评审方法</w:t>
      </w:r>
      <w:bookmarkEnd w:id="133"/>
      <w:bookmarkEnd w:id="134"/>
      <w:bookmarkEnd w:id="135"/>
      <w:bookmarkEnd w:id="136"/>
      <w:bookmarkEnd w:id="137"/>
      <w:bookmarkEnd w:id="138"/>
      <w:bookmarkEnd w:id="139"/>
      <w:bookmarkEnd w:id="140"/>
      <w:bookmarkEnd w:id="141"/>
      <w:bookmarkEnd w:id="142"/>
      <w:bookmarkEnd w:id="143"/>
    </w:p>
    <w:p w14:paraId="0AF2AEBD">
      <w:pPr>
        <w:spacing w:line="360" w:lineRule="exact"/>
        <w:ind w:firstLine="422"/>
        <w:jc w:val="left"/>
        <w:rPr>
          <w:rFonts w:eastAsiaTheme="minorEastAsia"/>
          <w:b/>
          <w:bCs/>
          <w:color w:val="000000" w:themeColor="text1"/>
          <w:szCs w:val="21"/>
        </w:rPr>
      </w:pPr>
      <w:r>
        <w:rPr>
          <w:rFonts w:hAnsiTheme="minorEastAsia" w:eastAsiaTheme="minorEastAsia"/>
          <w:b/>
          <w:color w:val="000000" w:themeColor="text1"/>
          <w:szCs w:val="21"/>
        </w:rPr>
        <w:t>本次评审采用经评审的最低价法。评审小组对满足谈判文件实质要求的响应文件，按最终报价由低到高的顺序推荐成交候选人。</w:t>
      </w:r>
      <w:r>
        <w:rPr>
          <w:rFonts w:hAnsiTheme="minorEastAsia" w:eastAsiaTheme="minorEastAsia"/>
          <w:b/>
          <w:color w:val="000000" w:themeColor="text1"/>
          <w:szCs w:val="21"/>
          <w:highlight w:val="yellow"/>
        </w:rPr>
        <w:t>成交候选人</w:t>
      </w:r>
      <w:r>
        <w:rPr>
          <w:rFonts w:hint="eastAsia" w:hAnsiTheme="minorEastAsia" w:eastAsiaTheme="minorEastAsia"/>
          <w:b/>
          <w:color w:val="000000" w:themeColor="text1"/>
          <w:szCs w:val="21"/>
          <w:highlight w:val="yellow"/>
        </w:rPr>
        <w:t>谈判</w:t>
      </w:r>
      <w:r>
        <w:rPr>
          <w:rFonts w:hAnsiTheme="minorEastAsia" w:eastAsiaTheme="minorEastAsia"/>
          <w:b/>
          <w:color w:val="000000" w:themeColor="text1"/>
          <w:szCs w:val="21"/>
          <w:highlight w:val="yellow"/>
        </w:rPr>
        <w:t>报价相等的，由</w:t>
      </w:r>
      <w:r>
        <w:rPr>
          <w:rFonts w:hint="eastAsia" w:hAnsiTheme="minorEastAsia" w:eastAsiaTheme="minorEastAsia"/>
          <w:b/>
          <w:color w:val="000000" w:themeColor="text1"/>
          <w:szCs w:val="21"/>
          <w:highlight w:val="yellow"/>
        </w:rPr>
        <w:t>采购</w:t>
      </w:r>
      <w:r>
        <w:rPr>
          <w:rFonts w:hAnsiTheme="minorEastAsia" w:eastAsiaTheme="minorEastAsia"/>
          <w:b/>
          <w:color w:val="000000" w:themeColor="text1"/>
          <w:szCs w:val="21"/>
          <w:highlight w:val="yellow"/>
        </w:rPr>
        <w:t>人</w:t>
      </w:r>
      <w:r>
        <w:rPr>
          <w:rFonts w:hint="eastAsia" w:hAnsiTheme="minorEastAsia" w:eastAsiaTheme="minorEastAsia"/>
          <w:b/>
          <w:color w:val="000000" w:themeColor="text1"/>
          <w:szCs w:val="21"/>
          <w:highlight w:val="yellow"/>
          <w:lang w:eastAsia="zh-CN"/>
        </w:rPr>
        <w:t>抽签</w:t>
      </w:r>
      <w:r>
        <w:rPr>
          <w:rFonts w:hAnsiTheme="minorEastAsia" w:eastAsiaTheme="minorEastAsia"/>
          <w:b/>
          <w:color w:val="000000" w:themeColor="text1"/>
          <w:szCs w:val="21"/>
          <w:highlight w:val="yellow"/>
        </w:rPr>
        <w:t>确定次序。</w:t>
      </w:r>
    </w:p>
    <w:p w14:paraId="14817E5D">
      <w:pPr>
        <w:pStyle w:val="2"/>
        <w:spacing w:before="0" w:after="0" w:line="360" w:lineRule="exact"/>
        <w:ind w:firstLine="422"/>
        <w:jc w:val="left"/>
        <w:rPr>
          <w:rFonts w:ascii="Times New Roman" w:hAnsi="Times New Roman" w:eastAsiaTheme="minorEastAsia"/>
          <w:color w:val="000000" w:themeColor="text1"/>
          <w:sz w:val="21"/>
          <w:szCs w:val="21"/>
        </w:rPr>
      </w:pPr>
      <w:bookmarkStart w:id="144" w:name="_Toc27292"/>
      <w:bookmarkStart w:id="145" w:name="_Toc475027991"/>
      <w:bookmarkStart w:id="146" w:name="_Toc144974568"/>
      <w:bookmarkStart w:id="147" w:name="_Toc354417666"/>
      <w:bookmarkStart w:id="148" w:name="_Toc520410623"/>
      <w:bookmarkStart w:id="149" w:name="_Toc152042378"/>
      <w:bookmarkStart w:id="150" w:name="_Toc246996987"/>
      <w:bookmarkStart w:id="151" w:name="_Toc246996244"/>
      <w:bookmarkStart w:id="152" w:name="_Toc152045601"/>
      <w:bookmarkStart w:id="153" w:name="_Toc247085759"/>
      <w:bookmarkStart w:id="154" w:name="_Toc179632619"/>
      <w:r>
        <w:rPr>
          <w:rFonts w:ascii="Times New Roman" w:hAnsiTheme="minorEastAsia" w:eastAsiaTheme="minorEastAsia"/>
          <w:color w:val="000000" w:themeColor="text1"/>
          <w:sz w:val="21"/>
          <w:szCs w:val="21"/>
        </w:rPr>
        <w:t>二、评审标准</w:t>
      </w:r>
      <w:bookmarkEnd w:id="144"/>
      <w:bookmarkEnd w:id="145"/>
      <w:bookmarkEnd w:id="146"/>
      <w:bookmarkEnd w:id="147"/>
      <w:bookmarkEnd w:id="148"/>
      <w:bookmarkEnd w:id="149"/>
      <w:bookmarkEnd w:id="150"/>
      <w:bookmarkEnd w:id="151"/>
      <w:bookmarkEnd w:id="152"/>
      <w:bookmarkEnd w:id="153"/>
      <w:bookmarkEnd w:id="154"/>
    </w:p>
    <w:p w14:paraId="5D5F690A">
      <w:pPr>
        <w:pStyle w:val="18"/>
        <w:spacing w:after="0" w:line="360" w:lineRule="exact"/>
        <w:ind w:firstLine="422"/>
        <w:jc w:val="left"/>
        <w:rPr>
          <w:rFonts w:eastAsiaTheme="minorEastAsia"/>
          <w:b/>
          <w:color w:val="000000" w:themeColor="text1"/>
          <w:szCs w:val="21"/>
        </w:rPr>
      </w:pPr>
      <w:r>
        <w:rPr>
          <w:rFonts w:hint="eastAsia" w:ascii="宋体" w:hAnsi="宋体" w:eastAsiaTheme="minorEastAsia"/>
          <w:b/>
          <w:bCs/>
          <w:szCs w:val="21"/>
        </w:rPr>
        <w:t>评审</w:t>
      </w:r>
      <w:r>
        <w:rPr>
          <w:rFonts w:hint="eastAsia" w:ascii="宋体" w:hAnsi="宋体"/>
          <w:b/>
          <w:bCs/>
          <w:szCs w:val="21"/>
        </w:rPr>
        <w:t>入围条件：供应商响应文件响应函中载明的报价高于采购控制价或采购人期望值的，不再进行后续评审。</w:t>
      </w:r>
    </w:p>
    <w:p w14:paraId="4ABFAE4D">
      <w:pPr>
        <w:spacing w:line="360" w:lineRule="exact"/>
        <w:ind w:firstLine="422"/>
        <w:jc w:val="left"/>
        <w:rPr>
          <w:rFonts w:eastAsiaTheme="minorEastAsia"/>
          <w:b/>
          <w:color w:val="000000" w:themeColor="text1"/>
          <w:szCs w:val="21"/>
        </w:rPr>
      </w:pPr>
      <w:r>
        <w:rPr>
          <w:rFonts w:eastAsiaTheme="minorEastAsia"/>
          <w:b/>
          <w:color w:val="000000" w:themeColor="text1"/>
          <w:szCs w:val="21"/>
        </w:rPr>
        <w:t>2.1</w:t>
      </w:r>
      <w:r>
        <w:rPr>
          <w:rFonts w:hAnsiTheme="minorEastAsia" w:eastAsiaTheme="minorEastAsia"/>
          <w:b/>
          <w:color w:val="000000" w:themeColor="text1"/>
          <w:szCs w:val="21"/>
        </w:rPr>
        <w:t>形式评审标准：</w:t>
      </w:r>
    </w:p>
    <w:p w14:paraId="0C01D8C0">
      <w:pPr>
        <w:spacing w:line="360" w:lineRule="exact"/>
        <w:ind w:firstLine="420"/>
        <w:jc w:val="left"/>
        <w:rPr>
          <w:rFonts w:eastAsiaTheme="minorEastAsia"/>
          <w:color w:val="000000" w:themeColor="text1"/>
          <w:szCs w:val="21"/>
        </w:rPr>
      </w:pPr>
      <w:r>
        <w:rPr>
          <w:rFonts w:eastAsiaTheme="minorEastAsia"/>
          <w:color w:val="000000" w:themeColor="text1"/>
          <w:szCs w:val="21"/>
        </w:rPr>
        <w:t>2.1.1</w:t>
      </w:r>
      <w:r>
        <w:rPr>
          <w:rFonts w:hAnsiTheme="minorEastAsia" w:eastAsiaTheme="minorEastAsia"/>
          <w:color w:val="000000" w:themeColor="text1"/>
          <w:szCs w:val="21"/>
        </w:rPr>
        <w:t>供应商名称：是否与营业执照、资质证书一致；</w:t>
      </w:r>
    </w:p>
    <w:p w14:paraId="68307608">
      <w:pPr>
        <w:spacing w:line="360" w:lineRule="exact"/>
        <w:ind w:firstLine="420"/>
        <w:jc w:val="left"/>
        <w:rPr>
          <w:rFonts w:eastAsiaTheme="minorEastAsia"/>
          <w:color w:val="000000" w:themeColor="text1"/>
          <w:szCs w:val="21"/>
        </w:rPr>
      </w:pPr>
      <w:r>
        <w:rPr>
          <w:rFonts w:eastAsiaTheme="minorEastAsia"/>
          <w:color w:val="000000" w:themeColor="text1"/>
          <w:szCs w:val="21"/>
        </w:rPr>
        <w:t>2.1.2</w:t>
      </w:r>
      <w:r>
        <w:rPr>
          <w:rFonts w:hint="eastAsia" w:hAnsiTheme="minorEastAsia" w:eastAsiaTheme="minorEastAsia"/>
          <w:color w:val="000000" w:themeColor="text1"/>
          <w:szCs w:val="21"/>
        </w:rPr>
        <w:t>响应函</w:t>
      </w:r>
      <w:r>
        <w:rPr>
          <w:rFonts w:hAnsiTheme="minorEastAsia" w:eastAsiaTheme="minorEastAsia"/>
          <w:color w:val="000000" w:themeColor="text1"/>
          <w:szCs w:val="21"/>
        </w:rPr>
        <w:t>签字盖章：有法定代表人或授权委托人的签字或签章并加盖单位公章。</w:t>
      </w:r>
    </w:p>
    <w:p w14:paraId="25076D99">
      <w:pPr>
        <w:spacing w:line="360" w:lineRule="exact"/>
        <w:ind w:firstLine="422"/>
        <w:jc w:val="left"/>
        <w:rPr>
          <w:rFonts w:eastAsiaTheme="minorEastAsia"/>
          <w:b/>
          <w:color w:val="000000" w:themeColor="text1"/>
          <w:szCs w:val="21"/>
        </w:rPr>
      </w:pPr>
      <w:r>
        <w:rPr>
          <w:rFonts w:eastAsiaTheme="minorEastAsia"/>
          <w:b/>
          <w:color w:val="000000" w:themeColor="text1"/>
          <w:szCs w:val="21"/>
        </w:rPr>
        <w:t>2.2</w:t>
      </w:r>
      <w:r>
        <w:rPr>
          <w:rFonts w:hAnsiTheme="minorEastAsia" w:eastAsiaTheme="minorEastAsia"/>
          <w:b/>
          <w:color w:val="000000" w:themeColor="text1"/>
          <w:szCs w:val="21"/>
        </w:rPr>
        <w:t>资格评审标准：</w:t>
      </w:r>
    </w:p>
    <w:p w14:paraId="5D23E252">
      <w:pPr>
        <w:spacing w:line="360" w:lineRule="exact"/>
        <w:ind w:firstLine="420"/>
        <w:jc w:val="left"/>
        <w:rPr>
          <w:rFonts w:eastAsiaTheme="minorEastAsia"/>
          <w:color w:val="000000" w:themeColor="text1"/>
          <w:szCs w:val="21"/>
        </w:rPr>
      </w:pPr>
      <w:r>
        <w:rPr>
          <w:rFonts w:hAnsiTheme="minorEastAsia" w:eastAsiaTheme="minorEastAsia"/>
          <w:color w:val="000000" w:themeColor="text1"/>
          <w:szCs w:val="21"/>
        </w:rPr>
        <w:t>符合</w:t>
      </w:r>
      <w:r>
        <w:rPr>
          <w:rFonts w:hint="eastAsia" w:eastAsiaTheme="minorEastAsia"/>
          <w:color w:val="000000" w:themeColor="text1"/>
          <w:szCs w:val="21"/>
          <w:lang w:eastAsia="zh-CN"/>
        </w:rPr>
        <w:t>“</w:t>
      </w:r>
      <w:r>
        <w:rPr>
          <w:rFonts w:hAnsiTheme="minorEastAsia" w:eastAsiaTheme="minorEastAsia"/>
          <w:color w:val="000000" w:themeColor="text1"/>
          <w:szCs w:val="21"/>
        </w:rPr>
        <w:t>竞争性谈判公告</w:t>
      </w:r>
      <w:r>
        <w:rPr>
          <w:rFonts w:hint="eastAsia" w:eastAsiaTheme="minorEastAsia"/>
          <w:color w:val="000000" w:themeColor="text1"/>
          <w:szCs w:val="21"/>
          <w:lang w:eastAsia="zh-CN"/>
        </w:rPr>
        <w:t>”</w:t>
      </w:r>
      <w:r>
        <w:rPr>
          <w:rFonts w:hAnsiTheme="minorEastAsia" w:eastAsiaTheme="minorEastAsia"/>
          <w:color w:val="000000" w:themeColor="text1"/>
          <w:szCs w:val="21"/>
        </w:rPr>
        <w:t>第</w:t>
      </w:r>
      <w:r>
        <w:rPr>
          <w:rFonts w:hint="eastAsia" w:eastAsiaTheme="minorEastAsia"/>
          <w:color w:val="000000" w:themeColor="text1"/>
          <w:szCs w:val="21"/>
        </w:rPr>
        <w:t>3</w:t>
      </w:r>
      <w:r>
        <w:rPr>
          <w:rFonts w:hAnsiTheme="minorEastAsia" w:eastAsiaTheme="minorEastAsia"/>
          <w:color w:val="000000" w:themeColor="text1"/>
          <w:szCs w:val="21"/>
        </w:rPr>
        <w:t>条规定。</w:t>
      </w:r>
    </w:p>
    <w:p w14:paraId="2BB05C9B">
      <w:pPr>
        <w:spacing w:line="360" w:lineRule="exact"/>
        <w:ind w:firstLine="422"/>
        <w:jc w:val="left"/>
        <w:rPr>
          <w:rFonts w:eastAsiaTheme="minorEastAsia"/>
          <w:b/>
          <w:color w:val="000000" w:themeColor="text1"/>
          <w:szCs w:val="21"/>
        </w:rPr>
      </w:pPr>
      <w:r>
        <w:rPr>
          <w:rFonts w:eastAsiaTheme="minorEastAsia"/>
          <w:b/>
          <w:color w:val="000000" w:themeColor="text1"/>
          <w:szCs w:val="21"/>
        </w:rPr>
        <w:t>2.3</w:t>
      </w:r>
      <w:r>
        <w:rPr>
          <w:rFonts w:hAnsiTheme="minorEastAsia" w:eastAsiaTheme="minorEastAsia"/>
          <w:b/>
          <w:color w:val="000000" w:themeColor="text1"/>
          <w:szCs w:val="21"/>
        </w:rPr>
        <w:t>响应性评审标准：</w:t>
      </w:r>
    </w:p>
    <w:p w14:paraId="472F6ABA">
      <w:pPr>
        <w:spacing w:line="360" w:lineRule="exact"/>
        <w:ind w:firstLine="420"/>
        <w:jc w:val="left"/>
        <w:rPr>
          <w:rFonts w:eastAsiaTheme="minorEastAsia"/>
          <w:color w:val="000000" w:themeColor="text1"/>
          <w:szCs w:val="21"/>
        </w:rPr>
      </w:pPr>
      <w:r>
        <w:rPr>
          <w:rFonts w:eastAsiaTheme="minorEastAsia"/>
          <w:color w:val="000000" w:themeColor="text1"/>
          <w:szCs w:val="21"/>
        </w:rPr>
        <w:t>2.3.1</w:t>
      </w:r>
      <w:r>
        <w:rPr>
          <w:rFonts w:hAnsiTheme="minorEastAsia" w:eastAsiaTheme="minorEastAsia"/>
          <w:color w:val="000000" w:themeColor="text1"/>
          <w:szCs w:val="21"/>
        </w:rPr>
        <w:t>符合第二章</w:t>
      </w:r>
      <w:r>
        <w:rPr>
          <w:rFonts w:hint="eastAsia" w:eastAsiaTheme="minorEastAsia"/>
          <w:color w:val="000000" w:themeColor="text1"/>
          <w:szCs w:val="21"/>
          <w:lang w:eastAsia="zh-CN"/>
        </w:rPr>
        <w:t>“</w:t>
      </w:r>
      <w:r>
        <w:rPr>
          <w:rFonts w:hAnsiTheme="minorEastAsia" w:eastAsiaTheme="minorEastAsia"/>
          <w:color w:val="000000" w:themeColor="text1"/>
          <w:szCs w:val="21"/>
        </w:rPr>
        <w:t>供应商须知前附表</w:t>
      </w:r>
      <w:r>
        <w:rPr>
          <w:rFonts w:hint="eastAsia" w:eastAsiaTheme="minorEastAsia"/>
          <w:color w:val="000000" w:themeColor="text1"/>
          <w:szCs w:val="21"/>
          <w:lang w:eastAsia="zh-CN"/>
        </w:rPr>
        <w:t>”</w:t>
      </w:r>
      <w:r>
        <w:rPr>
          <w:rFonts w:hAnsiTheme="minorEastAsia" w:eastAsiaTheme="minorEastAsia"/>
          <w:color w:val="000000" w:themeColor="text1"/>
          <w:szCs w:val="21"/>
        </w:rPr>
        <w:t>内关于</w:t>
      </w:r>
      <w:r>
        <w:rPr>
          <w:rFonts w:hint="eastAsia" w:eastAsiaTheme="minorEastAsia"/>
          <w:color w:val="000000" w:themeColor="text1"/>
          <w:szCs w:val="21"/>
          <w:lang w:eastAsia="zh-CN"/>
        </w:rPr>
        <w:t>“</w:t>
      </w:r>
      <w:r>
        <w:rPr>
          <w:rFonts w:hAnsiTheme="minorEastAsia" w:eastAsiaTheme="minorEastAsia"/>
          <w:color w:val="000000" w:themeColor="text1"/>
          <w:szCs w:val="21"/>
        </w:rPr>
        <w:t>采购范围</w:t>
      </w:r>
      <w:r>
        <w:rPr>
          <w:rFonts w:hint="eastAsia" w:eastAsiaTheme="minorEastAsia"/>
          <w:color w:val="000000" w:themeColor="text1"/>
          <w:szCs w:val="21"/>
          <w:lang w:eastAsia="zh-CN"/>
        </w:rPr>
        <w:t>”</w:t>
      </w:r>
      <w:r>
        <w:rPr>
          <w:rFonts w:hAnsiTheme="minorEastAsia" w:eastAsiaTheme="minorEastAsia"/>
          <w:color w:val="000000" w:themeColor="text1"/>
          <w:szCs w:val="21"/>
        </w:rPr>
        <w:t>、</w:t>
      </w:r>
      <w:r>
        <w:rPr>
          <w:rFonts w:hint="eastAsia" w:eastAsiaTheme="minorEastAsia"/>
          <w:color w:val="000000" w:themeColor="text1"/>
          <w:szCs w:val="21"/>
          <w:lang w:eastAsia="zh-CN"/>
        </w:rPr>
        <w:t>“</w:t>
      </w:r>
      <w:r>
        <w:rPr>
          <w:rFonts w:hAnsiTheme="minorEastAsia" w:eastAsiaTheme="minorEastAsia"/>
          <w:color w:val="000000" w:themeColor="text1"/>
          <w:szCs w:val="21"/>
        </w:rPr>
        <w:t>工期要求</w:t>
      </w:r>
      <w:r>
        <w:rPr>
          <w:rFonts w:hint="eastAsia" w:eastAsiaTheme="minorEastAsia"/>
          <w:color w:val="000000" w:themeColor="text1"/>
          <w:szCs w:val="21"/>
          <w:lang w:eastAsia="zh-CN"/>
        </w:rPr>
        <w:t>”</w:t>
      </w:r>
      <w:r>
        <w:rPr>
          <w:rFonts w:hAnsiTheme="minorEastAsia" w:eastAsiaTheme="minorEastAsia"/>
          <w:color w:val="000000" w:themeColor="text1"/>
          <w:szCs w:val="21"/>
        </w:rPr>
        <w:t>、</w:t>
      </w:r>
      <w:r>
        <w:rPr>
          <w:rFonts w:hint="eastAsia" w:eastAsiaTheme="minorEastAsia"/>
          <w:color w:val="000000" w:themeColor="text1"/>
          <w:szCs w:val="21"/>
          <w:lang w:eastAsia="zh-CN"/>
        </w:rPr>
        <w:t>“</w:t>
      </w:r>
      <w:r>
        <w:rPr>
          <w:rFonts w:hAnsiTheme="minorEastAsia" w:eastAsiaTheme="minorEastAsia"/>
          <w:color w:val="000000" w:themeColor="text1"/>
          <w:szCs w:val="21"/>
        </w:rPr>
        <w:t>质量要求</w:t>
      </w:r>
      <w:r>
        <w:rPr>
          <w:rFonts w:hint="eastAsia" w:eastAsiaTheme="minorEastAsia"/>
          <w:color w:val="000000" w:themeColor="text1"/>
          <w:szCs w:val="21"/>
          <w:lang w:eastAsia="zh-CN"/>
        </w:rPr>
        <w:t>”</w:t>
      </w:r>
      <w:r>
        <w:rPr>
          <w:rFonts w:hAnsiTheme="minorEastAsia" w:eastAsiaTheme="minorEastAsia"/>
          <w:color w:val="000000" w:themeColor="text1"/>
          <w:szCs w:val="21"/>
        </w:rPr>
        <w:t>的规定。</w:t>
      </w:r>
    </w:p>
    <w:p w14:paraId="40AF8AFE">
      <w:pPr>
        <w:spacing w:line="360" w:lineRule="exact"/>
        <w:ind w:firstLine="420"/>
        <w:jc w:val="left"/>
        <w:rPr>
          <w:rFonts w:hAnsiTheme="minorEastAsia" w:eastAsiaTheme="minorEastAsia"/>
          <w:color w:val="000000" w:themeColor="text1"/>
          <w:szCs w:val="21"/>
        </w:rPr>
      </w:pPr>
      <w:r>
        <w:rPr>
          <w:rFonts w:eastAsiaTheme="minorEastAsia"/>
          <w:color w:val="000000" w:themeColor="text1"/>
          <w:szCs w:val="21"/>
        </w:rPr>
        <w:t>2.3.2</w:t>
      </w:r>
      <w:r>
        <w:rPr>
          <w:rFonts w:hAnsiTheme="minorEastAsia" w:eastAsiaTheme="minorEastAsia"/>
          <w:color w:val="000000" w:themeColor="text1"/>
          <w:szCs w:val="21"/>
        </w:rPr>
        <w:t>其他要求：无本章第</w:t>
      </w:r>
      <w:r>
        <w:rPr>
          <w:rFonts w:hint="eastAsia" w:eastAsiaTheme="minorEastAsia"/>
          <w:color w:val="000000" w:themeColor="text1"/>
          <w:szCs w:val="21"/>
        </w:rPr>
        <w:t>3.2.4</w:t>
      </w:r>
      <w:r>
        <w:rPr>
          <w:rFonts w:hAnsiTheme="minorEastAsia" w:eastAsiaTheme="minorEastAsia"/>
          <w:color w:val="000000" w:themeColor="text1"/>
          <w:szCs w:val="21"/>
        </w:rPr>
        <w:t>条所列情形。</w:t>
      </w:r>
    </w:p>
    <w:p w14:paraId="04462982">
      <w:pPr>
        <w:pStyle w:val="2"/>
        <w:spacing w:before="0" w:after="0" w:line="360" w:lineRule="exact"/>
        <w:ind w:firstLine="422"/>
        <w:jc w:val="left"/>
        <w:rPr>
          <w:rFonts w:ascii="Times New Roman" w:hAnsi="Times New Roman" w:eastAsiaTheme="minorEastAsia"/>
          <w:color w:val="000000" w:themeColor="text1"/>
          <w:sz w:val="21"/>
          <w:szCs w:val="21"/>
        </w:rPr>
      </w:pPr>
      <w:bookmarkStart w:id="155" w:name="_Toc475027994"/>
      <w:bookmarkStart w:id="156" w:name="_Toc520410627"/>
      <w:bookmarkStart w:id="157" w:name="_Toc246996990"/>
      <w:bookmarkStart w:id="158" w:name="_Toc28154"/>
      <w:bookmarkStart w:id="159" w:name="_Toc247085762"/>
      <w:bookmarkStart w:id="160" w:name="_Toc152045604"/>
      <w:bookmarkStart w:id="161" w:name="_Toc246996247"/>
      <w:bookmarkStart w:id="162" w:name="_Toc354417669"/>
      <w:bookmarkStart w:id="163" w:name="_Toc179632622"/>
      <w:bookmarkStart w:id="164" w:name="_Toc152042381"/>
      <w:bookmarkStart w:id="165" w:name="_Toc144974571"/>
      <w:r>
        <w:rPr>
          <w:rFonts w:ascii="Times New Roman" w:hAnsiTheme="minorEastAsia" w:eastAsiaTheme="minorEastAsia"/>
          <w:color w:val="000000" w:themeColor="text1"/>
          <w:sz w:val="21"/>
          <w:szCs w:val="21"/>
        </w:rPr>
        <w:t>三、评审程序</w:t>
      </w:r>
      <w:bookmarkEnd w:id="155"/>
      <w:bookmarkEnd w:id="156"/>
      <w:bookmarkEnd w:id="157"/>
      <w:bookmarkEnd w:id="158"/>
      <w:bookmarkEnd w:id="159"/>
      <w:bookmarkEnd w:id="160"/>
      <w:bookmarkEnd w:id="161"/>
      <w:bookmarkEnd w:id="162"/>
      <w:bookmarkEnd w:id="163"/>
      <w:bookmarkEnd w:id="164"/>
      <w:bookmarkEnd w:id="165"/>
    </w:p>
    <w:p w14:paraId="7C63CA8A">
      <w:pPr>
        <w:spacing w:line="360" w:lineRule="exact"/>
        <w:ind w:firstLine="422"/>
        <w:jc w:val="left"/>
        <w:rPr>
          <w:rFonts w:eastAsiaTheme="minorEastAsia"/>
          <w:b/>
          <w:color w:val="000000" w:themeColor="text1"/>
          <w:szCs w:val="21"/>
        </w:rPr>
      </w:pPr>
      <w:bookmarkStart w:id="166" w:name="_Toc354417670"/>
      <w:bookmarkStart w:id="167" w:name="_Toc343525569"/>
      <w:bookmarkStart w:id="168" w:name="_Toc520410628"/>
      <w:bookmarkStart w:id="169" w:name="_Toc475027995"/>
      <w:r>
        <w:rPr>
          <w:rFonts w:eastAsiaTheme="minorEastAsia"/>
          <w:b/>
          <w:color w:val="000000" w:themeColor="text1"/>
          <w:szCs w:val="21"/>
        </w:rPr>
        <w:t>3.1</w:t>
      </w:r>
      <w:r>
        <w:rPr>
          <w:rFonts w:hAnsiTheme="minorEastAsia" w:eastAsiaTheme="minorEastAsia"/>
          <w:b/>
          <w:color w:val="000000" w:themeColor="text1"/>
          <w:szCs w:val="21"/>
        </w:rPr>
        <w:t>评审准备</w:t>
      </w:r>
      <w:bookmarkEnd w:id="166"/>
      <w:bookmarkEnd w:id="167"/>
      <w:bookmarkEnd w:id="168"/>
      <w:bookmarkEnd w:id="169"/>
    </w:p>
    <w:p w14:paraId="660E0A88">
      <w:pPr>
        <w:spacing w:line="360" w:lineRule="exact"/>
        <w:ind w:firstLine="420"/>
        <w:jc w:val="left"/>
        <w:rPr>
          <w:rFonts w:eastAsiaTheme="minorEastAsia"/>
          <w:color w:val="000000" w:themeColor="text1"/>
          <w:szCs w:val="21"/>
        </w:rPr>
      </w:pPr>
      <w:r>
        <w:rPr>
          <w:rFonts w:eastAsiaTheme="minorEastAsia"/>
          <w:color w:val="000000" w:themeColor="text1"/>
          <w:szCs w:val="21"/>
        </w:rPr>
        <w:t>3.1.1</w:t>
      </w:r>
      <w:r>
        <w:rPr>
          <w:rFonts w:hAnsiTheme="minorEastAsia" w:eastAsiaTheme="minorEastAsia"/>
          <w:color w:val="000000" w:themeColor="text1"/>
          <w:szCs w:val="21"/>
        </w:rPr>
        <w:t>谈判评审小组的组成及分工：谈判评审小组由徐圩新区评审专家库中随机抽取的评审专家组成。</w:t>
      </w:r>
    </w:p>
    <w:p w14:paraId="4A76DDAB">
      <w:pPr>
        <w:spacing w:line="360" w:lineRule="exact"/>
        <w:ind w:firstLine="420"/>
        <w:jc w:val="left"/>
        <w:rPr>
          <w:rFonts w:eastAsiaTheme="minorEastAsia"/>
          <w:color w:val="000000" w:themeColor="text1"/>
          <w:szCs w:val="21"/>
        </w:rPr>
      </w:pPr>
      <w:r>
        <w:rPr>
          <w:rFonts w:eastAsiaTheme="minorEastAsia"/>
          <w:color w:val="000000" w:themeColor="text1"/>
          <w:szCs w:val="21"/>
        </w:rPr>
        <w:t>3.1.2</w:t>
      </w:r>
      <w:r>
        <w:rPr>
          <w:rFonts w:hAnsiTheme="minorEastAsia" w:eastAsiaTheme="minorEastAsia"/>
          <w:color w:val="000000" w:themeColor="text1"/>
          <w:kern w:val="0"/>
          <w:szCs w:val="21"/>
        </w:rPr>
        <w:t>谈判评审小组成员首先推选一名谈判评审小组负责人，负责评审活动的组织领导工作</w:t>
      </w:r>
      <w:r>
        <w:rPr>
          <w:rFonts w:hAnsiTheme="minorEastAsia" w:eastAsiaTheme="minorEastAsia"/>
          <w:color w:val="000000" w:themeColor="text1"/>
          <w:szCs w:val="21"/>
        </w:rPr>
        <w:t>，具有与谈判评审小组其他成员同等的表决权。</w:t>
      </w:r>
    </w:p>
    <w:p w14:paraId="6A38532D">
      <w:pPr>
        <w:spacing w:line="360" w:lineRule="exact"/>
        <w:ind w:firstLine="420"/>
        <w:jc w:val="left"/>
        <w:rPr>
          <w:rFonts w:eastAsiaTheme="minorEastAsia"/>
          <w:b/>
          <w:color w:val="000000" w:themeColor="text1"/>
          <w:szCs w:val="21"/>
        </w:rPr>
      </w:pPr>
      <w:r>
        <w:rPr>
          <w:rFonts w:eastAsiaTheme="minorEastAsia"/>
          <w:color w:val="000000" w:themeColor="text1"/>
          <w:szCs w:val="21"/>
        </w:rPr>
        <w:t>3.1.3</w:t>
      </w:r>
      <w:r>
        <w:rPr>
          <w:rFonts w:hAnsiTheme="minorEastAsia" w:eastAsiaTheme="minorEastAsia"/>
          <w:color w:val="000000" w:themeColor="text1"/>
          <w:szCs w:val="21"/>
        </w:rPr>
        <w:t>采购人或代理机构应向谈判评审小组提供评审所需的信息和数据。谈判评审小组负责人应组织谈判评审小组成员认真研究谈判文件，未在谈判文件中规定的标准和方法不得作为评审的依据。</w:t>
      </w:r>
      <w:bookmarkStart w:id="170" w:name="_Toc475027997"/>
      <w:bookmarkStart w:id="171" w:name="_Toc343525571"/>
      <w:bookmarkStart w:id="172" w:name="_Toc520410630"/>
      <w:bookmarkStart w:id="173" w:name="_Toc354417672"/>
    </w:p>
    <w:p w14:paraId="0DE586B3">
      <w:pPr>
        <w:spacing w:line="360" w:lineRule="exact"/>
        <w:ind w:firstLine="422"/>
        <w:jc w:val="left"/>
        <w:rPr>
          <w:rFonts w:eastAsiaTheme="minorEastAsia"/>
          <w:b/>
          <w:color w:val="000000" w:themeColor="text1"/>
          <w:szCs w:val="21"/>
        </w:rPr>
      </w:pPr>
      <w:r>
        <w:rPr>
          <w:rFonts w:eastAsiaTheme="minorEastAsia"/>
          <w:b/>
          <w:color w:val="000000" w:themeColor="text1"/>
          <w:szCs w:val="21"/>
        </w:rPr>
        <w:t>3.2</w:t>
      </w:r>
      <w:r>
        <w:rPr>
          <w:rFonts w:hAnsiTheme="minorEastAsia" w:eastAsiaTheme="minorEastAsia"/>
          <w:b/>
          <w:color w:val="000000" w:themeColor="text1"/>
          <w:szCs w:val="21"/>
        </w:rPr>
        <w:t>初步评审</w:t>
      </w:r>
      <w:bookmarkEnd w:id="170"/>
      <w:bookmarkEnd w:id="171"/>
      <w:bookmarkEnd w:id="172"/>
      <w:bookmarkEnd w:id="173"/>
    </w:p>
    <w:p w14:paraId="0158FC8E">
      <w:pPr>
        <w:spacing w:line="360" w:lineRule="exact"/>
        <w:ind w:firstLine="420"/>
        <w:jc w:val="left"/>
        <w:rPr>
          <w:rFonts w:eastAsiaTheme="minorEastAsia"/>
          <w:color w:val="000000" w:themeColor="text1"/>
          <w:szCs w:val="21"/>
        </w:rPr>
      </w:pPr>
      <w:r>
        <w:rPr>
          <w:rFonts w:eastAsiaTheme="minorEastAsia"/>
          <w:color w:val="000000" w:themeColor="text1"/>
          <w:szCs w:val="21"/>
        </w:rPr>
        <w:t>3.2.1</w:t>
      </w:r>
      <w:r>
        <w:rPr>
          <w:rFonts w:hAnsiTheme="minorEastAsia" w:eastAsiaTheme="minorEastAsia"/>
          <w:color w:val="000000" w:themeColor="text1"/>
          <w:szCs w:val="21"/>
        </w:rPr>
        <w:t>形式性评审</w:t>
      </w:r>
    </w:p>
    <w:p w14:paraId="23DD473F">
      <w:pPr>
        <w:spacing w:line="360" w:lineRule="exact"/>
        <w:ind w:firstLine="420"/>
        <w:jc w:val="left"/>
        <w:rPr>
          <w:rFonts w:eastAsiaTheme="minorEastAsia"/>
          <w:color w:val="000000" w:themeColor="text1"/>
          <w:szCs w:val="21"/>
        </w:rPr>
      </w:pPr>
      <w:r>
        <w:rPr>
          <w:rFonts w:hAnsiTheme="minorEastAsia" w:eastAsiaTheme="minorEastAsia"/>
          <w:color w:val="000000" w:themeColor="text1"/>
          <w:szCs w:val="21"/>
        </w:rPr>
        <w:t>谈判评审小组根据本章第</w:t>
      </w:r>
      <w:r>
        <w:rPr>
          <w:rFonts w:eastAsiaTheme="minorEastAsia"/>
          <w:color w:val="000000" w:themeColor="text1"/>
          <w:szCs w:val="21"/>
        </w:rPr>
        <w:t>2.1.</w:t>
      </w:r>
      <w:r>
        <w:rPr>
          <w:rFonts w:hAnsiTheme="minorEastAsia" w:eastAsiaTheme="minorEastAsia"/>
          <w:color w:val="000000" w:themeColor="text1"/>
          <w:szCs w:val="21"/>
        </w:rPr>
        <w:t>款列出的评审标准，有一项不符合评审标准的，作无效响应文件处理。</w:t>
      </w:r>
    </w:p>
    <w:p w14:paraId="1C70DA5F">
      <w:pPr>
        <w:spacing w:line="360" w:lineRule="exact"/>
        <w:ind w:firstLine="420"/>
        <w:jc w:val="left"/>
        <w:rPr>
          <w:rFonts w:eastAsiaTheme="minorEastAsia"/>
          <w:color w:val="000000" w:themeColor="text1"/>
          <w:szCs w:val="21"/>
        </w:rPr>
      </w:pPr>
      <w:r>
        <w:rPr>
          <w:rFonts w:eastAsiaTheme="minorEastAsia"/>
          <w:color w:val="000000" w:themeColor="text1"/>
          <w:szCs w:val="21"/>
        </w:rPr>
        <w:t>3.2.2</w:t>
      </w:r>
      <w:r>
        <w:rPr>
          <w:rFonts w:hAnsiTheme="minorEastAsia" w:eastAsiaTheme="minorEastAsia"/>
          <w:color w:val="000000" w:themeColor="text1"/>
          <w:szCs w:val="21"/>
        </w:rPr>
        <w:t>资格评审</w:t>
      </w:r>
    </w:p>
    <w:p w14:paraId="2E49B3F9">
      <w:pPr>
        <w:spacing w:line="360" w:lineRule="exact"/>
        <w:ind w:firstLine="420"/>
        <w:jc w:val="left"/>
        <w:rPr>
          <w:rFonts w:eastAsiaTheme="minorEastAsia"/>
          <w:color w:val="000000" w:themeColor="text1"/>
          <w:szCs w:val="21"/>
        </w:rPr>
      </w:pPr>
      <w:r>
        <w:rPr>
          <w:rFonts w:hAnsiTheme="minorEastAsia" w:eastAsiaTheme="minorEastAsia"/>
          <w:color w:val="000000" w:themeColor="text1"/>
          <w:szCs w:val="21"/>
        </w:rPr>
        <w:t>谈判评审小组根据本章第</w:t>
      </w:r>
      <w:r>
        <w:rPr>
          <w:rFonts w:eastAsiaTheme="minorEastAsia"/>
          <w:color w:val="000000" w:themeColor="text1"/>
          <w:szCs w:val="21"/>
        </w:rPr>
        <w:t>2.2</w:t>
      </w:r>
      <w:r>
        <w:rPr>
          <w:rFonts w:hAnsiTheme="minorEastAsia" w:eastAsiaTheme="minorEastAsia"/>
          <w:color w:val="000000" w:themeColor="text1"/>
          <w:szCs w:val="21"/>
        </w:rPr>
        <w:t>款列出的评审标准，有一项不符合评审标准的，作无效响应文件处理。</w:t>
      </w:r>
    </w:p>
    <w:p w14:paraId="04852B4C">
      <w:pPr>
        <w:spacing w:line="360" w:lineRule="exact"/>
        <w:ind w:firstLine="420"/>
        <w:jc w:val="left"/>
        <w:rPr>
          <w:rFonts w:eastAsiaTheme="minorEastAsia"/>
          <w:color w:val="000000" w:themeColor="text1"/>
          <w:szCs w:val="21"/>
        </w:rPr>
      </w:pPr>
      <w:r>
        <w:rPr>
          <w:rFonts w:eastAsiaTheme="minorEastAsia"/>
          <w:color w:val="000000" w:themeColor="text1"/>
          <w:szCs w:val="21"/>
        </w:rPr>
        <w:t>3.2.3</w:t>
      </w:r>
      <w:r>
        <w:rPr>
          <w:rFonts w:hAnsiTheme="minorEastAsia" w:eastAsiaTheme="minorEastAsia"/>
          <w:color w:val="000000" w:themeColor="text1"/>
          <w:szCs w:val="21"/>
        </w:rPr>
        <w:t>响应性评审</w:t>
      </w:r>
    </w:p>
    <w:p w14:paraId="0E80F710">
      <w:pPr>
        <w:spacing w:line="360" w:lineRule="exact"/>
        <w:ind w:firstLine="420"/>
        <w:jc w:val="left"/>
        <w:rPr>
          <w:rFonts w:eastAsiaTheme="minorEastAsia"/>
          <w:color w:val="000000" w:themeColor="text1"/>
          <w:szCs w:val="21"/>
        </w:rPr>
      </w:pPr>
      <w:r>
        <w:rPr>
          <w:rFonts w:hAnsiTheme="minorEastAsia" w:eastAsiaTheme="minorEastAsia"/>
          <w:color w:val="000000" w:themeColor="text1"/>
          <w:szCs w:val="21"/>
        </w:rPr>
        <w:t>谈判评审小组根据本章第</w:t>
      </w:r>
      <w:r>
        <w:rPr>
          <w:rFonts w:eastAsiaTheme="minorEastAsia"/>
          <w:color w:val="000000" w:themeColor="text1"/>
          <w:szCs w:val="21"/>
        </w:rPr>
        <w:t>2.3</w:t>
      </w:r>
      <w:r>
        <w:rPr>
          <w:rFonts w:hAnsiTheme="minorEastAsia" w:eastAsiaTheme="minorEastAsia"/>
          <w:color w:val="000000" w:themeColor="text1"/>
          <w:szCs w:val="21"/>
        </w:rPr>
        <w:t>款列出的评审标准，有一项不符合评审标准的，作无效响应文件处理。</w:t>
      </w:r>
    </w:p>
    <w:p w14:paraId="7CFD630B">
      <w:pPr>
        <w:spacing w:line="360" w:lineRule="exact"/>
        <w:ind w:firstLine="420"/>
        <w:jc w:val="left"/>
        <w:rPr>
          <w:rFonts w:eastAsiaTheme="minorEastAsia"/>
          <w:color w:val="000000" w:themeColor="text1"/>
          <w:szCs w:val="21"/>
        </w:rPr>
      </w:pPr>
      <w:r>
        <w:rPr>
          <w:rFonts w:eastAsiaTheme="minorEastAsia"/>
          <w:color w:val="000000" w:themeColor="text1"/>
          <w:szCs w:val="21"/>
        </w:rPr>
        <w:t>3.2.4</w:t>
      </w:r>
      <w:r>
        <w:rPr>
          <w:rFonts w:hAnsiTheme="minorEastAsia" w:eastAsiaTheme="minorEastAsia"/>
          <w:color w:val="000000" w:themeColor="text1"/>
          <w:szCs w:val="21"/>
        </w:rPr>
        <w:t>供应商有以下情形之一的</w:t>
      </w:r>
      <w:r>
        <w:rPr>
          <w:rFonts w:hint="eastAsia"/>
          <w:szCs w:val="21"/>
          <w:highlight w:val="none"/>
          <w:lang w:eastAsia="zh-CN"/>
        </w:rPr>
        <w:t>，为重大偏差</w:t>
      </w:r>
      <w:r>
        <w:rPr>
          <w:rFonts w:hAnsiTheme="minorEastAsia" w:eastAsiaTheme="minorEastAsia"/>
          <w:color w:val="000000" w:themeColor="text1"/>
          <w:szCs w:val="21"/>
          <w:highlight w:val="none"/>
        </w:rPr>
        <w:t>，其</w:t>
      </w:r>
      <w:r>
        <w:rPr>
          <w:rFonts w:hAnsiTheme="minorEastAsia" w:eastAsiaTheme="minorEastAsia"/>
          <w:color w:val="000000" w:themeColor="text1"/>
          <w:szCs w:val="21"/>
        </w:rPr>
        <w:t>响应文件无效：</w:t>
      </w:r>
    </w:p>
    <w:p w14:paraId="11E86FD5">
      <w:pPr>
        <w:spacing w:line="360" w:lineRule="exact"/>
        <w:ind w:firstLine="420"/>
        <w:jc w:val="left"/>
        <w:rPr>
          <w:rFonts w:eastAsiaTheme="minorEastAsia"/>
          <w:color w:val="000000" w:themeColor="text1"/>
          <w:szCs w:val="21"/>
        </w:rPr>
      </w:pPr>
      <w:r>
        <w:rPr>
          <w:rFonts w:hAnsiTheme="minorEastAsia" w:eastAsiaTheme="minorEastAsia"/>
          <w:color w:val="000000" w:themeColor="text1"/>
          <w:szCs w:val="21"/>
        </w:rPr>
        <w:t>（</w:t>
      </w:r>
      <w:r>
        <w:rPr>
          <w:rFonts w:eastAsiaTheme="minorEastAsia"/>
          <w:color w:val="000000" w:themeColor="text1"/>
          <w:szCs w:val="21"/>
        </w:rPr>
        <w:t>1</w:t>
      </w:r>
      <w:r>
        <w:rPr>
          <w:rFonts w:hAnsiTheme="minorEastAsia" w:eastAsiaTheme="minorEastAsia"/>
          <w:color w:val="000000" w:themeColor="text1"/>
          <w:szCs w:val="21"/>
        </w:rPr>
        <w:t>）响应文件中的响应函未加盖供应商的公章；</w:t>
      </w:r>
    </w:p>
    <w:p w14:paraId="2E8F7E0A">
      <w:pPr>
        <w:spacing w:line="360" w:lineRule="exact"/>
        <w:ind w:firstLine="420"/>
        <w:jc w:val="left"/>
        <w:rPr>
          <w:rFonts w:eastAsiaTheme="minorEastAsia"/>
          <w:color w:val="000000" w:themeColor="text1"/>
          <w:szCs w:val="21"/>
        </w:rPr>
      </w:pPr>
      <w:r>
        <w:rPr>
          <w:rFonts w:hAnsiTheme="minorEastAsia" w:eastAsiaTheme="minorEastAsia"/>
          <w:color w:val="000000" w:themeColor="text1"/>
          <w:szCs w:val="21"/>
        </w:rPr>
        <w:t>（</w:t>
      </w:r>
      <w:r>
        <w:rPr>
          <w:rFonts w:eastAsiaTheme="minorEastAsia"/>
          <w:color w:val="000000" w:themeColor="text1"/>
          <w:szCs w:val="21"/>
        </w:rPr>
        <w:t>2</w:t>
      </w:r>
      <w:r>
        <w:rPr>
          <w:rFonts w:hAnsiTheme="minorEastAsia" w:eastAsiaTheme="minorEastAsia"/>
          <w:color w:val="000000" w:themeColor="text1"/>
          <w:szCs w:val="21"/>
        </w:rPr>
        <w:t>）响应文件中的响应函无企业法定代表人（或企业法定代表人委托代理人）印章（或签字）的；</w:t>
      </w:r>
    </w:p>
    <w:p w14:paraId="123FC6DF">
      <w:pPr>
        <w:spacing w:line="360" w:lineRule="exact"/>
        <w:ind w:firstLine="420"/>
        <w:jc w:val="left"/>
        <w:rPr>
          <w:rFonts w:eastAsiaTheme="minorEastAsia"/>
          <w:color w:val="000000" w:themeColor="text1"/>
          <w:szCs w:val="21"/>
        </w:rPr>
      </w:pPr>
      <w:r>
        <w:rPr>
          <w:rFonts w:hAnsiTheme="minorEastAsia" w:eastAsiaTheme="minorEastAsia"/>
          <w:color w:val="000000" w:themeColor="text1"/>
          <w:szCs w:val="21"/>
        </w:rPr>
        <w:t>（</w:t>
      </w:r>
      <w:r>
        <w:rPr>
          <w:rFonts w:eastAsiaTheme="minorEastAsia"/>
          <w:color w:val="000000" w:themeColor="text1"/>
          <w:szCs w:val="21"/>
        </w:rPr>
        <w:t>3</w:t>
      </w:r>
      <w:r>
        <w:rPr>
          <w:rFonts w:hAnsiTheme="minorEastAsia" w:eastAsiaTheme="minorEastAsia"/>
          <w:color w:val="000000" w:themeColor="text1"/>
          <w:szCs w:val="21"/>
        </w:rPr>
        <w:t>）如响应函由企业法定代表人委托代理人加盖印章（或签字），企业法定代表人委托代理人没有合法、有效的委托书（原件）的；</w:t>
      </w:r>
    </w:p>
    <w:p w14:paraId="26F57FB0">
      <w:pPr>
        <w:spacing w:line="360" w:lineRule="exact"/>
        <w:ind w:firstLine="420"/>
        <w:jc w:val="left"/>
        <w:rPr>
          <w:rFonts w:eastAsiaTheme="minorEastAsia"/>
          <w:color w:val="000000" w:themeColor="text1"/>
          <w:szCs w:val="21"/>
        </w:rPr>
      </w:pPr>
      <w:r>
        <w:rPr>
          <w:rFonts w:hAnsiTheme="minorEastAsia" w:eastAsiaTheme="minorEastAsia"/>
          <w:color w:val="000000" w:themeColor="text1"/>
          <w:szCs w:val="21"/>
        </w:rPr>
        <w:t>（</w:t>
      </w:r>
      <w:r>
        <w:rPr>
          <w:rFonts w:eastAsiaTheme="minorEastAsia"/>
          <w:color w:val="000000" w:themeColor="text1"/>
          <w:szCs w:val="21"/>
        </w:rPr>
        <w:t>4</w:t>
      </w:r>
      <w:r>
        <w:rPr>
          <w:rFonts w:hAnsiTheme="minorEastAsia" w:eastAsiaTheme="minorEastAsia"/>
          <w:color w:val="000000" w:themeColor="text1"/>
          <w:szCs w:val="21"/>
        </w:rPr>
        <w:t>）供应商资格条件不符合国家有关规定或</w:t>
      </w:r>
      <w:r>
        <w:rPr>
          <w:rFonts w:hint="eastAsia" w:hAnsiTheme="minorEastAsia" w:eastAsiaTheme="minorEastAsia"/>
          <w:color w:val="000000" w:themeColor="text1"/>
          <w:szCs w:val="21"/>
        </w:rPr>
        <w:t>谈判</w:t>
      </w:r>
      <w:r>
        <w:rPr>
          <w:rFonts w:hAnsiTheme="minorEastAsia" w:eastAsiaTheme="minorEastAsia"/>
          <w:color w:val="000000" w:themeColor="text1"/>
          <w:szCs w:val="21"/>
        </w:rPr>
        <w:t>文件</w:t>
      </w:r>
      <w:r>
        <w:rPr>
          <w:rFonts w:hint="eastAsia" w:hAnsiTheme="minorEastAsia" w:eastAsiaTheme="minorEastAsia"/>
          <w:color w:val="000000" w:themeColor="text1"/>
          <w:szCs w:val="21"/>
        </w:rPr>
        <w:t>资格</w:t>
      </w:r>
      <w:r>
        <w:rPr>
          <w:rFonts w:hAnsiTheme="minorEastAsia" w:eastAsiaTheme="minorEastAsia"/>
          <w:color w:val="000000" w:themeColor="text1"/>
          <w:szCs w:val="21"/>
        </w:rPr>
        <w:t>要求的；</w:t>
      </w:r>
    </w:p>
    <w:p w14:paraId="6F15DB35">
      <w:pPr>
        <w:spacing w:line="360" w:lineRule="exact"/>
        <w:ind w:firstLine="420"/>
        <w:jc w:val="left"/>
        <w:rPr>
          <w:rFonts w:eastAsiaTheme="minorEastAsia"/>
          <w:color w:val="000000" w:themeColor="text1"/>
          <w:szCs w:val="21"/>
        </w:rPr>
      </w:pPr>
      <w:r>
        <w:rPr>
          <w:rFonts w:hAnsiTheme="minorEastAsia" w:eastAsiaTheme="minorEastAsia"/>
          <w:color w:val="000000" w:themeColor="text1"/>
          <w:szCs w:val="21"/>
        </w:rPr>
        <w:t>（</w:t>
      </w:r>
      <w:r>
        <w:rPr>
          <w:rFonts w:eastAsiaTheme="minorEastAsia"/>
          <w:color w:val="000000" w:themeColor="text1"/>
          <w:szCs w:val="21"/>
        </w:rPr>
        <w:t>5</w:t>
      </w:r>
      <w:r>
        <w:rPr>
          <w:rFonts w:hAnsiTheme="minorEastAsia" w:eastAsiaTheme="minorEastAsia"/>
          <w:color w:val="000000" w:themeColor="text1"/>
          <w:szCs w:val="21"/>
        </w:rPr>
        <w:t>）响应文件递交时供应商代表与响应文件中授权委托代表不是同一人的；</w:t>
      </w:r>
    </w:p>
    <w:p w14:paraId="3AEB4E37">
      <w:pPr>
        <w:spacing w:line="360" w:lineRule="exact"/>
        <w:ind w:firstLine="420"/>
        <w:jc w:val="left"/>
        <w:rPr>
          <w:rFonts w:hAnsiTheme="minorEastAsia" w:eastAsiaTheme="minorEastAsia"/>
          <w:color w:val="000000" w:themeColor="text1"/>
          <w:szCs w:val="21"/>
          <w:highlight w:val="none"/>
        </w:rPr>
      </w:pPr>
      <w:r>
        <w:rPr>
          <w:rFonts w:hint="eastAsia" w:hAnsiTheme="minorEastAsia" w:eastAsiaTheme="minorEastAsia"/>
          <w:color w:val="000000" w:themeColor="text1"/>
          <w:szCs w:val="21"/>
          <w:highlight w:val="none"/>
        </w:rPr>
        <w:t>（6）组成联合体参与谈判未提供联合体各方共同合作协议的；</w:t>
      </w:r>
    </w:p>
    <w:p w14:paraId="720D09DA">
      <w:pPr>
        <w:spacing w:line="360" w:lineRule="exact"/>
        <w:ind w:firstLine="420"/>
        <w:jc w:val="left"/>
        <w:rPr>
          <w:rFonts w:hAnsiTheme="minorEastAsia" w:eastAsiaTheme="minorEastAsia"/>
          <w:color w:val="000000" w:themeColor="text1"/>
          <w:szCs w:val="21"/>
          <w:highlight w:val="none"/>
        </w:rPr>
      </w:pPr>
      <w:r>
        <w:rPr>
          <w:rFonts w:hint="eastAsia" w:hAnsiTheme="minorEastAsia" w:eastAsiaTheme="minorEastAsia"/>
          <w:color w:val="000000" w:themeColor="text1"/>
          <w:szCs w:val="21"/>
          <w:highlight w:val="none"/>
        </w:rPr>
        <w:t>（7）在同一采购项目中，联合体成员以自己名义单独参加谈判或者参加其他联合体谈判的；</w:t>
      </w:r>
    </w:p>
    <w:p w14:paraId="4DEA7F2C">
      <w:pPr>
        <w:spacing w:line="360" w:lineRule="exact"/>
        <w:ind w:firstLine="420"/>
        <w:jc w:val="left"/>
        <w:rPr>
          <w:rFonts w:hAnsiTheme="minorEastAsia" w:eastAsiaTheme="minorEastAsia"/>
          <w:color w:val="000000" w:themeColor="text1"/>
          <w:szCs w:val="21"/>
          <w:highlight w:val="none"/>
        </w:rPr>
      </w:pPr>
      <w:r>
        <w:rPr>
          <w:rFonts w:hint="eastAsia" w:hAnsiTheme="minorEastAsia" w:eastAsiaTheme="minorEastAsia"/>
          <w:color w:val="000000" w:themeColor="text1"/>
          <w:szCs w:val="21"/>
          <w:highlight w:val="none"/>
        </w:rPr>
        <w:t>（8）报价低于工程成本或者高于采购文件设定的采购控制价；</w:t>
      </w:r>
    </w:p>
    <w:p w14:paraId="407F92CB">
      <w:pPr>
        <w:spacing w:line="360" w:lineRule="exact"/>
        <w:ind w:firstLine="420"/>
        <w:jc w:val="left"/>
        <w:rPr>
          <w:rFonts w:hAnsiTheme="minorEastAsia" w:eastAsiaTheme="minorEastAsia"/>
          <w:color w:val="000000" w:themeColor="text1"/>
          <w:szCs w:val="21"/>
          <w:highlight w:val="none"/>
        </w:rPr>
      </w:pPr>
      <w:r>
        <w:rPr>
          <w:rFonts w:hint="eastAsia" w:hAnsiTheme="minorEastAsia" w:eastAsiaTheme="minorEastAsia"/>
          <w:color w:val="000000" w:themeColor="text1"/>
          <w:szCs w:val="21"/>
          <w:highlight w:val="none"/>
        </w:rPr>
        <w:t>（9）同一供应商提交两个及以上不同的响应文件或者报价，但采购文件要求提交备选响应文件的除外；</w:t>
      </w:r>
    </w:p>
    <w:p w14:paraId="4F89BAEE">
      <w:pPr>
        <w:spacing w:line="360" w:lineRule="exact"/>
        <w:ind w:firstLine="420"/>
        <w:jc w:val="left"/>
        <w:rPr>
          <w:rFonts w:hAnsiTheme="minorEastAsia" w:eastAsiaTheme="minorEastAsia"/>
          <w:color w:val="000000" w:themeColor="text1"/>
          <w:szCs w:val="21"/>
        </w:rPr>
      </w:pPr>
      <w:r>
        <w:rPr>
          <w:rFonts w:hint="eastAsia" w:hAnsiTheme="minorEastAsia" w:eastAsiaTheme="minorEastAsia"/>
          <w:color w:val="000000" w:themeColor="text1"/>
          <w:szCs w:val="21"/>
        </w:rPr>
        <w:t>（10）响应文件中已标价工程量清单与谈判文件规定的暂估价、暂列金额及甲供材料价格不一致的；</w:t>
      </w:r>
    </w:p>
    <w:p w14:paraId="086EC44B">
      <w:pPr>
        <w:spacing w:line="360" w:lineRule="exact"/>
        <w:ind w:firstLine="420"/>
        <w:jc w:val="left"/>
        <w:rPr>
          <w:rFonts w:hAnsiTheme="minorEastAsia" w:eastAsiaTheme="minorEastAsia"/>
          <w:color w:val="000000" w:themeColor="text1"/>
          <w:szCs w:val="21"/>
        </w:rPr>
      </w:pPr>
      <w:r>
        <w:rPr>
          <w:rFonts w:hint="eastAsia" w:hAnsiTheme="minorEastAsia" w:eastAsiaTheme="minorEastAsia"/>
          <w:color w:val="000000" w:themeColor="text1"/>
          <w:szCs w:val="21"/>
        </w:rPr>
        <w:t>（11）响应文件中已标价工程量清单与谈判文件明确列出的不可竞争费用项目或费率或计算基础不一致的；</w:t>
      </w:r>
    </w:p>
    <w:p w14:paraId="2190502E">
      <w:pPr>
        <w:spacing w:line="360" w:lineRule="exact"/>
        <w:ind w:firstLine="420"/>
        <w:jc w:val="left"/>
        <w:rPr>
          <w:rFonts w:hAnsiTheme="minorEastAsia" w:eastAsiaTheme="minorEastAsia"/>
          <w:color w:val="000000" w:themeColor="text1"/>
          <w:szCs w:val="21"/>
        </w:rPr>
      </w:pPr>
      <w:r>
        <w:rPr>
          <w:rFonts w:hint="eastAsia" w:hAnsiTheme="minorEastAsia" w:eastAsiaTheme="minorEastAsia"/>
          <w:color w:val="000000" w:themeColor="text1"/>
          <w:szCs w:val="21"/>
        </w:rPr>
        <w:t>（12）响应文件的已标价工程量清单与谈判文件提供的工程量清单中的项目编码、项目名称、项目特征、计量单位、工程量不一致的；</w:t>
      </w:r>
    </w:p>
    <w:p w14:paraId="0A7950BD">
      <w:pPr>
        <w:spacing w:line="360" w:lineRule="exact"/>
        <w:ind w:firstLine="420"/>
        <w:jc w:val="left"/>
        <w:rPr>
          <w:rFonts w:hAnsiTheme="minorEastAsia" w:eastAsiaTheme="minorEastAsia"/>
          <w:color w:val="000000" w:themeColor="text1"/>
          <w:szCs w:val="21"/>
        </w:rPr>
      </w:pPr>
      <w:r>
        <w:rPr>
          <w:rFonts w:hint="eastAsia" w:hAnsiTheme="minorEastAsia" w:eastAsiaTheme="minorEastAsia"/>
          <w:color w:val="000000" w:themeColor="text1"/>
          <w:szCs w:val="21"/>
        </w:rPr>
        <w:t>（13）未按谈判文件要求提供谈判保证金的；</w:t>
      </w:r>
    </w:p>
    <w:p w14:paraId="443BCE65">
      <w:pPr>
        <w:spacing w:line="360" w:lineRule="exact"/>
        <w:ind w:firstLine="420"/>
        <w:jc w:val="left"/>
        <w:rPr>
          <w:rFonts w:hAnsiTheme="minorEastAsia" w:eastAsiaTheme="minorEastAsia"/>
          <w:color w:val="000000" w:themeColor="text1"/>
          <w:szCs w:val="21"/>
        </w:rPr>
      </w:pPr>
      <w:r>
        <w:rPr>
          <w:rFonts w:hint="eastAsia" w:hAnsiTheme="minorEastAsia" w:eastAsiaTheme="minorEastAsia"/>
          <w:color w:val="000000" w:themeColor="text1"/>
          <w:szCs w:val="21"/>
        </w:rPr>
        <w:t>（14）响应文件载明的采购项目完成期限超过谈判文件规定的期限的；</w:t>
      </w:r>
    </w:p>
    <w:p w14:paraId="1A61D243">
      <w:pPr>
        <w:spacing w:line="360" w:lineRule="exact"/>
        <w:ind w:firstLine="420"/>
        <w:jc w:val="left"/>
        <w:rPr>
          <w:rFonts w:hAnsiTheme="minorEastAsia" w:eastAsiaTheme="minorEastAsia"/>
          <w:color w:val="000000" w:themeColor="text1"/>
          <w:szCs w:val="21"/>
        </w:rPr>
      </w:pPr>
      <w:r>
        <w:rPr>
          <w:rFonts w:hint="eastAsia" w:hAnsiTheme="minorEastAsia" w:eastAsiaTheme="minorEastAsia"/>
          <w:color w:val="000000" w:themeColor="text1"/>
          <w:szCs w:val="21"/>
        </w:rPr>
        <w:t>（15）明显不符合技术规范、技术标准的要求或未响应谈判文件推荐材料设备品牌的；</w:t>
      </w:r>
    </w:p>
    <w:p w14:paraId="2D8C4335">
      <w:pPr>
        <w:spacing w:line="360" w:lineRule="exact"/>
        <w:ind w:firstLine="420"/>
        <w:jc w:val="left"/>
        <w:rPr>
          <w:rFonts w:hAnsiTheme="minorEastAsia" w:eastAsiaTheme="minorEastAsia"/>
          <w:color w:val="000000" w:themeColor="text1"/>
          <w:szCs w:val="21"/>
        </w:rPr>
      </w:pPr>
      <w:r>
        <w:rPr>
          <w:rFonts w:hint="eastAsia" w:hAnsiTheme="minorEastAsia" w:eastAsiaTheme="minorEastAsia"/>
          <w:color w:val="000000" w:themeColor="text1"/>
          <w:szCs w:val="21"/>
        </w:rPr>
        <w:t>（16）响应文件载明的货物包装方式、检验标准和方法等不符合谈判文件的要求的；</w:t>
      </w:r>
    </w:p>
    <w:p w14:paraId="626FDEAB">
      <w:pPr>
        <w:spacing w:line="360" w:lineRule="exact"/>
        <w:ind w:firstLine="420"/>
        <w:jc w:val="left"/>
        <w:rPr>
          <w:rFonts w:hAnsiTheme="minorEastAsia" w:eastAsiaTheme="minorEastAsia"/>
          <w:color w:val="000000" w:themeColor="text1"/>
          <w:szCs w:val="21"/>
        </w:rPr>
      </w:pPr>
      <w:r>
        <w:rPr>
          <w:rFonts w:hint="eastAsia" w:hAnsiTheme="minorEastAsia" w:eastAsiaTheme="minorEastAsia"/>
          <w:color w:val="000000" w:themeColor="text1"/>
          <w:szCs w:val="21"/>
        </w:rPr>
        <w:t>（17）响应文件提出了不能满足谈判文件要求或采购人不能接受的工程验收、计量、价款结算和支付办法的；</w:t>
      </w:r>
    </w:p>
    <w:p w14:paraId="22CD4CD2">
      <w:pPr>
        <w:spacing w:line="360" w:lineRule="exact"/>
        <w:ind w:firstLine="420"/>
        <w:jc w:val="left"/>
        <w:rPr>
          <w:rFonts w:hAnsiTheme="minorEastAsia" w:eastAsiaTheme="minorEastAsia"/>
          <w:color w:val="000000" w:themeColor="text1"/>
          <w:szCs w:val="21"/>
        </w:rPr>
      </w:pPr>
      <w:r>
        <w:rPr>
          <w:rFonts w:hint="eastAsia" w:hAnsiTheme="minorEastAsia" w:eastAsiaTheme="minorEastAsia"/>
          <w:color w:val="000000" w:themeColor="text1"/>
          <w:szCs w:val="21"/>
        </w:rPr>
        <w:t>（18）未按谈判文件要求提供电子响应文件，或者响应文件未能解密的；</w:t>
      </w:r>
    </w:p>
    <w:p w14:paraId="46BB3B1C">
      <w:pPr>
        <w:spacing w:line="360" w:lineRule="exact"/>
        <w:ind w:firstLine="420"/>
        <w:jc w:val="left"/>
        <w:rPr>
          <w:rFonts w:hAnsiTheme="minorEastAsia" w:eastAsiaTheme="minorEastAsia"/>
          <w:color w:val="000000" w:themeColor="text1"/>
          <w:szCs w:val="21"/>
        </w:rPr>
      </w:pPr>
      <w:r>
        <w:rPr>
          <w:rFonts w:hint="eastAsia" w:hAnsiTheme="minorEastAsia" w:eastAsiaTheme="minorEastAsia"/>
          <w:color w:val="000000" w:themeColor="text1"/>
          <w:szCs w:val="21"/>
        </w:rPr>
        <w:t>（19）不同供应商的响应文件以及响应文件制作过程出现了评审小组认为不应当雷同的情况的；</w:t>
      </w:r>
    </w:p>
    <w:p w14:paraId="6FE2D091">
      <w:pPr>
        <w:spacing w:line="360" w:lineRule="exact"/>
        <w:ind w:firstLine="420"/>
        <w:jc w:val="left"/>
        <w:rPr>
          <w:rFonts w:hint="eastAsia" w:hAnsiTheme="minorEastAsia" w:eastAsiaTheme="minorEastAsia"/>
          <w:color w:val="000000" w:themeColor="text1"/>
          <w:szCs w:val="21"/>
        </w:rPr>
      </w:pPr>
      <w:r>
        <w:rPr>
          <w:rFonts w:hint="eastAsia" w:hAnsiTheme="minorEastAsia" w:eastAsiaTheme="minorEastAsia"/>
          <w:color w:val="000000" w:themeColor="text1"/>
          <w:szCs w:val="21"/>
        </w:rPr>
        <w:t>（20）以他人的名义参与谈判、串通参与谈判、以行贿手段谋取成交或者以其他弄虚作假方式参与谈判的。</w:t>
      </w:r>
    </w:p>
    <w:p w14:paraId="5C43AAEE">
      <w:pPr>
        <w:spacing w:line="360" w:lineRule="exact"/>
        <w:ind w:firstLine="420"/>
        <w:jc w:val="left"/>
        <w:rPr>
          <w:rFonts w:hint="eastAsia" w:hAnsiTheme="minorEastAsia" w:eastAsiaTheme="minorEastAsia"/>
          <w:color w:val="000000" w:themeColor="text1"/>
          <w:szCs w:val="21"/>
          <w:highlight w:val="yellow"/>
          <w:lang w:eastAsia="zh-CN"/>
        </w:rPr>
      </w:pPr>
      <w:r>
        <w:rPr>
          <w:rFonts w:hint="eastAsia" w:hAnsiTheme="minorEastAsia" w:eastAsiaTheme="minorEastAsia"/>
          <w:color w:val="000000" w:themeColor="text1"/>
          <w:szCs w:val="21"/>
          <w:highlight w:val="yellow"/>
        </w:rPr>
        <w:t>（2</w:t>
      </w:r>
      <w:r>
        <w:rPr>
          <w:rFonts w:hint="eastAsia" w:hAnsiTheme="minorEastAsia" w:eastAsiaTheme="minorEastAsia"/>
          <w:color w:val="000000" w:themeColor="text1"/>
          <w:szCs w:val="21"/>
          <w:highlight w:val="yellow"/>
          <w:lang w:val="en-US" w:eastAsia="zh-CN"/>
        </w:rPr>
        <w:t>1</w:t>
      </w:r>
      <w:r>
        <w:rPr>
          <w:rFonts w:hint="eastAsia" w:hAnsiTheme="minorEastAsia" w:eastAsiaTheme="minorEastAsia"/>
          <w:color w:val="000000" w:themeColor="text1"/>
          <w:szCs w:val="21"/>
          <w:highlight w:val="yellow"/>
        </w:rPr>
        <w:t>）不同供应商从同一个供应商单位或者同一个自然人的互联网协议地址下载</w:t>
      </w:r>
      <w:r>
        <w:rPr>
          <w:rFonts w:hint="eastAsia" w:hAnsiTheme="minorEastAsia" w:eastAsiaTheme="minorEastAsia"/>
          <w:color w:val="000000" w:themeColor="text1"/>
          <w:szCs w:val="21"/>
          <w:highlight w:val="yellow"/>
          <w:lang w:eastAsia="zh-CN"/>
        </w:rPr>
        <w:t>谈判</w:t>
      </w:r>
      <w:r>
        <w:rPr>
          <w:rFonts w:hint="eastAsia" w:hAnsiTheme="minorEastAsia" w:eastAsiaTheme="minorEastAsia"/>
          <w:color w:val="000000" w:themeColor="text1"/>
          <w:szCs w:val="21"/>
          <w:highlight w:val="yellow"/>
        </w:rPr>
        <w:t>文件、上传</w:t>
      </w:r>
      <w:r>
        <w:rPr>
          <w:rFonts w:hint="eastAsia" w:hAnsiTheme="minorEastAsia" w:eastAsiaTheme="minorEastAsia"/>
          <w:color w:val="000000" w:themeColor="text1"/>
          <w:szCs w:val="21"/>
          <w:highlight w:val="yellow"/>
          <w:lang w:eastAsia="zh-CN"/>
        </w:rPr>
        <w:t>响应</w:t>
      </w:r>
      <w:r>
        <w:rPr>
          <w:rFonts w:hint="eastAsia" w:hAnsiTheme="minorEastAsia" w:eastAsiaTheme="minorEastAsia"/>
          <w:color w:val="000000" w:themeColor="text1"/>
          <w:szCs w:val="21"/>
          <w:highlight w:val="yellow"/>
        </w:rPr>
        <w:t>文件</w:t>
      </w:r>
      <w:r>
        <w:rPr>
          <w:rFonts w:hint="eastAsia" w:hAnsiTheme="minorEastAsia" w:eastAsiaTheme="minorEastAsia"/>
          <w:color w:val="000000" w:themeColor="text1"/>
          <w:szCs w:val="21"/>
          <w:highlight w:val="yellow"/>
          <w:lang w:eastAsia="zh-CN"/>
        </w:rPr>
        <w:t>。</w:t>
      </w:r>
    </w:p>
    <w:p w14:paraId="26D716C5">
      <w:pPr>
        <w:spacing w:line="360" w:lineRule="exact"/>
        <w:ind w:firstLine="420"/>
        <w:jc w:val="left"/>
        <w:rPr>
          <w:rFonts w:hint="eastAsia" w:eastAsiaTheme="minorEastAsia"/>
          <w:color w:val="000000" w:themeColor="text1"/>
          <w:szCs w:val="21"/>
          <w:highlight w:val="magenta"/>
          <w:lang w:eastAsia="zh-CN"/>
        </w:rPr>
      </w:pPr>
      <w:r>
        <w:rPr>
          <w:rFonts w:hint="eastAsia" w:hAnsiTheme="minorEastAsia" w:eastAsiaTheme="minorEastAsia"/>
          <w:color w:val="000000" w:themeColor="text1"/>
          <w:szCs w:val="21"/>
          <w:highlight w:val="none"/>
        </w:rPr>
        <w:t>（2</w:t>
      </w:r>
      <w:r>
        <w:rPr>
          <w:rFonts w:hint="eastAsia" w:hAnsiTheme="minorEastAsia" w:eastAsiaTheme="minorEastAsia"/>
          <w:color w:val="000000" w:themeColor="text1"/>
          <w:szCs w:val="21"/>
          <w:highlight w:val="none"/>
          <w:lang w:val="en-US" w:eastAsia="zh-CN"/>
        </w:rPr>
        <w:t>2</w:t>
      </w:r>
      <w:r>
        <w:rPr>
          <w:rFonts w:hint="eastAsia" w:hAnsiTheme="minorEastAsia" w:eastAsiaTheme="minorEastAsia"/>
          <w:color w:val="000000" w:themeColor="text1"/>
          <w:szCs w:val="21"/>
          <w:highlight w:val="none"/>
        </w:rPr>
        <w:t>）</w:t>
      </w:r>
      <w:r>
        <w:rPr>
          <w:bCs/>
          <w:szCs w:val="21"/>
          <w:highlight w:val="none"/>
        </w:rPr>
        <w:t>响应文件关键内容模糊、无法辨认</w:t>
      </w:r>
      <w:r>
        <w:rPr>
          <w:rFonts w:hint="eastAsia"/>
          <w:highlight w:val="yellow"/>
          <w:lang w:val="en-US" w:eastAsia="zh-CN"/>
        </w:rPr>
        <w:t>或缺失</w:t>
      </w:r>
      <w:r>
        <w:rPr>
          <w:bCs/>
          <w:szCs w:val="21"/>
          <w:highlight w:val="none"/>
        </w:rPr>
        <w:t>的。</w:t>
      </w:r>
    </w:p>
    <w:p w14:paraId="5D76C6BE">
      <w:pPr>
        <w:spacing w:line="360" w:lineRule="exact"/>
        <w:ind w:firstLine="420"/>
        <w:jc w:val="left"/>
        <w:rPr>
          <w:rFonts w:eastAsiaTheme="minorEastAsia"/>
          <w:color w:val="000000" w:themeColor="text1"/>
          <w:szCs w:val="21"/>
        </w:rPr>
      </w:pPr>
      <w:r>
        <w:rPr>
          <w:rFonts w:hAnsiTheme="minorEastAsia" w:eastAsiaTheme="minorEastAsia"/>
          <w:color w:val="000000" w:themeColor="text1"/>
          <w:szCs w:val="21"/>
        </w:rPr>
        <w:t>谈判文件未明列的无效条款，不得作为否决响应文件、判定响应文件无效的依据。评审委员会对响应文件有异议，或者依照有关规定需要作出无效响应文件决定的，应当向当事人核实有关事项，并将核实情况记录在案。无效响应文件认定应当由评审委员会集体表决后作出。</w:t>
      </w:r>
    </w:p>
    <w:p w14:paraId="26435E4C">
      <w:pPr>
        <w:spacing w:line="360" w:lineRule="exact"/>
        <w:ind w:firstLine="420"/>
        <w:jc w:val="left"/>
        <w:rPr>
          <w:rFonts w:eastAsiaTheme="minorEastAsia"/>
          <w:color w:val="000000" w:themeColor="text1"/>
          <w:szCs w:val="21"/>
        </w:rPr>
      </w:pPr>
      <w:r>
        <w:rPr>
          <w:rFonts w:hAnsiTheme="minorEastAsia" w:eastAsiaTheme="minorEastAsia"/>
          <w:color w:val="000000" w:themeColor="text1"/>
          <w:szCs w:val="21"/>
        </w:rPr>
        <w:t>谈判评审小组应当依据谈判文件的规定认定重大偏差，谈判文件未列明的无效响应文件条款，不得作为否决参与谈判、判定无效响应文件的依据。</w:t>
      </w:r>
    </w:p>
    <w:p w14:paraId="47AE3A28">
      <w:pPr>
        <w:spacing w:line="360" w:lineRule="exact"/>
        <w:ind w:firstLine="420"/>
        <w:jc w:val="left"/>
        <w:rPr>
          <w:rFonts w:eastAsiaTheme="minorEastAsia"/>
          <w:color w:val="000000" w:themeColor="text1"/>
          <w:szCs w:val="21"/>
        </w:rPr>
      </w:pPr>
      <w:r>
        <w:rPr>
          <w:rFonts w:eastAsiaTheme="minorEastAsia"/>
          <w:color w:val="000000" w:themeColor="text1"/>
          <w:szCs w:val="21"/>
        </w:rPr>
        <w:t>3.2.5</w:t>
      </w:r>
      <w:r>
        <w:rPr>
          <w:rFonts w:hAnsiTheme="minorEastAsia" w:eastAsiaTheme="minorEastAsia"/>
          <w:color w:val="000000" w:themeColor="text1"/>
          <w:szCs w:val="21"/>
        </w:rPr>
        <w:t>属于下列情况之一的为细微偏差，细微偏差是指响应文件在实质上响应</w:t>
      </w:r>
      <w:r>
        <w:rPr>
          <w:rFonts w:hint="eastAsia" w:hAnsiTheme="minorEastAsia" w:eastAsiaTheme="minorEastAsia"/>
          <w:color w:val="000000" w:themeColor="text1"/>
          <w:szCs w:val="21"/>
        </w:rPr>
        <w:t>谈判</w:t>
      </w:r>
      <w:r>
        <w:rPr>
          <w:rFonts w:hAnsiTheme="minorEastAsia" w:eastAsiaTheme="minorEastAsia"/>
          <w:color w:val="000000" w:themeColor="text1"/>
          <w:szCs w:val="21"/>
        </w:rPr>
        <w:t>要求，但在个别地方存在漏项或者提供了不完整的技术信息和数据等情况，并且补正这些遗漏或不完整不会对其他供应商造成不公平的结果。细微偏差不影响响应文件的有效性。评审小组应当书面要求存在细微偏差的供应商在评审结束前予以补正。拒不补正的，在详细评审时可以对细微偏差作不利于该供应商的量化，各项指标均取所有谈判报价中相应指标的最大值：</w:t>
      </w:r>
    </w:p>
    <w:p w14:paraId="1E5F7B61">
      <w:pPr>
        <w:spacing w:line="360" w:lineRule="exact"/>
        <w:ind w:firstLine="420"/>
        <w:jc w:val="left"/>
        <w:rPr>
          <w:rFonts w:eastAsiaTheme="minorEastAsia"/>
          <w:color w:val="000000" w:themeColor="text1"/>
          <w:szCs w:val="21"/>
        </w:rPr>
      </w:pPr>
      <w:r>
        <w:rPr>
          <w:rFonts w:hAnsiTheme="minorEastAsia" w:eastAsiaTheme="minorEastAsia"/>
          <w:color w:val="000000" w:themeColor="text1"/>
          <w:szCs w:val="21"/>
        </w:rPr>
        <w:t>（</w:t>
      </w:r>
      <w:r>
        <w:rPr>
          <w:rFonts w:eastAsiaTheme="minorEastAsia"/>
          <w:color w:val="000000" w:themeColor="text1"/>
          <w:szCs w:val="21"/>
        </w:rPr>
        <w:t>1</w:t>
      </w:r>
      <w:r>
        <w:rPr>
          <w:rFonts w:hAnsiTheme="minorEastAsia" w:eastAsiaTheme="minorEastAsia"/>
          <w:color w:val="000000" w:themeColor="text1"/>
          <w:szCs w:val="21"/>
        </w:rPr>
        <w:t>）谈判文件未规定作为重大偏差的，一律为细微偏差；</w:t>
      </w:r>
    </w:p>
    <w:p w14:paraId="374489B9">
      <w:pPr>
        <w:spacing w:line="360" w:lineRule="exact"/>
        <w:ind w:firstLine="420"/>
        <w:jc w:val="left"/>
        <w:rPr>
          <w:rFonts w:eastAsiaTheme="minorEastAsia"/>
          <w:color w:val="000000" w:themeColor="text1"/>
          <w:szCs w:val="21"/>
        </w:rPr>
      </w:pPr>
      <w:r>
        <w:rPr>
          <w:rFonts w:hAnsiTheme="minorEastAsia" w:eastAsiaTheme="minorEastAsia"/>
          <w:color w:val="000000" w:themeColor="text1"/>
          <w:szCs w:val="21"/>
        </w:rPr>
        <w:t>（</w:t>
      </w:r>
      <w:r>
        <w:rPr>
          <w:rFonts w:eastAsiaTheme="minorEastAsia"/>
          <w:color w:val="000000" w:themeColor="text1"/>
          <w:szCs w:val="21"/>
        </w:rPr>
        <w:t>2</w:t>
      </w:r>
      <w:r>
        <w:rPr>
          <w:rFonts w:hAnsiTheme="minorEastAsia" w:eastAsiaTheme="minorEastAsia"/>
          <w:color w:val="000000" w:themeColor="text1"/>
          <w:szCs w:val="21"/>
        </w:rPr>
        <w:t>）对谈判文件中含义不明确、对同类问题表述不一致或者明显的文字错误，谈判评审小组应当在澄清的基础上按照事实求是地反映响应件实质性内容和尽量减少无效响应文件的原则进行补正。</w:t>
      </w:r>
    </w:p>
    <w:p w14:paraId="5F04719F">
      <w:pPr>
        <w:spacing w:line="360" w:lineRule="exact"/>
        <w:ind w:firstLine="420"/>
        <w:jc w:val="left"/>
        <w:rPr>
          <w:rFonts w:eastAsiaTheme="minorEastAsia"/>
          <w:color w:val="000000" w:themeColor="text1"/>
          <w:szCs w:val="21"/>
        </w:rPr>
      </w:pPr>
      <w:r>
        <w:rPr>
          <w:rFonts w:hAnsiTheme="minorEastAsia" w:eastAsiaTheme="minorEastAsia"/>
          <w:color w:val="000000" w:themeColor="text1"/>
          <w:szCs w:val="21"/>
        </w:rPr>
        <w:t>（</w:t>
      </w:r>
      <w:r>
        <w:rPr>
          <w:rFonts w:eastAsiaTheme="minorEastAsia"/>
          <w:color w:val="000000" w:themeColor="text1"/>
          <w:szCs w:val="21"/>
        </w:rPr>
        <w:t>3</w:t>
      </w:r>
      <w:r>
        <w:rPr>
          <w:rFonts w:hAnsiTheme="minorEastAsia" w:eastAsiaTheme="minorEastAsia"/>
          <w:color w:val="000000" w:themeColor="text1"/>
          <w:szCs w:val="21"/>
        </w:rPr>
        <w:t>）对响应文件中的算术计算错误，按照总价金额与单价</w:t>
      </w:r>
      <w:r>
        <w:rPr>
          <w:rFonts w:hint="eastAsia" w:hAnsiTheme="minorEastAsia" w:eastAsiaTheme="minorEastAsia"/>
          <w:color w:val="000000" w:themeColor="text1"/>
          <w:szCs w:val="21"/>
          <w:highlight w:val="none"/>
        </w:rPr>
        <w:t>计算出的</w:t>
      </w:r>
      <w:r>
        <w:rPr>
          <w:rFonts w:hAnsiTheme="minorEastAsia" w:eastAsiaTheme="minorEastAsia"/>
          <w:color w:val="000000" w:themeColor="text1"/>
          <w:szCs w:val="21"/>
          <w:highlight w:val="none"/>
        </w:rPr>
        <w:t>金额不一致的，以单价金额为准</w:t>
      </w:r>
      <w:r>
        <w:rPr>
          <w:rFonts w:hint="eastAsia" w:hAnsiTheme="minorEastAsia" w:eastAsiaTheme="minorEastAsia"/>
          <w:color w:val="000000" w:themeColor="text1"/>
          <w:szCs w:val="21"/>
          <w:highlight w:val="none"/>
        </w:rPr>
        <w:t>修正总价</w:t>
      </w:r>
      <w:r>
        <w:rPr>
          <w:rFonts w:hAnsiTheme="minorEastAsia" w:eastAsiaTheme="minorEastAsia"/>
          <w:color w:val="000000" w:themeColor="text1"/>
          <w:szCs w:val="21"/>
          <w:highlight w:val="none"/>
        </w:rPr>
        <w:t>，但单价金额小数点有明显错误的除外的原则进行修正；如果</w:t>
      </w:r>
      <w:r>
        <w:rPr>
          <w:rFonts w:hint="eastAsia" w:hAnsiTheme="minorEastAsia" w:eastAsiaTheme="minorEastAsia"/>
          <w:color w:val="000000" w:themeColor="text1"/>
          <w:szCs w:val="21"/>
          <w:highlight w:val="none"/>
        </w:rPr>
        <w:t>响应文件中的</w:t>
      </w:r>
      <w:r>
        <w:rPr>
          <w:rFonts w:hAnsiTheme="minorEastAsia" w:eastAsiaTheme="minorEastAsia"/>
          <w:color w:val="000000" w:themeColor="text1"/>
          <w:szCs w:val="21"/>
          <w:highlight w:val="none"/>
        </w:rPr>
        <w:t>数字</w:t>
      </w:r>
      <w:r>
        <w:rPr>
          <w:rFonts w:hAnsiTheme="minorEastAsia" w:eastAsiaTheme="minorEastAsia"/>
          <w:color w:val="000000" w:themeColor="text1"/>
          <w:szCs w:val="21"/>
        </w:rPr>
        <w:t>表示的金额和用文字表示的金额不一致时，应以文字金额为准。经过调整后的响应文件的谈判报价，经供应商法人委托人签字确认，调整后的谈判报价对供应商起约束作用。如果供应商不接受调整后的谈判报价，则其响应文件将被否绝。</w:t>
      </w:r>
    </w:p>
    <w:p w14:paraId="6B9C0532">
      <w:pPr>
        <w:spacing w:line="360" w:lineRule="exact"/>
        <w:ind w:firstLine="422"/>
        <w:jc w:val="left"/>
        <w:rPr>
          <w:rFonts w:eastAsiaTheme="minorEastAsia"/>
          <w:b/>
          <w:color w:val="000000" w:themeColor="text1"/>
          <w:szCs w:val="21"/>
        </w:rPr>
      </w:pPr>
      <w:bookmarkStart w:id="174" w:name="_Toc520410632"/>
      <w:bookmarkStart w:id="175" w:name="_Toc475027999"/>
      <w:bookmarkStart w:id="176" w:name="_Toc354417674"/>
      <w:bookmarkStart w:id="177" w:name="_Toc342467878"/>
      <w:r>
        <w:rPr>
          <w:rFonts w:eastAsiaTheme="minorEastAsia"/>
          <w:b/>
          <w:color w:val="000000" w:themeColor="text1"/>
          <w:szCs w:val="21"/>
        </w:rPr>
        <w:t>3.4</w:t>
      </w:r>
      <w:r>
        <w:rPr>
          <w:rFonts w:hAnsiTheme="minorEastAsia" w:eastAsiaTheme="minorEastAsia"/>
          <w:b/>
          <w:color w:val="000000" w:themeColor="text1"/>
          <w:szCs w:val="21"/>
        </w:rPr>
        <w:t>响应文件的澄清和补正</w:t>
      </w:r>
      <w:bookmarkEnd w:id="174"/>
      <w:bookmarkEnd w:id="175"/>
      <w:bookmarkEnd w:id="176"/>
      <w:bookmarkEnd w:id="177"/>
    </w:p>
    <w:p w14:paraId="7F631B27">
      <w:pPr>
        <w:spacing w:line="360" w:lineRule="exact"/>
        <w:ind w:firstLine="420"/>
        <w:jc w:val="left"/>
        <w:rPr>
          <w:rFonts w:eastAsiaTheme="minorEastAsia"/>
          <w:color w:val="000000" w:themeColor="text1"/>
          <w:szCs w:val="21"/>
        </w:rPr>
      </w:pPr>
      <w:r>
        <w:rPr>
          <w:rFonts w:eastAsiaTheme="minorEastAsia"/>
          <w:color w:val="000000" w:themeColor="text1"/>
          <w:szCs w:val="21"/>
        </w:rPr>
        <w:t>3.4.1</w:t>
      </w:r>
      <w:r>
        <w:rPr>
          <w:rFonts w:hAnsiTheme="minorEastAsia" w:eastAsiaTheme="minorEastAsia"/>
          <w:color w:val="000000" w:themeColor="text1"/>
          <w:szCs w:val="21"/>
        </w:rPr>
        <w:t>在评审过程中，谈判评审小组应当以书面形式要求供应商对所提交的响应文件中不明确的内容进行书面澄清或说明。谈判评审小组不接受供应商主动提出的澄清、说明或补正。</w:t>
      </w:r>
    </w:p>
    <w:p w14:paraId="79DA86C9">
      <w:pPr>
        <w:spacing w:line="360" w:lineRule="exact"/>
        <w:ind w:firstLine="420"/>
        <w:jc w:val="left"/>
        <w:rPr>
          <w:rFonts w:eastAsiaTheme="minorEastAsia"/>
          <w:color w:val="000000" w:themeColor="text1"/>
          <w:szCs w:val="21"/>
        </w:rPr>
      </w:pPr>
      <w:r>
        <w:rPr>
          <w:rFonts w:eastAsiaTheme="minorEastAsia"/>
          <w:color w:val="000000" w:themeColor="text1"/>
          <w:szCs w:val="21"/>
        </w:rPr>
        <w:t xml:space="preserve">3.4.2 </w:t>
      </w:r>
      <w:r>
        <w:rPr>
          <w:rFonts w:hAnsiTheme="minorEastAsia" w:eastAsiaTheme="minorEastAsia"/>
          <w:color w:val="000000" w:themeColor="text1"/>
          <w:szCs w:val="21"/>
        </w:rPr>
        <w:t>澄清、说明和补正不得改变响应文件的实质性内容。供应商的书面澄清、说明和补正属于响应文件的组成部分。</w:t>
      </w:r>
    </w:p>
    <w:p w14:paraId="7795029C">
      <w:pPr>
        <w:spacing w:line="360" w:lineRule="exact"/>
        <w:ind w:firstLine="420"/>
        <w:jc w:val="left"/>
        <w:rPr>
          <w:rFonts w:eastAsiaTheme="minorEastAsia"/>
          <w:color w:val="000000" w:themeColor="text1"/>
          <w:szCs w:val="21"/>
        </w:rPr>
      </w:pPr>
      <w:r>
        <w:rPr>
          <w:rFonts w:eastAsiaTheme="minorEastAsia"/>
          <w:color w:val="000000" w:themeColor="text1"/>
          <w:szCs w:val="21"/>
        </w:rPr>
        <w:t xml:space="preserve">3.4.3 </w:t>
      </w:r>
      <w:r>
        <w:rPr>
          <w:rFonts w:hAnsiTheme="minorEastAsia" w:eastAsiaTheme="minorEastAsia"/>
          <w:color w:val="000000" w:themeColor="text1"/>
          <w:szCs w:val="21"/>
        </w:rPr>
        <w:t>谈判评审小组对供应商提交的澄清、说明或补正有疑问的，可以要求供应商进一步澄清、说明或补正，直至满足谈判评审小组的要求。</w:t>
      </w:r>
    </w:p>
    <w:p w14:paraId="335809AF">
      <w:pPr>
        <w:spacing w:line="360" w:lineRule="exact"/>
        <w:ind w:firstLine="420"/>
        <w:jc w:val="left"/>
        <w:rPr>
          <w:rFonts w:eastAsiaTheme="minorEastAsia"/>
          <w:color w:val="000000" w:themeColor="text1"/>
          <w:szCs w:val="21"/>
        </w:rPr>
      </w:pPr>
      <w:r>
        <w:rPr>
          <w:rFonts w:eastAsiaTheme="minorEastAsia"/>
          <w:color w:val="000000" w:themeColor="text1"/>
          <w:szCs w:val="21"/>
        </w:rPr>
        <w:t xml:space="preserve">3.4.4 </w:t>
      </w:r>
      <w:r>
        <w:rPr>
          <w:rFonts w:hAnsiTheme="minorEastAsia" w:eastAsiaTheme="minorEastAsia"/>
          <w:color w:val="000000" w:themeColor="text1"/>
          <w:szCs w:val="21"/>
        </w:rPr>
        <w:t>在评审过程中，谈判评审小组发现供应商的报价明显低于其他谈判报价，使得其谈判报价可能低于其个别成本的，有可能影响质量或者不能诚信履约的，应当要求其在评审现场合理的时间内提供书面说明并提供相关证明材料。供应商不能合理说明或者不能提供相关证明材料的，谈判评审小组应当否决其响应文件。</w:t>
      </w:r>
    </w:p>
    <w:p w14:paraId="2728B593">
      <w:pPr>
        <w:spacing w:line="360" w:lineRule="exact"/>
        <w:ind w:firstLine="422"/>
        <w:jc w:val="left"/>
        <w:rPr>
          <w:rFonts w:eastAsiaTheme="minorEastAsia"/>
          <w:b/>
          <w:color w:val="000000" w:themeColor="text1"/>
          <w:szCs w:val="21"/>
        </w:rPr>
      </w:pPr>
      <w:bookmarkStart w:id="178" w:name="_Toc475028000"/>
      <w:bookmarkStart w:id="179" w:name="_Toc354417675"/>
      <w:bookmarkStart w:id="180" w:name="_Toc520410633"/>
      <w:r>
        <w:rPr>
          <w:rFonts w:eastAsiaTheme="minorEastAsia"/>
          <w:b/>
          <w:color w:val="000000" w:themeColor="text1"/>
          <w:szCs w:val="21"/>
        </w:rPr>
        <w:t>3.5</w:t>
      </w:r>
      <w:r>
        <w:rPr>
          <w:rFonts w:hAnsiTheme="minorEastAsia" w:eastAsiaTheme="minorEastAsia"/>
          <w:b/>
          <w:color w:val="000000" w:themeColor="text1"/>
          <w:szCs w:val="21"/>
        </w:rPr>
        <w:t>推荐成交候选人</w:t>
      </w:r>
      <w:bookmarkEnd w:id="178"/>
      <w:bookmarkEnd w:id="179"/>
      <w:bookmarkEnd w:id="180"/>
    </w:p>
    <w:p w14:paraId="55BB3ABF">
      <w:pPr>
        <w:spacing w:line="360" w:lineRule="exact"/>
        <w:ind w:firstLine="420"/>
        <w:jc w:val="left"/>
        <w:rPr>
          <w:rFonts w:eastAsiaTheme="minorEastAsia"/>
          <w:color w:val="000000" w:themeColor="text1"/>
          <w:szCs w:val="21"/>
        </w:rPr>
      </w:pPr>
      <w:r>
        <w:rPr>
          <w:rFonts w:hAnsiTheme="minorEastAsia" w:eastAsiaTheme="minorEastAsia"/>
          <w:color w:val="000000" w:themeColor="text1"/>
          <w:szCs w:val="21"/>
        </w:rPr>
        <w:t>谈判评审小组在推荐成交候选人时，应遵照以下原则</w:t>
      </w:r>
      <w:r>
        <w:rPr>
          <w:rFonts w:eastAsiaTheme="minorEastAsia"/>
          <w:color w:val="000000" w:themeColor="text1"/>
          <w:szCs w:val="21"/>
        </w:rPr>
        <w:t>:</w:t>
      </w:r>
    </w:p>
    <w:p w14:paraId="7EB38FA3">
      <w:pPr>
        <w:spacing w:line="360" w:lineRule="exact"/>
        <w:ind w:firstLine="420"/>
        <w:jc w:val="left"/>
        <w:rPr>
          <w:rFonts w:eastAsiaTheme="minorEastAsia"/>
          <w:color w:val="000000" w:themeColor="text1"/>
          <w:szCs w:val="21"/>
        </w:rPr>
      </w:pPr>
      <w:r>
        <w:rPr>
          <w:rFonts w:eastAsiaTheme="minorEastAsia"/>
          <w:color w:val="000000" w:themeColor="text1"/>
          <w:szCs w:val="21"/>
        </w:rPr>
        <w:t>3.5.1</w:t>
      </w:r>
      <w:r>
        <w:rPr>
          <w:rFonts w:hAnsiTheme="minorEastAsia" w:eastAsiaTheme="minorEastAsia"/>
          <w:color w:val="000000" w:themeColor="text1"/>
          <w:szCs w:val="21"/>
        </w:rPr>
        <w:t>谈判评审小组按照最终报价由低至高的次序排列，推荐</w:t>
      </w:r>
      <w:r>
        <w:rPr>
          <w:rFonts w:eastAsiaTheme="minorEastAsia"/>
          <w:color w:val="000000" w:themeColor="text1"/>
          <w:szCs w:val="21"/>
        </w:rPr>
        <w:t>1-3</w:t>
      </w:r>
      <w:r>
        <w:rPr>
          <w:rFonts w:hAnsiTheme="minorEastAsia" w:eastAsiaTheme="minorEastAsia"/>
          <w:color w:val="000000" w:themeColor="text1"/>
          <w:szCs w:val="21"/>
        </w:rPr>
        <w:t>名成交候选人。</w:t>
      </w:r>
    </w:p>
    <w:p w14:paraId="38A602B4">
      <w:pPr>
        <w:pStyle w:val="16"/>
        <w:rPr>
          <w:highlight w:val="none"/>
        </w:rPr>
      </w:pPr>
      <w:r>
        <w:rPr>
          <w:rFonts w:eastAsiaTheme="minorEastAsia"/>
          <w:color w:val="000000" w:themeColor="text1"/>
          <w:szCs w:val="21"/>
        </w:rPr>
        <w:t>3.5.2</w:t>
      </w:r>
      <w:r>
        <w:rPr>
          <w:rFonts w:hAnsiTheme="minorEastAsia" w:eastAsiaTheme="minorEastAsia"/>
          <w:color w:val="000000" w:themeColor="text1"/>
          <w:szCs w:val="21"/>
        </w:rPr>
        <w:t>当供应商最终谈判报价均不被采购人接受时，谈判失败，由采购人重新组织采购。</w:t>
      </w:r>
      <w:r>
        <w:rPr>
          <w:rFonts w:hint="eastAsia"/>
          <w:highlight w:val="none"/>
        </w:rPr>
        <w:t>当参与采购活动且符合相应资格条件的供应商少于3家</w:t>
      </w:r>
      <w:r>
        <w:rPr>
          <w:szCs w:val="21"/>
          <w:highlight w:val="none"/>
        </w:rPr>
        <w:t>时，</w:t>
      </w:r>
      <w:r>
        <w:rPr>
          <w:rFonts w:hAnsiTheme="minorEastAsia" w:eastAsiaTheme="minorEastAsia"/>
          <w:color w:val="000000" w:themeColor="text1"/>
          <w:szCs w:val="21"/>
          <w:highlight w:val="none"/>
        </w:rPr>
        <w:t>谈判失败，由采购人重新组织采购。</w:t>
      </w:r>
      <w:r>
        <w:rPr>
          <w:rFonts w:hint="eastAsia" w:hAnsiTheme="minorEastAsia" w:eastAsiaTheme="minorEastAsia"/>
          <w:color w:val="000000" w:themeColor="text1"/>
          <w:szCs w:val="21"/>
          <w:highlight w:val="none"/>
        </w:rPr>
        <w:t>连续两次公告递交响应文件供应商不足3家</w:t>
      </w:r>
      <w:r>
        <w:rPr>
          <w:rFonts w:hint="eastAsia" w:hAnsiTheme="minorEastAsia" w:eastAsiaTheme="minorEastAsia"/>
          <w:color w:val="000000" w:themeColor="text1"/>
          <w:szCs w:val="21"/>
          <w:highlight w:val="none"/>
          <w:lang w:eastAsia="zh-CN"/>
        </w:rPr>
        <w:t>（</w:t>
      </w:r>
      <w:r>
        <w:rPr>
          <w:rFonts w:hint="eastAsia" w:hAnsiTheme="minorEastAsia" w:eastAsiaTheme="minorEastAsia"/>
          <w:color w:val="000000" w:themeColor="text1"/>
          <w:szCs w:val="21"/>
          <w:highlight w:val="none"/>
        </w:rPr>
        <w:t>含3家</w:t>
      </w:r>
      <w:r>
        <w:rPr>
          <w:rFonts w:hint="eastAsia" w:hAnsiTheme="minorEastAsia" w:eastAsiaTheme="minorEastAsia"/>
          <w:color w:val="000000" w:themeColor="text1"/>
          <w:szCs w:val="21"/>
          <w:highlight w:val="none"/>
          <w:lang w:eastAsia="zh-CN"/>
        </w:rPr>
        <w:t>）</w:t>
      </w:r>
      <w:r>
        <w:rPr>
          <w:rFonts w:hint="eastAsia" w:hAnsiTheme="minorEastAsia" w:eastAsiaTheme="minorEastAsia"/>
          <w:color w:val="000000" w:themeColor="text1"/>
          <w:szCs w:val="21"/>
          <w:highlight w:val="none"/>
        </w:rPr>
        <w:t>的，采购人可优先组织第二次已递交响应文件的供应商进行竞争性谈判，确定成交供应商。</w:t>
      </w:r>
    </w:p>
    <w:p w14:paraId="508FC668">
      <w:pPr>
        <w:spacing w:line="360" w:lineRule="exact"/>
        <w:ind w:firstLine="420"/>
        <w:jc w:val="left"/>
        <w:rPr>
          <w:rFonts w:eastAsiaTheme="minorEastAsia"/>
          <w:color w:val="000000" w:themeColor="text1"/>
          <w:szCs w:val="21"/>
        </w:rPr>
      </w:pPr>
      <w:r>
        <w:rPr>
          <w:rFonts w:eastAsiaTheme="minorEastAsia"/>
          <w:color w:val="000000" w:themeColor="text1"/>
          <w:szCs w:val="21"/>
        </w:rPr>
        <w:t>3.5.3</w:t>
      </w:r>
      <w:r>
        <w:rPr>
          <w:rFonts w:hAnsiTheme="minorEastAsia" w:eastAsiaTheme="minorEastAsia"/>
          <w:color w:val="000000" w:themeColor="text1"/>
          <w:szCs w:val="21"/>
        </w:rPr>
        <w:t>当所有报价均与最高限价异常接近，经谈判评审小组认定明显缺乏竞争性时，谈判评审小组可以否决所有响应文件，由采购人重新组织采购。</w:t>
      </w:r>
    </w:p>
    <w:p w14:paraId="1CCB8CAA">
      <w:pPr>
        <w:spacing w:line="360" w:lineRule="exact"/>
        <w:ind w:firstLine="420"/>
        <w:jc w:val="left"/>
        <w:rPr>
          <w:rFonts w:eastAsiaTheme="minorEastAsia"/>
          <w:color w:val="000000" w:themeColor="text1"/>
          <w:szCs w:val="21"/>
          <w:highlight w:val="magenta"/>
        </w:rPr>
      </w:pPr>
      <w:r>
        <w:rPr>
          <w:rFonts w:eastAsiaTheme="minorEastAsia"/>
          <w:color w:val="000000" w:themeColor="text1"/>
          <w:szCs w:val="21"/>
          <w:highlight w:val="none"/>
        </w:rPr>
        <w:t>3.5.4</w:t>
      </w:r>
      <w:r>
        <w:rPr>
          <w:rFonts w:hint="eastAsia" w:hAnsiTheme="minorEastAsia" w:eastAsiaTheme="minorEastAsia"/>
          <w:color w:val="000000" w:themeColor="text1"/>
          <w:szCs w:val="21"/>
          <w:highlight w:val="none"/>
        </w:rPr>
        <w:t>如果</w:t>
      </w:r>
      <w:r>
        <w:rPr>
          <w:rFonts w:hAnsiTheme="minorEastAsia" w:eastAsiaTheme="minorEastAsia"/>
          <w:color w:val="000000" w:themeColor="text1"/>
          <w:szCs w:val="21"/>
          <w:highlight w:val="none"/>
        </w:rPr>
        <w:t>谈判评审小组</w:t>
      </w:r>
      <w:r>
        <w:rPr>
          <w:rFonts w:hint="eastAsia" w:hAnsiTheme="minorEastAsia" w:eastAsiaTheme="minorEastAsia"/>
          <w:color w:val="000000" w:themeColor="text1"/>
          <w:szCs w:val="21"/>
          <w:highlight w:val="none"/>
        </w:rPr>
        <w:t>根据本章的规定作</w:t>
      </w:r>
      <w:r>
        <w:rPr>
          <w:rFonts w:hAnsiTheme="minorEastAsia" w:eastAsiaTheme="minorEastAsia"/>
          <w:color w:val="000000" w:themeColor="text1"/>
          <w:szCs w:val="21"/>
          <w:highlight w:val="none"/>
        </w:rPr>
        <w:t>响应</w:t>
      </w:r>
      <w:r>
        <w:rPr>
          <w:rFonts w:hint="eastAsia" w:hAnsiTheme="minorEastAsia" w:eastAsiaTheme="minorEastAsia"/>
          <w:color w:val="000000" w:themeColor="text1"/>
          <w:szCs w:val="21"/>
          <w:highlight w:val="none"/>
          <w:lang w:eastAsia="zh-CN"/>
        </w:rPr>
        <w:t>文件</w:t>
      </w:r>
      <w:r>
        <w:rPr>
          <w:rFonts w:hint="eastAsia" w:hAnsiTheme="minorEastAsia" w:eastAsiaTheme="minorEastAsia"/>
          <w:color w:val="000000" w:themeColor="text1"/>
          <w:szCs w:val="21"/>
          <w:highlight w:val="none"/>
        </w:rPr>
        <w:t>无效处理后，有效</w:t>
      </w:r>
      <w:r>
        <w:rPr>
          <w:rFonts w:hAnsiTheme="minorEastAsia" w:eastAsiaTheme="minorEastAsia"/>
          <w:color w:val="000000" w:themeColor="text1"/>
          <w:szCs w:val="21"/>
          <w:highlight w:val="none"/>
        </w:rPr>
        <w:t>响应文件</w:t>
      </w:r>
      <w:r>
        <w:rPr>
          <w:rFonts w:hint="eastAsia" w:hAnsiTheme="minorEastAsia" w:eastAsiaTheme="minorEastAsia"/>
          <w:color w:val="000000" w:themeColor="text1"/>
          <w:szCs w:val="21"/>
          <w:highlight w:val="none"/>
        </w:rPr>
        <w:t>不足三个，</w:t>
      </w:r>
      <w:r>
        <w:rPr>
          <w:rFonts w:hAnsiTheme="minorEastAsia" w:eastAsiaTheme="minorEastAsia"/>
          <w:color w:val="000000" w:themeColor="text1"/>
          <w:szCs w:val="21"/>
          <w:highlight w:val="none"/>
        </w:rPr>
        <w:t>谈判评审小组</w:t>
      </w:r>
      <w:r>
        <w:rPr>
          <w:rFonts w:hint="eastAsia" w:hAnsiTheme="minorEastAsia" w:eastAsiaTheme="minorEastAsia"/>
          <w:color w:val="000000" w:themeColor="text1"/>
          <w:szCs w:val="21"/>
          <w:highlight w:val="none"/>
        </w:rPr>
        <w:t>应当对有效</w:t>
      </w:r>
      <w:r>
        <w:rPr>
          <w:rFonts w:hAnsiTheme="minorEastAsia" w:eastAsiaTheme="minorEastAsia"/>
          <w:color w:val="000000" w:themeColor="text1"/>
          <w:szCs w:val="21"/>
          <w:highlight w:val="none"/>
        </w:rPr>
        <w:t>响应文件</w:t>
      </w:r>
      <w:r>
        <w:rPr>
          <w:rFonts w:hint="eastAsia" w:hAnsiTheme="minorEastAsia" w:eastAsiaTheme="minorEastAsia"/>
          <w:color w:val="000000" w:themeColor="text1"/>
          <w:szCs w:val="21"/>
          <w:highlight w:val="none"/>
        </w:rPr>
        <w:t>是否仍具有竞争性进行评审。</w:t>
      </w:r>
      <w:r>
        <w:rPr>
          <w:rFonts w:hAnsiTheme="minorEastAsia" w:eastAsiaTheme="minorEastAsia"/>
          <w:color w:val="000000" w:themeColor="text1"/>
          <w:szCs w:val="21"/>
          <w:highlight w:val="none"/>
        </w:rPr>
        <w:t>谈判评审小组</w:t>
      </w:r>
      <w:r>
        <w:rPr>
          <w:rFonts w:hint="eastAsia" w:hAnsiTheme="minorEastAsia" w:eastAsiaTheme="minorEastAsia"/>
          <w:color w:val="000000" w:themeColor="text1"/>
          <w:szCs w:val="21"/>
          <w:highlight w:val="none"/>
        </w:rPr>
        <w:t>一致认为有效</w:t>
      </w:r>
      <w:r>
        <w:rPr>
          <w:rFonts w:hAnsiTheme="minorEastAsia" w:eastAsiaTheme="minorEastAsia"/>
          <w:color w:val="000000" w:themeColor="text1"/>
          <w:szCs w:val="21"/>
          <w:highlight w:val="none"/>
        </w:rPr>
        <w:t>响应文件</w:t>
      </w:r>
      <w:r>
        <w:rPr>
          <w:rFonts w:hint="eastAsia" w:hAnsiTheme="minorEastAsia" w:eastAsiaTheme="minorEastAsia"/>
          <w:color w:val="000000" w:themeColor="text1"/>
          <w:szCs w:val="21"/>
          <w:highlight w:val="none"/>
        </w:rPr>
        <w:t>仍具有竞争性的，按</w:t>
      </w:r>
      <w:r>
        <w:rPr>
          <w:rFonts w:hAnsiTheme="minorEastAsia" w:eastAsiaTheme="minorEastAsia"/>
          <w:color w:val="000000" w:themeColor="text1"/>
          <w:szCs w:val="21"/>
          <w:highlight w:val="none"/>
        </w:rPr>
        <w:t>有效供应商</w:t>
      </w:r>
      <w:r>
        <w:rPr>
          <w:rFonts w:hint="eastAsia" w:hAnsiTheme="minorEastAsia" w:eastAsiaTheme="minorEastAsia"/>
          <w:color w:val="000000" w:themeColor="text1"/>
          <w:szCs w:val="21"/>
          <w:highlight w:val="none"/>
        </w:rPr>
        <w:t>最终</w:t>
      </w:r>
      <w:r>
        <w:rPr>
          <w:rFonts w:hAnsiTheme="minorEastAsia" w:eastAsiaTheme="minorEastAsia"/>
          <w:color w:val="000000" w:themeColor="text1"/>
          <w:szCs w:val="21"/>
          <w:highlight w:val="none"/>
        </w:rPr>
        <w:t>报价由低至高的次序</w:t>
      </w:r>
      <w:r>
        <w:rPr>
          <w:rFonts w:hint="eastAsia" w:hAnsiTheme="minorEastAsia" w:eastAsiaTheme="minorEastAsia"/>
          <w:color w:val="000000" w:themeColor="text1"/>
          <w:szCs w:val="21"/>
          <w:highlight w:val="none"/>
        </w:rPr>
        <w:t>推荐中标候选人；缺乏竞争的或</w:t>
      </w:r>
      <w:r>
        <w:rPr>
          <w:rFonts w:hAnsiTheme="minorEastAsia" w:eastAsiaTheme="minorEastAsia"/>
          <w:color w:val="000000" w:themeColor="text1"/>
          <w:szCs w:val="21"/>
          <w:highlight w:val="none"/>
        </w:rPr>
        <w:t>谈判评审小组</w:t>
      </w:r>
      <w:r>
        <w:rPr>
          <w:rFonts w:hint="eastAsia" w:hAnsiTheme="minorEastAsia" w:eastAsiaTheme="minorEastAsia"/>
          <w:color w:val="000000" w:themeColor="text1"/>
          <w:szCs w:val="21"/>
          <w:highlight w:val="none"/>
        </w:rPr>
        <w:t>对有效</w:t>
      </w:r>
      <w:r>
        <w:rPr>
          <w:rFonts w:hAnsiTheme="minorEastAsia" w:eastAsiaTheme="minorEastAsia"/>
          <w:color w:val="000000" w:themeColor="text1"/>
          <w:szCs w:val="21"/>
          <w:highlight w:val="none"/>
        </w:rPr>
        <w:t>响应文件</w:t>
      </w:r>
      <w:r>
        <w:rPr>
          <w:rFonts w:hint="eastAsia" w:hAnsiTheme="minorEastAsia" w:eastAsiaTheme="minorEastAsia"/>
          <w:color w:val="000000" w:themeColor="text1"/>
          <w:szCs w:val="21"/>
          <w:highlight w:val="none"/>
        </w:rPr>
        <w:t>是否仍具有竞争性无法达成一致意见的，</w:t>
      </w:r>
      <w:r>
        <w:rPr>
          <w:rFonts w:hAnsiTheme="minorEastAsia" w:eastAsiaTheme="minorEastAsia"/>
          <w:color w:val="000000" w:themeColor="text1"/>
          <w:szCs w:val="21"/>
          <w:highlight w:val="none"/>
        </w:rPr>
        <w:t>谈判评审小组</w:t>
      </w:r>
      <w:r>
        <w:rPr>
          <w:rFonts w:hint="eastAsia" w:hAnsiTheme="minorEastAsia" w:eastAsiaTheme="minorEastAsia"/>
          <w:color w:val="000000" w:themeColor="text1"/>
          <w:szCs w:val="21"/>
          <w:highlight w:val="none"/>
        </w:rPr>
        <w:t>应当否决全部</w:t>
      </w:r>
      <w:r>
        <w:rPr>
          <w:rFonts w:hAnsiTheme="minorEastAsia" w:eastAsiaTheme="minorEastAsia"/>
          <w:color w:val="000000" w:themeColor="text1"/>
          <w:szCs w:val="21"/>
          <w:highlight w:val="none"/>
        </w:rPr>
        <w:t>响应文件</w:t>
      </w:r>
      <w:r>
        <w:rPr>
          <w:rFonts w:hint="eastAsia" w:hAnsiTheme="minorEastAsia" w:eastAsiaTheme="minorEastAsia"/>
          <w:color w:val="000000" w:themeColor="text1"/>
          <w:szCs w:val="21"/>
          <w:highlight w:val="none"/>
        </w:rPr>
        <w:t>。</w:t>
      </w:r>
      <w:r>
        <w:rPr>
          <w:rFonts w:hAnsiTheme="minorEastAsia" w:eastAsiaTheme="minorEastAsia"/>
          <w:color w:val="000000" w:themeColor="text1"/>
          <w:szCs w:val="21"/>
          <w:highlight w:val="none"/>
        </w:rPr>
        <w:t>谈判评审小组</w:t>
      </w:r>
      <w:r>
        <w:rPr>
          <w:rFonts w:hint="eastAsia" w:hAnsiTheme="minorEastAsia" w:eastAsiaTheme="minorEastAsia"/>
          <w:color w:val="000000" w:themeColor="text1"/>
          <w:szCs w:val="21"/>
          <w:highlight w:val="none"/>
        </w:rPr>
        <w:t>应当在评标报告中记载论证过程和结果。</w:t>
      </w:r>
    </w:p>
    <w:p w14:paraId="3DA78748">
      <w:pPr>
        <w:shd w:val="clear"/>
        <w:spacing w:line="360" w:lineRule="exact"/>
        <w:ind w:firstLine="420"/>
        <w:jc w:val="left"/>
        <w:rPr>
          <w:rFonts w:hAnsiTheme="minorEastAsia" w:eastAsiaTheme="minorEastAsia"/>
          <w:color w:val="000000" w:themeColor="text1"/>
          <w:sz w:val="24"/>
          <w:highlight w:val="none"/>
        </w:rPr>
      </w:pPr>
      <w:r>
        <w:rPr>
          <w:rFonts w:eastAsiaTheme="minorEastAsia"/>
          <w:color w:val="000000" w:themeColor="text1"/>
          <w:szCs w:val="21"/>
        </w:rPr>
        <w:t xml:space="preserve">3.5.5 </w:t>
      </w:r>
      <w:r>
        <w:rPr>
          <w:rFonts w:hAnsiTheme="minorEastAsia" w:eastAsiaTheme="minorEastAsia"/>
          <w:color w:val="000000" w:themeColor="text1"/>
          <w:szCs w:val="21"/>
        </w:rPr>
        <w:t>谈判评审小组完成评审后，应当向采购人提交评审报告。</w:t>
      </w:r>
      <w:bookmarkEnd w:id="130"/>
    </w:p>
    <w:p w14:paraId="6AEC66D4">
      <w:pPr>
        <w:shd w:val="clear"/>
        <w:spacing w:line="240" w:lineRule="auto"/>
        <w:ind w:firstLine="0" w:firstLineChars="0"/>
        <w:jc w:val="center"/>
        <w:outlineLvl w:val="9"/>
        <w:rPr>
          <w:b/>
          <w:bCs/>
          <w:color w:val="000000" w:themeColor="text1"/>
          <w:sz w:val="48"/>
          <w:szCs w:val="48"/>
          <w:highlight w:val="none"/>
        </w:rPr>
      </w:pPr>
    </w:p>
    <w:p w14:paraId="604E0939">
      <w:pPr>
        <w:shd w:val="clear"/>
        <w:spacing w:line="240" w:lineRule="auto"/>
        <w:ind w:firstLine="0" w:firstLineChars="0"/>
        <w:jc w:val="both"/>
        <w:outlineLvl w:val="9"/>
        <w:rPr>
          <w:b/>
          <w:bCs/>
          <w:color w:val="000000" w:themeColor="text1"/>
          <w:sz w:val="48"/>
          <w:szCs w:val="48"/>
          <w:highlight w:val="none"/>
        </w:rPr>
      </w:pPr>
      <w:bookmarkStart w:id="181" w:name="_Toc23255"/>
    </w:p>
    <w:p w14:paraId="0E593FA8">
      <w:pPr>
        <w:shd w:val="clear"/>
        <w:spacing w:line="240" w:lineRule="auto"/>
        <w:ind w:firstLine="0" w:firstLineChars="0"/>
        <w:jc w:val="center"/>
        <w:outlineLvl w:val="9"/>
        <w:rPr>
          <w:b/>
          <w:bCs/>
          <w:color w:val="000000" w:themeColor="text1"/>
          <w:sz w:val="48"/>
          <w:szCs w:val="48"/>
          <w:highlight w:val="none"/>
        </w:rPr>
      </w:pPr>
    </w:p>
    <w:p w14:paraId="6EDB37E8">
      <w:pPr>
        <w:shd w:val="clear"/>
        <w:spacing w:line="240" w:lineRule="auto"/>
        <w:ind w:firstLine="0" w:firstLineChars="0"/>
        <w:jc w:val="center"/>
        <w:outlineLvl w:val="9"/>
        <w:rPr>
          <w:b/>
          <w:bCs/>
          <w:color w:val="000000" w:themeColor="text1"/>
          <w:sz w:val="48"/>
          <w:szCs w:val="48"/>
          <w:highlight w:val="none"/>
        </w:rPr>
      </w:pPr>
    </w:p>
    <w:p w14:paraId="4D7544B8">
      <w:pPr>
        <w:shd w:val="clear"/>
        <w:spacing w:line="240" w:lineRule="auto"/>
        <w:ind w:firstLine="0" w:firstLineChars="0"/>
        <w:jc w:val="center"/>
        <w:outlineLvl w:val="9"/>
        <w:rPr>
          <w:b/>
          <w:bCs/>
          <w:color w:val="000000" w:themeColor="text1"/>
          <w:sz w:val="48"/>
          <w:szCs w:val="48"/>
          <w:highlight w:val="none"/>
        </w:rPr>
      </w:pPr>
    </w:p>
    <w:p w14:paraId="77B0D649">
      <w:pPr>
        <w:shd w:val="clear"/>
        <w:spacing w:line="240" w:lineRule="auto"/>
        <w:ind w:firstLine="0" w:firstLineChars="0"/>
        <w:jc w:val="center"/>
        <w:outlineLvl w:val="9"/>
        <w:rPr>
          <w:b/>
          <w:bCs/>
          <w:color w:val="000000" w:themeColor="text1"/>
          <w:sz w:val="48"/>
          <w:szCs w:val="48"/>
          <w:highlight w:val="none"/>
        </w:rPr>
      </w:pPr>
    </w:p>
    <w:p w14:paraId="6741F425">
      <w:pPr>
        <w:shd w:val="clear"/>
        <w:spacing w:line="240" w:lineRule="auto"/>
        <w:ind w:firstLine="0" w:firstLineChars="0"/>
        <w:jc w:val="center"/>
        <w:outlineLvl w:val="9"/>
        <w:rPr>
          <w:b/>
          <w:bCs/>
          <w:color w:val="000000" w:themeColor="text1"/>
          <w:sz w:val="48"/>
          <w:szCs w:val="48"/>
          <w:highlight w:val="none"/>
        </w:rPr>
      </w:pPr>
    </w:p>
    <w:p w14:paraId="45A062B2">
      <w:pPr>
        <w:shd w:val="clear"/>
        <w:spacing w:line="240" w:lineRule="auto"/>
        <w:ind w:firstLine="0" w:firstLineChars="0"/>
        <w:jc w:val="center"/>
        <w:outlineLvl w:val="0"/>
        <w:rPr>
          <w:b/>
          <w:bCs/>
          <w:color w:val="000000" w:themeColor="text1"/>
          <w:sz w:val="48"/>
          <w:szCs w:val="48"/>
          <w:highlight w:val="none"/>
        </w:rPr>
        <w:sectPr>
          <w:headerReference r:id="rId6" w:type="default"/>
          <w:footerReference r:id="rId7" w:type="default"/>
          <w:pgSz w:w="11905" w:h="16838"/>
          <w:pgMar w:top="1247" w:right="1247" w:bottom="1247" w:left="1247" w:header="720" w:footer="720" w:gutter="0"/>
          <w:pgBorders>
            <w:top w:val="none" w:sz="0" w:space="0"/>
            <w:left w:val="none" w:sz="0" w:space="0"/>
            <w:bottom w:val="none" w:sz="0" w:space="0"/>
            <w:right w:val="none" w:sz="0" w:space="0"/>
          </w:pgBorders>
          <w:pgNumType w:fmt="decimal"/>
          <w:cols w:space="0" w:num="1"/>
          <w:rtlGutter w:val="0"/>
          <w:docGrid w:type="lines" w:linePitch="326" w:charSpace="0"/>
        </w:sectPr>
      </w:pPr>
      <w:bookmarkStart w:id="182" w:name="_Toc16636"/>
    </w:p>
    <w:p w14:paraId="6423B4C2">
      <w:pPr>
        <w:shd w:val="clear"/>
        <w:spacing w:line="240" w:lineRule="auto"/>
        <w:ind w:firstLine="0" w:firstLineChars="0"/>
        <w:jc w:val="center"/>
        <w:outlineLvl w:val="0"/>
        <w:rPr>
          <w:b/>
          <w:bCs/>
          <w:color w:val="000000" w:themeColor="text1"/>
          <w:sz w:val="48"/>
          <w:szCs w:val="48"/>
          <w:highlight w:val="none"/>
        </w:rPr>
      </w:pPr>
    </w:p>
    <w:p w14:paraId="1C892B9D">
      <w:pPr>
        <w:shd w:val="clear"/>
        <w:spacing w:line="240" w:lineRule="auto"/>
        <w:ind w:firstLine="0" w:firstLineChars="0"/>
        <w:jc w:val="center"/>
        <w:outlineLvl w:val="0"/>
        <w:rPr>
          <w:b/>
          <w:bCs/>
          <w:color w:val="000000" w:themeColor="text1"/>
          <w:sz w:val="48"/>
          <w:szCs w:val="48"/>
          <w:highlight w:val="none"/>
        </w:rPr>
      </w:pPr>
    </w:p>
    <w:p w14:paraId="1851139E">
      <w:pPr>
        <w:shd w:val="clear"/>
        <w:spacing w:line="240" w:lineRule="auto"/>
        <w:ind w:firstLine="0" w:firstLineChars="0"/>
        <w:jc w:val="center"/>
        <w:outlineLvl w:val="0"/>
        <w:rPr>
          <w:b/>
          <w:bCs/>
          <w:color w:val="000000" w:themeColor="text1"/>
          <w:sz w:val="48"/>
          <w:szCs w:val="48"/>
          <w:highlight w:val="none"/>
        </w:rPr>
      </w:pPr>
    </w:p>
    <w:p w14:paraId="384EA1F2">
      <w:pPr>
        <w:shd w:val="clear"/>
        <w:spacing w:line="240" w:lineRule="auto"/>
        <w:ind w:firstLine="0" w:firstLineChars="0"/>
        <w:jc w:val="center"/>
        <w:outlineLvl w:val="0"/>
        <w:rPr>
          <w:b/>
          <w:bCs/>
          <w:color w:val="000000" w:themeColor="text1"/>
          <w:sz w:val="48"/>
          <w:szCs w:val="48"/>
          <w:highlight w:val="none"/>
        </w:rPr>
      </w:pPr>
    </w:p>
    <w:p w14:paraId="0CFDA5AF">
      <w:pPr>
        <w:shd w:val="clear"/>
        <w:spacing w:line="240" w:lineRule="auto"/>
        <w:ind w:firstLine="0" w:firstLineChars="0"/>
        <w:jc w:val="center"/>
        <w:outlineLvl w:val="0"/>
        <w:rPr>
          <w:b/>
          <w:bCs/>
          <w:color w:val="000000" w:themeColor="text1"/>
          <w:sz w:val="48"/>
          <w:szCs w:val="48"/>
          <w:highlight w:val="none"/>
        </w:rPr>
      </w:pPr>
    </w:p>
    <w:p w14:paraId="3ED385DF">
      <w:pPr>
        <w:shd w:val="clear"/>
        <w:spacing w:line="240" w:lineRule="auto"/>
        <w:ind w:firstLine="0" w:firstLineChars="0"/>
        <w:jc w:val="center"/>
        <w:outlineLvl w:val="0"/>
        <w:rPr>
          <w:b/>
          <w:bCs/>
          <w:color w:val="000000" w:themeColor="text1"/>
          <w:sz w:val="48"/>
          <w:szCs w:val="48"/>
          <w:highlight w:val="none"/>
        </w:rPr>
      </w:pPr>
    </w:p>
    <w:p w14:paraId="655B7EF2">
      <w:pPr>
        <w:shd w:val="clear"/>
        <w:spacing w:line="240" w:lineRule="auto"/>
        <w:ind w:firstLine="0" w:firstLineChars="0"/>
        <w:jc w:val="center"/>
        <w:outlineLvl w:val="0"/>
        <w:rPr>
          <w:b/>
          <w:bCs/>
          <w:color w:val="000000" w:themeColor="text1"/>
          <w:sz w:val="48"/>
          <w:szCs w:val="48"/>
          <w:highlight w:val="none"/>
        </w:rPr>
        <w:sectPr>
          <w:pgSz w:w="11905" w:h="16838"/>
          <w:pgMar w:top="1247" w:right="1247" w:bottom="1247" w:left="1247" w:header="720" w:footer="720" w:gutter="0"/>
          <w:pgBorders>
            <w:top w:val="none" w:sz="0" w:space="0"/>
            <w:left w:val="none" w:sz="0" w:space="0"/>
            <w:bottom w:val="none" w:sz="0" w:space="0"/>
            <w:right w:val="none" w:sz="0" w:space="0"/>
          </w:pgBorders>
          <w:pgNumType w:fmt="decimal"/>
          <w:cols w:space="0" w:num="1"/>
          <w:rtlGutter w:val="0"/>
          <w:docGrid w:type="lines" w:linePitch="326" w:charSpace="0"/>
        </w:sectPr>
      </w:pPr>
      <w:r>
        <w:rPr>
          <w:b/>
          <w:bCs/>
          <w:color w:val="000000" w:themeColor="text1"/>
          <w:sz w:val="48"/>
          <w:szCs w:val="48"/>
          <w:highlight w:val="none"/>
        </w:rPr>
        <w:t>第四章</w:t>
      </w:r>
      <w:r>
        <w:rPr>
          <w:rFonts w:hint="eastAsia"/>
          <w:b/>
          <w:bCs/>
          <w:color w:val="000000" w:themeColor="text1"/>
          <w:sz w:val="48"/>
          <w:szCs w:val="48"/>
          <w:highlight w:val="none"/>
        </w:rPr>
        <w:t xml:space="preserve"> </w:t>
      </w:r>
      <w:r>
        <w:rPr>
          <w:b/>
          <w:bCs/>
          <w:color w:val="000000" w:themeColor="text1"/>
          <w:sz w:val="48"/>
          <w:szCs w:val="48"/>
          <w:highlight w:val="none"/>
        </w:rPr>
        <w:t>合同条款及格式</w:t>
      </w:r>
      <w:bookmarkEnd w:id="131"/>
      <w:bookmarkEnd w:id="181"/>
      <w:bookmarkEnd w:id="182"/>
    </w:p>
    <w:p w14:paraId="08ECDDBA">
      <w:pPr>
        <w:spacing w:line="360" w:lineRule="auto"/>
        <w:ind w:firstLine="0" w:firstLineChars="0"/>
        <w:jc w:val="left"/>
        <w:rPr>
          <w:rFonts w:hint="default" w:ascii="宋体" w:hAnsi="宋体" w:eastAsia="宋体" w:cs="宋体"/>
          <w:b/>
          <w:color w:val="000000"/>
          <w:sz w:val="48"/>
          <w:szCs w:val="48"/>
          <w:highlight w:val="green"/>
          <w:lang w:val="en-US" w:eastAsia="zh-CN"/>
        </w:rPr>
      </w:pPr>
      <w:bookmarkStart w:id="183" w:name="_Toc12025631"/>
      <w:bookmarkStart w:id="184" w:name="_Toc10042"/>
      <w:bookmarkStart w:id="185" w:name="_Toc20204"/>
      <w:r>
        <w:rPr>
          <w:rFonts w:hint="eastAsia" w:ascii="宋体" w:hAnsi="宋体" w:cs="宋体"/>
          <w:b/>
          <w:sz w:val="24"/>
          <w:highlight w:val="none"/>
        </w:rPr>
        <w:t>合同编号：</w:t>
      </w:r>
      <w:r>
        <w:rPr>
          <w:rFonts w:hint="eastAsia" w:ascii="宋体" w:hAnsi="宋体" w:cs="宋体"/>
          <w:b/>
          <w:sz w:val="24"/>
          <w:highlight w:val="green"/>
          <w:lang w:val="en-US" w:eastAsia="zh-CN"/>
        </w:rPr>
        <w:t xml:space="preserve">      </w:t>
      </w:r>
    </w:p>
    <w:p w14:paraId="3DDEDB03">
      <w:pPr>
        <w:spacing w:line="500" w:lineRule="exact"/>
        <w:ind w:firstLine="979"/>
        <w:jc w:val="center"/>
        <w:rPr>
          <w:rFonts w:ascii="宋体" w:hAnsi="宋体" w:cs="宋体"/>
          <w:b/>
          <w:color w:val="000000"/>
          <w:sz w:val="48"/>
          <w:szCs w:val="48"/>
          <w:highlight w:val="none"/>
        </w:rPr>
      </w:pPr>
    </w:p>
    <w:p w14:paraId="7DA36C5E">
      <w:pPr>
        <w:spacing w:line="500" w:lineRule="exact"/>
        <w:ind w:firstLine="979"/>
        <w:jc w:val="center"/>
        <w:rPr>
          <w:rFonts w:ascii="宋体" w:hAnsi="宋体" w:cs="宋体"/>
          <w:b/>
          <w:color w:val="000000"/>
          <w:sz w:val="48"/>
          <w:szCs w:val="48"/>
          <w:highlight w:val="none"/>
        </w:rPr>
      </w:pPr>
    </w:p>
    <w:p w14:paraId="7093C071">
      <w:pPr>
        <w:spacing w:line="500" w:lineRule="exact"/>
        <w:ind w:firstLine="0" w:firstLineChars="0"/>
        <w:jc w:val="center"/>
        <w:rPr>
          <w:rFonts w:ascii="宋体" w:hAnsi="宋体" w:cs="宋体"/>
          <w:b/>
          <w:bCs/>
          <w:sz w:val="32"/>
          <w:szCs w:val="32"/>
          <w:highlight w:val="green"/>
        </w:rPr>
      </w:pPr>
      <w:r>
        <w:rPr>
          <w:rFonts w:hint="eastAsia" w:ascii="宋体" w:hAnsi="宋体" w:cs="宋体"/>
          <w:b/>
          <w:color w:val="000000"/>
          <w:sz w:val="48"/>
          <w:szCs w:val="48"/>
          <w:highlight w:val="green"/>
        </w:rPr>
        <w:t xml:space="preserve">物流集散道路工程EPC项目-道路工程劳务 </w:t>
      </w:r>
    </w:p>
    <w:p w14:paraId="00B9EB2C">
      <w:pPr>
        <w:pStyle w:val="18"/>
        <w:ind w:firstLine="420"/>
        <w:rPr>
          <w:rFonts w:ascii="宋体" w:hAnsi="宋体" w:cs="宋体"/>
          <w:highlight w:val="none"/>
        </w:rPr>
      </w:pPr>
    </w:p>
    <w:p w14:paraId="5D0E9756">
      <w:pPr>
        <w:pStyle w:val="18"/>
        <w:ind w:firstLine="420"/>
        <w:rPr>
          <w:rFonts w:ascii="宋体" w:hAnsi="宋体" w:cs="宋体"/>
          <w:highlight w:val="none"/>
        </w:rPr>
      </w:pPr>
    </w:p>
    <w:p w14:paraId="40C7F490">
      <w:pPr>
        <w:ind w:firstLine="420"/>
        <w:rPr>
          <w:rFonts w:ascii="宋体" w:hAnsi="宋体" w:cs="宋体"/>
          <w:highlight w:val="none"/>
        </w:rPr>
      </w:pPr>
    </w:p>
    <w:p w14:paraId="62FBFA6F">
      <w:pPr>
        <w:pStyle w:val="18"/>
        <w:ind w:firstLine="420"/>
        <w:rPr>
          <w:highlight w:val="none"/>
        </w:rPr>
      </w:pPr>
    </w:p>
    <w:p w14:paraId="45FA47FE">
      <w:pPr>
        <w:ind w:firstLine="420"/>
        <w:rPr>
          <w:highlight w:val="none"/>
        </w:rPr>
      </w:pPr>
    </w:p>
    <w:p w14:paraId="0BBF622C">
      <w:pPr>
        <w:ind w:firstLine="420"/>
        <w:rPr>
          <w:highlight w:val="none"/>
        </w:rPr>
      </w:pPr>
    </w:p>
    <w:p w14:paraId="09AB580C">
      <w:pPr>
        <w:spacing w:line="500" w:lineRule="exact"/>
        <w:ind w:firstLine="653"/>
        <w:jc w:val="center"/>
        <w:rPr>
          <w:rFonts w:ascii="宋体" w:hAnsi="宋体" w:cs="宋体"/>
          <w:b/>
          <w:bCs/>
          <w:sz w:val="32"/>
          <w:szCs w:val="32"/>
          <w:highlight w:val="none"/>
        </w:rPr>
      </w:pPr>
    </w:p>
    <w:p w14:paraId="29FAD0E0">
      <w:pPr>
        <w:spacing w:line="240" w:lineRule="auto"/>
        <w:ind w:firstLine="0" w:firstLineChars="0"/>
        <w:jc w:val="center"/>
        <w:rPr>
          <w:rFonts w:ascii="宋体" w:hAnsi="宋体" w:cs="宋体"/>
          <w:b/>
          <w:bCs/>
          <w:sz w:val="72"/>
          <w:szCs w:val="72"/>
          <w:highlight w:val="none"/>
        </w:rPr>
      </w:pPr>
      <w:r>
        <w:rPr>
          <w:rFonts w:hint="eastAsia" w:ascii="宋体" w:hAnsi="宋体" w:cs="宋体"/>
          <w:b/>
          <w:bCs/>
          <w:sz w:val="72"/>
          <w:szCs w:val="72"/>
          <w:highlight w:val="none"/>
        </w:rPr>
        <w:t>劳务分包合同</w:t>
      </w:r>
    </w:p>
    <w:p w14:paraId="64927641">
      <w:pPr>
        <w:spacing w:line="500" w:lineRule="exact"/>
        <w:ind w:firstLine="1468"/>
        <w:jc w:val="center"/>
        <w:rPr>
          <w:rFonts w:ascii="宋体" w:hAnsi="宋体" w:cs="宋体"/>
          <w:b/>
          <w:bCs/>
          <w:sz w:val="72"/>
          <w:szCs w:val="72"/>
          <w:highlight w:val="none"/>
        </w:rPr>
      </w:pPr>
    </w:p>
    <w:p w14:paraId="2782159A">
      <w:pPr>
        <w:pStyle w:val="18"/>
        <w:ind w:firstLine="420"/>
        <w:rPr>
          <w:rFonts w:ascii="宋体" w:hAnsi="宋体" w:cs="宋体"/>
          <w:highlight w:val="none"/>
        </w:rPr>
      </w:pPr>
    </w:p>
    <w:p w14:paraId="2A2D6016">
      <w:pPr>
        <w:ind w:firstLine="420"/>
        <w:rPr>
          <w:rFonts w:ascii="宋体" w:hAnsi="宋体" w:cs="宋体"/>
          <w:highlight w:val="none"/>
        </w:rPr>
      </w:pPr>
    </w:p>
    <w:p w14:paraId="6359C291">
      <w:pPr>
        <w:pStyle w:val="48"/>
        <w:rPr>
          <w:highlight w:val="none"/>
        </w:rPr>
      </w:pPr>
    </w:p>
    <w:p w14:paraId="3AE86E8A">
      <w:pPr>
        <w:pStyle w:val="18"/>
        <w:ind w:left="63" w:right="63" w:firstLine="653"/>
        <w:rPr>
          <w:rFonts w:ascii="宋体" w:hAnsi="宋体" w:cs="宋体"/>
          <w:b/>
          <w:bCs/>
          <w:sz w:val="32"/>
          <w:szCs w:val="32"/>
          <w:highlight w:val="none"/>
        </w:rPr>
      </w:pPr>
    </w:p>
    <w:p w14:paraId="0A32002C">
      <w:pPr>
        <w:pStyle w:val="18"/>
        <w:ind w:left="63" w:right="63" w:firstLine="653"/>
        <w:rPr>
          <w:rFonts w:ascii="宋体" w:hAnsi="宋体" w:cs="宋体"/>
          <w:b/>
          <w:bCs/>
          <w:sz w:val="32"/>
          <w:szCs w:val="32"/>
          <w:highlight w:val="none"/>
        </w:rPr>
      </w:pPr>
    </w:p>
    <w:p w14:paraId="4B825550">
      <w:pPr>
        <w:spacing w:line="360" w:lineRule="auto"/>
        <w:ind w:firstLine="480"/>
        <w:rPr>
          <w:rFonts w:ascii="宋体" w:hAnsi="宋体" w:cs="宋体"/>
          <w:color w:val="000000"/>
          <w:sz w:val="24"/>
          <w:highlight w:val="none"/>
        </w:rPr>
      </w:pPr>
    </w:p>
    <w:p w14:paraId="18E9756F">
      <w:pPr>
        <w:pStyle w:val="18"/>
        <w:ind w:firstLine="420"/>
        <w:rPr>
          <w:highlight w:val="none"/>
        </w:rPr>
      </w:pPr>
    </w:p>
    <w:p w14:paraId="247085E2">
      <w:pPr>
        <w:spacing w:line="360" w:lineRule="auto"/>
        <w:ind w:firstLine="1687" w:firstLineChars="600"/>
        <w:rPr>
          <w:rFonts w:ascii="宋体" w:hAnsi="宋体" w:cs="宋体"/>
          <w:b/>
          <w:color w:val="000000"/>
          <w:sz w:val="28"/>
          <w:szCs w:val="28"/>
          <w:highlight w:val="green"/>
          <w:u w:val="single"/>
        </w:rPr>
      </w:pPr>
      <w:r>
        <w:rPr>
          <w:rFonts w:hint="eastAsia" w:ascii="宋体" w:hAnsi="宋体" w:cs="宋体"/>
          <w:b/>
          <w:color w:val="000000"/>
          <w:sz w:val="28"/>
          <w:szCs w:val="28"/>
          <w:highlight w:val="green"/>
        </w:rPr>
        <w:t>甲方：</w:t>
      </w:r>
      <w:bookmarkStart w:id="186" w:name="甲方"/>
      <w:r>
        <w:rPr>
          <w:rFonts w:hint="eastAsia" w:ascii="宋体" w:hAnsi="宋体" w:cs="宋体"/>
          <w:b/>
          <w:color w:val="000000"/>
          <w:sz w:val="28"/>
          <w:szCs w:val="28"/>
          <w:highlight w:val="green"/>
          <w:u w:val="single"/>
        </w:rPr>
        <w:t xml:space="preserve">   连云港徐圩城建工程有限公司    </w:t>
      </w:r>
      <w:bookmarkEnd w:id="186"/>
    </w:p>
    <w:p w14:paraId="15846918">
      <w:pPr>
        <w:spacing w:line="360" w:lineRule="auto"/>
        <w:ind w:firstLine="1687" w:firstLineChars="600"/>
        <w:rPr>
          <w:rFonts w:ascii="宋体" w:hAnsi="宋体" w:cs="宋体"/>
          <w:b/>
          <w:color w:val="000000"/>
          <w:sz w:val="28"/>
          <w:szCs w:val="28"/>
          <w:highlight w:val="green"/>
          <w:u w:val="single"/>
        </w:rPr>
      </w:pPr>
      <w:r>
        <w:rPr>
          <w:rFonts w:hint="eastAsia" w:ascii="宋体" w:hAnsi="宋体" w:cs="宋体"/>
          <w:b/>
          <w:color w:val="000000"/>
          <w:sz w:val="28"/>
          <w:szCs w:val="28"/>
          <w:highlight w:val="green"/>
        </w:rPr>
        <w:t>乙方：</w:t>
      </w:r>
      <w:bookmarkStart w:id="187" w:name="乙方"/>
      <w:r>
        <w:rPr>
          <w:rFonts w:hint="eastAsia" w:ascii="宋体" w:hAnsi="宋体" w:cs="宋体"/>
          <w:b/>
          <w:color w:val="000000"/>
          <w:sz w:val="28"/>
          <w:szCs w:val="28"/>
          <w:highlight w:val="green"/>
          <w:u w:val="single"/>
        </w:rPr>
        <w:t xml:space="preserve">                                </w:t>
      </w:r>
      <w:bookmarkEnd w:id="187"/>
    </w:p>
    <w:p w14:paraId="76456358">
      <w:pPr>
        <w:spacing w:line="360" w:lineRule="auto"/>
        <w:ind w:firstLine="1687" w:firstLineChars="600"/>
        <w:rPr>
          <w:rFonts w:ascii="宋体" w:hAnsi="宋体" w:cs="宋体"/>
          <w:highlight w:val="green"/>
        </w:rPr>
      </w:pPr>
      <w:r>
        <w:rPr>
          <w:rFonts w:hint="eastAsia" w:ascii="宋体" w:hAnsi="宋体" w:cs="宋体"/>
          <w:b/>
          <w:color w:val="000000"/>
          <w:sz w:val="28"/>
          <w:szCs w:val="28"/>
          <w:highlight w:val="green"/>
        </w:rPr>
        <w:t>日期：</w:t>
      </w:r>
      <w:r>
        <w:rPr>
          <w:rFonts w:hint="eastAsia" w:ascii="宋体" w:hAnsi="宋体" w:cs="宋体"/>
          <w:b/>
          <w:color w:val="000000"/>
          <w:sz w:val="28"/>
          <w:szCs w:val="28"/>
          <w:highlight w:val="green"/>
          <w:u w:val="single"/>
        </w:rPr>
        <w:t xml:space="preserve">          年    月    日        </w:t>
      </w:r>
    </w:p>
    <w:p w14:paraId="69CFF500">
      <w:pPr>
        <w:spacing w:line="360" w:lineRule="auto"/>
        <w:ind w:firstLine="0" w:firstLineChars="0"/>
        <w:jc w:val="center"/>
        <w:rPr>
          <w:rFonts w:ascii="宋体" w:hAnsi="宋体" w:cs="宋体"/>
          <w:highlight w:val="none"/>
        </w:rPr>
      </w:pPr>
      <w:r>
        <w:rPr>
          <w:rFonts w:hint="eastAsia" w:ascii="宋体" w:hAnsi="宋体" w:cs="宋体"/>
          <w:highlight w:val="none"/>
        </w:rPr>
        <w:br w:type="page"/>
      </w:r>
      <w:r>
        <w:rPr>
          <w:rFonts w:hint="eastAsia" w:ascii="宋体" w:hAnsi="宋体" w:cs="宋体"/>
          <w:b/>
          <w:bCs/>
          <w:kern w:val="44"/>
          <w:sz w:val="32"/>
          <w:szCs w:val="44"/>
          <w:highlight w:val="none"/>
        </w:rPr>
        <w:t>物流集散道路工程EPC项目-道路工程劳务合同</w:t>
      </w:r>
    </w:p>
    <w:p w14:paraId="67B0A0DA">
      <w:pPr>
        <w:pStyle w:val="18"/>
        <w:spacing w:line="360" w:lineRule="auto"/>
        <w:ind w:firstLine="420"/>
        <w:rPr>
          <w:rFonts w:ascii="宋体" w:hAnsi="宋体" w:cs="宋体"/>
          <w:highlight w:val="none"/>
        </w:rPr>
      </w:pPr>
    </w:p>
    <w:p w14:paraId="2A67B5D3">
      <w:pPr>
        <w:spacing w:line="360" w:lineRule="auto"/>
        <w:ind w:firstLine="420"/>
        <w:rPr>
          <w:rFonts w:ascii="宋体" w:hAnsi="宋体" w:cs="宋体"/>
          <w:highlight w:val="green"/>
        </w:rPr>
      </w:pPr>
      <w:r>
        <w:rPr>
          <w:rFonts w:hint="eastAsia" w:ascii="宋体" w:hAnsi="宋体" w:cs="宋体"/>
          <w:highlight w:val="green"/>
        </w:rPr>
        <w:t>甲方：</w:t>
      </w:r>
      <w:bookmarkStart w:id="188" w:name="甲方1"/>
      <w:r>
        <w:rPr>
          <w:rFonts w:hint="eastAsia" w:ascii="宋体" w:hAnsi="宋体" w:cs="宋体"/>
          <w:b/>
          <w:bCs/>
          <w:szCs w:val="22"/>
          <w:highlight w:val="green"/>
          <w:u w:val="single"/>
        </w:rPr>
        <w:t xml:space="preserve">   连云港徐圩城建工程有限公司</w:t>
      </w:r>
      <w:r>
        <w:rPr>
          <w:rFonts w:hint="eastAsia" w:ascii="宋体" w:hAnsi="宋体" w:cs="宋体"/>
          <w:szCs w:val="22"/>
          <w:highlight w:val="green"/>
          <w:u w:val="single"/>
        </w:rPr>
        <w:t xml:space="preserve">    </w:t>
      </w:r>
      <w:bookmarkEnd w:id="188"/>
    </w:p>
    <w:p w14:paraId="20A0436B">
      <w:pPr>
        <w:spacing w:line="360" w:lineRule="auto"/>
        <w:ind w:firstLine="420"/>
        <w:rPr>
          <w:rFonts w:ascii="宋体" w:hAnsi="宋体" w:cs="宋体"/>
          <w:highlight w:val="green"/>
          <w:u w:val="single"/>
        </w:rPr>
      </w:pPr>
      <w:r>
        <w:rPr>
          <w:rFonts w:hint="eastAsia" w:ascii="宋体" w:hAnsi="宋体" w:cs="宋体"/>
          <w:highlight w:val="green"/>
        </w:rPr>
        <w:t>乙方：</w:t>
      </w:r>
      <w:bookmarkStart w:id="189" w:name="乙方1"/>
      <w:r>
        <w:rPr>
          <w:rFonts w:hint="eastAsia" w:ascii="宋体" w:hAnsi="宋体" w:cs="宋体"/>
          <w:b/>
          <w:bCs/>
          <w:szCs w:val="22"/>
          <w:highlight w:val="green"/>
          <w:u w:val="single"/>
        </w:rPr>
        <w:t xml:space="preserve">                              </w:t>
      </w:r>
      <w:r>
        <w:rPr>
          <w:rFonts w:hint="eastAsia" w:ascii="宋体" w:hAnsi="宋体" w:cs="宋体"/>
          <w:highlight w:val="green"/>
          <w:u w:val="single"/>
        </w:rPr>
        <w:t xml:space="preserve"> </w:t>
      </w:r>
      <w:bookmarkEnd w:id="189"/>
    </w:p>
    <w:p w14:paraId="43E1377D">
      <w:pPr>
        <w:spacing w:line="360" w:lineRule="auto"/>
        <w:ind w:firstLine="420"/>
        <w:rPr>
          <w:rFonts w:ascii="宋体" w:hAnsi="宋体" w:cs="宋体"/>
          <w:highlight w:val="none"/>
          <w:u w:val="single"/>
        </w:rPr>
      </w:pPr>
    </w:p>
    <w:p w14:paraId="27E9ABA7">
      <w:pPr>
        <w:spacing w:line="360" w:lineRule="auto"/>
        <w:ind w:firstLine="420"/>
        <w:rPr>
          <w:rFonts w:ascii="宋体" w:hAnsi="宋体" w:cs="宋体"/>
          <w:highlight w:val="none"/>
        </w:rPr>
      </w:pPr>
      <w:r>
        <w:rPr>
          <w:rFonts w:hint="eastAsia" w:ascii="宋体" w:hAnsi="宋体" w:cs="宋体"/>
          <w:highlight w:val="none"/>
        </w:rPr>
        <w:t>依照《中华人民共和国民法典》、《中华人民共和国建筑法》及其它有关法律、行政法规，遵循平等、自愿、公平和诚实信用的原则，鉴于已经签订施工总承包合同（以下称为“总包合同”），双方就劳务分包事项协商达成一致，订立本合同。</w:t>
      </w:r>
    </w:p>
    <w:p w14:paraId="0D20AB0D">
      <w:pPr>
        <w:pStyle w:val="4"/>
        <w:spacing w:before="0" w:after="0" w:line="360" w:lineRule="auto"/>
        <w:ind w:firstLine="653"/>
        <w:rPr>
          <w:rFonts w:ascii="宋体" w:hAnsi="宋体" w:cs="宋体"/>
          <w:highlight w:val="none"/>
        </w:rPr>
      </w:pPr>
      <w:r>
        <w:rPr>
          <w:rFonts w:hint="eastAsia" w:ascii="宋体" w:hAnsi="宋体" w:cs="宋体"/>
          <w:highlight w:val="none"/>
        </w:rPr>
        <w:t>1、劳务分包工作对象及提供劳务内容</w:t>
      </w:r>
    </w:p>
    <w:p w14:paraId="75C79D3D">
      <w:pPr>
        <w:spacing w:line="360" w:lineRule="auto"/>
        <w:ind w:firstLine="420"/>
        <w:rPr>
          <w:rFonts w:ascii="宋体" w:hAnsi="宋体" w:cs="宋体"/>
          <w:highlight w:val="green"/>
        </w:rPr>
      </w:pPr>
      <w:r>
        <w:rPr>
          <w:rFonts w:hint="eastAsia" w:ascii="宋体" w:hAnsi="宋体" w:cs="宋体"/>
          <w:highlight w:val="green"/>
        </w:rPr>
        <w:t>工程名称：</w:t>
      </w:r>
      <w:bookmarkStart w:id="190" w:name="工程名称"/>
      <w:r>
        <w:rPr>
          <w:rFonts w:hint="eastAsia" w:ascii="宋体" w:hAnsi="宋体" w:cs="宋体"/>
          <w:b/>
          <w:bCs/>
          <w:highlight w:val="green"/>
          <w:u w:val="single"/>
        </w:rPr>
        <w:t xml:space="preserve">  物流集散道路工程EPC项目-道路工程劳务  </w:t>
      </w:r>
      <w:bookmarkEnd w:id="190"/>
      <w:r>
        <w:rPr>
          <w:rFonts w:hint="eastAsia" w:ascii="宋体" w:hAnsi="宋体" w:cs="宋体"/>
          <w:szCs w:val="22"/>
          <w:highlight w:val="green"/>
        </w:rPr>
        <w:t xml:space="preserve">； </w:t>
      </w:r>
    </w:p>
    <w:p w14:paraId="6BDD8F3D">
      <w:pPr>
        <w:spacing w:line="360" w:lineRule="auto"/>
        <w:ind w:firstLine="420"/>
        <w:rPr>
          <w:rFonts w:ascii="宋体" w:hAnsi="宋体" w:cs="宋体"/>
          <w:highlight w:val="green"/>
        </w:rPr>
      </w:pPr>
      <w:r>
        <w:rPr>
          <w:rFonts w:hint="eastAsia" w:ascii="宋体" w:hAnsi="宋体" w:cs="宋体"/>
          <w:highlight w:val="green"/>
        </w:rPr>
        <w:t>工程地点：</w:t>
      </w:r>
      <w:bookmarkStart w:id="191" w:name="工程地点"/>
      <w:r>
        <w:rPr>
          <w:rFonts w:hint="eastAsia" w:ascii="宋体" w:hAnsi="宋体" w:cs="宋体"/>
          <w:b/>
          <w:bCs/>
          <w:highlight w:val="green"/>
          <w:u w:val="single"/>
        </w:rPr>
        <w:t xml:space="preserve">  连云港徐圩新区  </w:t>
      </w:r>
      <w:bookmarkEnd w:id="191"/>
      <w:r>
        <w:rPr>
          <w:rFonts w:hint="eastAsia" w:ascii="宋体" w:hAnsi="宋体" w:cs="宋体"/>
          <w:highlight w:val="green"/>
        </w:rPr>
        <w:t>；</w:t>
      </w:r>
    </w:p>
    <w:p w14:paraId="4284B449">
      <w:pPr>
        <w:spacing w:line="360" w:lineRule="auto"/>
        <w:ind w:firstLine="420"/>
        <w:rPr>
          <w:rFonts w:ascii="宋体" w:hAnsi="宋体" w:cs="宋体"/>
          <w:highlight w:val="yellow"/>
        </w:rPr>
      </w:pPr>
      <w:r>
        <w:rPr>
          <w:rFonts w:hint="eastAsia" w:ascii="宋体" w:hAnsi="宋体" w:cs="宋体"/>
          <w:highlight w:val="yellow"/>
        </w:rPr>
        <w:t>分包范围：</w:t>
      </w:r>
      <w:r>
        <w:rPr>
          <w:rFonts w:hint="eastAsia" w:ascii="宋体" w:hAnsi="宋体" w:cs="宋体"/>
          <w:b/>
          <w:bCs/>
          <w:highlight w:val="yellow"/>
          <w:u w:val="single"/>
        </w:rPr>
        <w:t xml:space="preserve"> 物流集散道路工程EPC项目-道路工程劳务，包括道路工程劳务、排水工程劳务、消防工程等劳务，具体详见报价清单及图纸</w:t>
      </w:r>
      <w:r>
        <w:rPr>
          <w:rFonts w:hint="eastAsia" w:ascii="宋体" w:hAnsi="宋体" w:cs="宋体"/>
          <w:highlight w:val="yellow"/>
        </w:rPr>
        <w:t>；</w:t>
      </w:r>
    </w:p>
    <w:p w14:paraId="537D0C5F">
      <w:pPr>
        <w:spacing w:line="360" w:lineRule="auto"/>
        <w:ind w:firstLine="420"/>
        <w:rPr>
          <w:rFonts w:ascii="宋体" w:hAnsi="宋体" w:cs="宋体"/>
          <w:szCs w:val="22"/>
          <w:highlight w:val="none"/>
          <w:u w:val="single"/>
        </w:rPr>
      </w:pPr>
      <w:r>
        <w:rPr>
          <w:rFonts w:hint="eastAsia" w:ascii="宋体" w:hAnsi="宋体" w:cs="宋体"/>
          <w:highlight w:val="none"/>
        </w:rPr>
        <w:t>提供分包劳务内容：</w:t>
      </w:r>
      <w:r>
        <w:rPr>
          <w:rFonts w:hint="eastAsia" w:ascii="宋体" w:hAnsi="宋体" w:cs="宋体"/>
          <w:b/>
          <w:bCs/>
          <w:highlight w:val="none"/>
          <w:u w:val="single"/>
          <w:lang w:val="en-US" w:eastAsia="zh-CN"/>
        </w:rPr>
        <w:t>清单中未注明甲供的和为完成工程内容所需要的人工、工器具、机械、辅材及耗材等皆为乙供，乙供的辅材及耗材应符合国标及图纸要求。</w:t>
      </w:r>
      <w:r>
        <w:rPr>
          <w:rFonts w:hint="eastAsia" w:ascii="宋体" w:hAnsi="宋体" w:cs="宋体"/>
          <w:szCs w:val="22"/>
          <w:highlight w:val="none"/>
          <w:u w:val="single"/>
        </w:rPr>
        <w:t>；</w:t>
      </w:r>
    </w:p>
    <w:p w14:paraId="0663A592">
      <w:pPr>
        <w:pStyle w:val="4"/>
        <w:numPr>
          <w:ilvl w:val="0"/>
          <w:numId w:val="5"/>
        </w:numPr>
        <w:spacing w:before="0" w:after="0" w:line="360" w:lineRule="auto"/>
        <w:ind w:firstLine="653"/>
        <w:rPr>
          <w:rFonts w:ascii="宋体" w:hAnsi="宋体" w:cs="宋体"/>
          <w:highlight w:val="none"/>
        </w:rPr>
      </w:pPr>
      <w:r>
        <w:rPr>
          <w:rFonts w:hint="eastAsia" w:ascii="宋体" w:hAnsi="宋体" w:cs="宋体"/>
          <w:highlight w:val="none"/>
        </w:rPr>
        <w:t>签约合同价与合同价格形式</w:t>
      </w:r>
    </w:p>
    <w:p w14:paraId="09C66E77">
      <w:pPr>
        <w:spacing w:line="360" w:lineRule="auto"/>
        <w:ind w:firstLine="420"/>
        <w:rPr>
          <w:rFonts w:ascii="宋体" w:hAnsi="宋体" w:cs="宋体"/>
          <w:highlight w:val="none"/>
        </w:rPr>
      </w:pPr>
      <w:r>
        <w:rPr>
          <w:rFonts w:hint="eastAsia" w:ascii="宋体" w:hAnsi="宋体" w:cs="宋体"/>
          <w:highlight w:val="none"/>
        </w:rPr>
        <w:t>（1）</w:t>
      </w:r>
      <w:r>
        <w:rPr>
          <w:rFonts w:hint="eastAsia" w:cs="宋体"/>
          <w:highlight w:val="none"/>
        </w:rPr>
        <w:t>签约合同价为：</w:t>
      </w:r>
      <w:bookmarkStart w:id="192" w:name="签约合同价"/>
      <w:r>
        <w:rPr>
          <w:rFonts w:hint="eastAsia" w:cs="宋体"/>
          <w:highlight w:val="red"/>
        </w:rPr>
        <w:t>￥</w:t>
      </w:r>
      <w:r>
        <w:rPr>
          <w:rFonts w:hint="eastAsia" w:cs="宋体"/>
          <w:highlight w:val="red"/>
          <w:u w:val="single"/>
        </w:rPr>
        <w:t xml:space="preserve">        </w:t>
      </w:r>
      <w:r>
        <w:rPr>
          <w:rFonts w:hint="eastAsia" w:cs="宋体"/>
          <w:highlight w:val="red"/>
        </w:rPr>
        <w:t>元（大写：</w:t>
      </w:r>
      <w:r>
        <w:rPr>
          <w:rFonts w:hint="eastAsia" w:cs="宋体"/>
          <w:highlight w:val="red"/>
          <w:u w:val="single"/>
        </w:rPr>
        <w:t xml:space="preserve">      </w:t>
      </w:r>
      <w:r>
        <w:rPr>
          <w:rFonts w:hint="eastAsia" w:cs="宋体"/>
          <w:highlight w:val="red"/>
        </w:rPr>
        <w:t>），开具增值税专用发票，税率：</w:t>
      </w:r>
      <w:r>
        <w:rPr>
          <w:rFonts w:hint="eastAsia" w:cs="宋体"/>
          <w:highlight w:val="red"/>
          <w:u w:val="single"/>
        </w:rPr>
        <w:t xml:space="preserve"> </w:t>
      </w:r>
      <w:r>
        <w:rPr>
          <w:rFonts w:hint="eastAsia" w:cs="宋体"/>
          <w:highlight w:val="red"/>
          <w:u w:val="single"/>
          <w:lang w:val="en-US" w:eastAsia="zh-CN"/>
        </w:rPr>
        <w:t>9</w:t>
      </w:r>
      <w:r>
        <w:rPr>
          <w:rFonts w:hint="eastAsia" w:cs="宋体"/>
          <w:highlight w:val="red"/>
          <w:u w:val="single"/>
        </w:rPr>
        <w:t xml:space="preserve">  </w:t>
      </w:r>
      <w:r>
        <w:rPr>
          <w:rFonts w:hint="eastAsia" w:cs="宋体"/>
          <w:highlight w:val="red"/>
        </w:rPr>
        <w:t>%，</w:t>
      </w:r>
      <w:bookmarkEnd w:id="192"/>
      <w:r>
        <w:rPr>
          <w:rFonts w:hint="eastAsia" w:cs="宋体"/>
          <w:highlight w:val="none"/>
        </w:rPr>
        <w:t>（支付方式：现金或银行承兑汇票，本合同履行过程中，因国家税制改革、纳税人性质变化等引发税率变化的，应适用调整后法定税率，合同原约定的不含税价不变）</w:t>
      </w:r>
    </w:p>
    <w:p w14:paraId="7AA68AFC">
      <w:pPr>
        <w:spacing w:line="360" w:lineRule="auto"/>
        <w:ind w:firstLine="420"/>
        <w:rPr>
          <w:rFonts w:ascii="宋体" w:hAnsi="宋体" w:cs="宋体"/>
          <w:highlight w:val="yellow"/>
        </w:rPr>
      </w:pPr>
      <w:r>
        <w:rPr>
          <w:rFonts w:hint="eastAsia" w:ascii="宋体" w:hAnsi="宋体" w:cs="宋体"/>
          <w:highlight w:val="yellow"/>
        </w:rPr>
        <w:t>（2）合同价格形式：</w:t>
      </w:r>
      <w:r>
        <w:rPr>
          <w:rFonts w:hint="eastAsia" w:ascii="宋体" w:hAnsi="宋体" w:cs="宋体"/>
          <w:color w:val="000000" w:themeColor="text1"/>
          <w:highlight w:val="yellow"/>
          <w:u w:val="single"/>
        </w:rPr>
        <w:t xml:space="preserve">   全费用固定单价合同    </w:t>
      </w:r>
      <w:r>
        <w:rPr>
          <w:rFonts w:hint="eastAsia" w:ascii="宋体" w:hAnsi="宋体" w:cs="宋体"/>
          <w:highlight w:val="yellow"/>
        </w:rPr>
        <w:t>。</w:t>
      </w:r>
    </w:p>
    <w:p w14:paraId="115A0613">
      <w:pPr>
        <w:pStyle w:val="4"/>
        <w:numPr>
          <w:ilvl w:val="0"/>
          <w:numId w:val="5"/>
        </w:numPr>
        <w:spacing w:before="0" w:after="0" w:line="360" w:lineRule="auto"/>
        <w:ind w:firstLine="653"/>
        <w:rPr>
          <w:rFonts w:ascii="宋体" w:hAnsi="宋体" w:cs="宋体"/>
          <w:highlight w:val="none"/>
        </w:rPr>
      </w:pPr>
      <w:r>
        <w:rPr>
          <w:rFonts w:hint="eastAsia" w:ascii="宋体" w:hAnsi="宋体" w:cs="宋体"/>
          <w:highlight w:val="none"/>
        </w:rPr>
        <w:t>分包工作期限</w:t>
      </w:r>
    </w:p>
    <w:p w14:paraId="37E013C2">
      <w:pPr>
        <w:spacing w:line="360" w:lineRule="auto"/>
        <w:ind w:firstLine="420"/>
        <w:rPr>
          <w:rFonts w:cs="宋体"/>
          <w:highlight w:val="yellow"/>
        </w:rPr>
      </w:pPr>
      <w:r>
        <w:rPr>
          <w:rFonts w:hint="eastAsia" w:cs="宋体"/>
          <w:highlight w:val="yellow"/>
        </w:rPr>
        <w:t>计划开始日期：</w:t>
      </w:r>
      <w:bookmarkStart w:id="193" w:name="计划开始日期"/>
      <w:r>
        <w:rPr>
          <w:rFonts w:hint="eastAsia" w:cs="宋体"/>
          <w:highlight w:val="yellow"/>
          <w:u w:val="single"/>
        </w:rPr>
        <w:t xml:space="preserve">      </w:t>
      </w:r>
      <w:r>
        <w:rPr>
          <w:rFonts w:hint="eastAsia" w:cs="宋体"/>
          <w:highlight w:val="yellow"/>
        </w:rPr>
        <w:t>年</w:t>
      </w:r>
      <w:r>
        <w:rPr>
          <w:rFonts w:hint="eastAsia" w:cs="宋体"/>
          <w:highlight w:val="yellow"/>
          <w:u w:val="single"/>
        </w:rPr>
        <w:t xml:space="preserve">      </w:t>
      </w:r>
      <w:r>
        <w:rPr>
          <w:rFonts w:hint="eastAsia" w:cs="宋体"/>
          <w:highlight w:val="yellow"/>
        </w:rPr>
        <w:t>月</w:t>
      </w:r>
      <w:r>
        <w:rPr>
          <w:rFonts w:hint="eastAsia" w:cs="宋体"/>
          <w:highlight w:val="yellow"/>
          <w:u w:val="single"/>
        </w:rPr>
        <w:t xml:space="preserve">      </w:t>
      </w:r>
      <w:r>
        <w:rPr>
          <w:rFonts w:hint="eastAsia" w:cs="宋体"/>
          <w:highlight w:val="yellow"/>
        </w:rPr>
        <w:t>日</w:t>
      </w:r>
      <w:bookmarkEnd w:id="193"/>
    </w:p>
    <w:p w14:paraId="42137E13">
      <w:pPr>
        <w:spacing w:line="360" w:lineRule="auto"/>
        <w:ind w:firstLine="420"/>
        <w:rPr>
          <w:rFonts w:cs="宋体"/>
          <w:highlight w:val="yellow"/>
        </w:rPr>
      </w:pPr>
      <w:r>
        <w:rPr>
          <w:rFonts w:hint="eastAsia" w:cs="宋体"/>
          <w:highlight w:val="yellow"/>
        </w:rPr>
        <w:t>计划完工日期：</w:t>
      </w:r>
      <w:bookmarkStart w:id="194" w:name="计划完工日期"/>
      <w:r>
        <w:rPr>
          <w:rFonts w:hint="eastAsia" w:cs="宋体"/>
          <w:highlight w:val="yellow"/>
          <w:u w:val="single"/>
        </w:rPr>
        <w:t xml:space="preserve">      </w:t>
      </w:r>
      <w:r>
        <w:rPr>
          <w:rFonts w:hint="eastAsia" w:cs="宋体"/>
          <w:highlight w:val="yellow"/>
        </w:rPr>
        <w:t>年</w:t>
      </w:r>
      <w:r>
        <w:rPr>
          <w:rFonts w:hint="eastAsia" w:cs="宋体"/>
          <w:highlight w:val="yellow"/>
          <w:u w:val="single"/>
        </w:rPr>
        <w:t xml:space="preserve">      </w:t>
      </w:r>
      <w:r>
        <w:rPr>
          <w:rFonts w:hint="eastAsia" w:cs="宋体"/>
          <w:highlight w:val="yellow"/>
        </w:rPr>
        <w:t>月</w:t>
      </w:r>
      <w:r>
        <w:rPr>
          <w:rFonts w:hint="eastAsia" w:cs="宋体"/>
          <w:highlight w:val="yellow"/>
          <w:u w:val="single"/>
        </w:rPr>
        <w:t xml:space="preserve">      </w:t>
      </w:r>
      <w:r>
        <w:rPr>
          <w:rFonts w:hint="eastAsia" w:cs="宋体"/>
          <w:highlight w:val="yellow"/>
        </w:rPr>
        <w:t>日</w:t>
      </w:r>
      <w:bookmarkEnd w:id="194"/>
    </w:p>
    <w:p w14:paraId="46816890">
      <w:pPr>
        <w:spacing w:line="360" w:lineRule="auto"/>
        <w:ind w:firstLine="420"/>
        <w:rPr>
          <w:rFonts w:cs="宋体"/>
          <w:highlight w:val="none"/>
        </w:rPr>
      </w:pPr>
      <w:r>
        <w:rPr>
          <w:rFonts w:hint="eastAsia" w:cs="宋体"/>
          <w:highlight w:val="yellow"/>
        </w:rPr>
        <w:t>作业总日历天数为：</w:t>
      </w:r>
      <w:bookmarkStart w:id="195" w:name="总天数"/>
      <w:r>
        <w:rPr>
          <w:rFonts w:hint="eastAsia" w:cs="宋体"/>
          <w:highlight w:val="yellow"/>
          <w:u w:val="single"/>
        </w:rPr>
        <w:t xml:space="preserve">   </w:t>
      </w:r>
      <w:r>
        <w:rPr>
          <w:rFonts w:hint="eastAsia" w:cs="宋体"/>
          <w:highlight w:val="yellow"/>
          <w:u w:val="single"/>
          <w:lang w:val="en-US" w:eastAsia="zh-CN"/>
        </w:rPr>
        <w:t>120</w:t>
      </w:r>
      <w:r>
        <w:rPr>
          <w:rFonts w:hint="eastAsia" w:cs="宋体"/>
          <w:highlight w:val="yellow"/>
          <w:u w:val="single"/>
        </w:rPr>
        <w:t xml:space="preserve">   </w:t>
      </w:r>
      <w:bookmarkEnd w:id="195"/>
      <w:r>
        <w:rPr>
          <w:rFonts w:hint="eastAsia" w:cs="宋体"/>
          <w:highlight w:val="yellow"/>
        </w:rPr>
        <w:t>日历天</w:t>
      </w:r>
      <w:r>
        <w:rPr>
          <w:rFonts w:hint="eastAsia" w:cs="宋体"/>
          <w:highlight w:val="none"/>
        </w:rPr>
        <w:t>（开始时间自</w:t>
      </w:r>
      <w:r>
        <w:rPr>
          <w:rFonts w:hint="eastAsia" w:cs="宋体"/>
          <w:highlight w:val="yellow"/>
        </w:rPr>
        <w:t>合同签订</w:t>
      </w:r>
      <w:r>
        <w:rPr>
          <w:rFonts w:hint="eastAsia" w:cs="宋体"/>
          <w:highlight w:val="none"/>
        </w:rPr>
        <w:t>之日起计算。作业总日历天数与根据前述</w:t>
      </w:r>
      <w:r>
        <w:rPr>
          <w:rFonts w:hint="eastAsia" w:cs="宋体"/>
          <w:highlight w:val="yellow"/>
        </w:rPr>
        <w:t>计划开始、完工日期</w:t>
      </w:r>
      <w:r>
        <w:rPr>
          <w:rFonts w:hint="eastAsia" w:cs="宋体"/>
          <w:highlight w:val="none"/>
        </w:rPr>
        <w:t>计算的天数不一致的，以作业总日历天数为准。</w:t>
      </w:r>
    </w:p>
    <w:p w14:paraId="2C6CCE87">
      <w:pPr>
        <w:spacing w:line="360" w:lineRule="auto"/>
        <w:ind w:firstLine="420"/>
        <w:rPr>
          <w:rFonts w:ascii="宋体" w:hAnsi="宋体" w:cs="宋体"/>
          <w:highlight w:val="none"/>
        </w:rPr>
      </w:pPr>
      <w:bookmarkStart w:id="196" w:name="工作期限1"/>
      <w:r>
        <w:rPr>
          <w:rFonts w:hint="eastAsia" w:ascii="宋体" w:hAnsi="宋体" w:cs="宋体"/>
          <w:highlight w:val="none"/>
        </w:rPr>
        <w:sym w:font="Wingdings 2" w:char="00A3"/>
      </w:r>
      <w:bookmarkEnd w:id="196"/>
      <w:r>
        <w:rPr>
          <w:rFonts w:hint="eastAsia" w:ascii="宋体" w:hAnsi="宋体" w:cs="宋体"/>
          <w:highlight w:val="none"/>
        </w:rPr>
        <w:t>（选填）如果接到承包人书面通知3天内未进场的，承包人有权解除合同。</w:t>
      </w:r>
    </w:p>
    <w:p w14:paraId="12725191">
      <w:pPr>
        <w:pStyle w:val="4"/>
        <w:spacing w:before="0" w:after="0" w:line="360" w:lineRule="auto"/>
        <w:ind w:firstLine="653"/>
        <w:rPr>
          <w:rFonts w:ascii="宋体" w:hAnsi="宋体" w:cs="宋体"/>
          <w:highlight w:val="none"/>
        </w:rPr>
      </w:pPr>
      <w:r>
        <w:rPr>
          <w:rFonts w:hint="eastAsia" w:ascii="宋体" w:hAnsi="宋体" w:cs="宋体"/>
          <w:highlight w:val="none"/>
        </w:rPr>
        <w:t>4、质量标准</w:t>
      </w:r>
    </w:p>
    <w:p w14:paraId="71B867DF">
      <w:pPr>
        <w:spacing w:line="360" w:lineRule="auto"/>
        <w:ind w:firstLine="420"/>
        <w:rPr>
          <w:rFonts w:ascii="宋体" w:hAnsi="宋体" w:cs="宋体"/>
          <w:highlight w:val="none"/>
        </w:rPr>
      </w:pPr>
      <w:r>
        <w:rPr>
          <w:rFonts w:hint="eastAsia" w:ascii="宋体" w:hAnsi="宋体" w:cs="宋体"/>
          <w:highlight w:val="none"/>
        </w:rPr>
        <w:t>工程质量：</w:t>
      </w:r>
    </w:p>
    <w:p w14:paraId="3DA6A356">
      <w:pPr>
        <w:spacing w:line="360" w:lineRule="auto"/>
        <w:ind w:firstLine="420"/>
        <w:rPr>
          <w:rFonts w:ascii="宋体" w:hAnsi="宋体" w:cs="宋体"/>
          <w:highlight w:val="green"/>
        </w:rPr>
      </w:pPr>
      <w:bookmarkStart w:id="197" w:name="质量标准1"/>
      <w:r>
        <w:rPr>
          <w:rFonts w:hint="eastAsia" w:ascii="宋体" w:hAnsi="宋体" w:cs="宋体"/>
          <w:highlight w:val="green"/>
        </w:rPr>
        <w:sym w:font="Wingdings 2" w:char="00A3"/>
      </w:r>
      <w:bookmarkEnd w:id="197"/>
      <w:r>
        <w:rPr>
          <w:rFonts w:hint="eastAsia" w:ascii="宋体" w:hAnsi="宋体" w:cs="宋体"/>
          <w:highlight w:val="green"/>
        </w:rPr>
        <w:t>按总包合同有关质量的约定、国家现行的《建筑安装工程施工及验收规范》和《建筑安装工程质量评定标准》，本工作必须达到质量评定</w:t>
      </w:r>
      <w:r>
        <w:rPr>
          <w:rFonts w:hint="eastAsia" w:ascii="宋体" w:hAnsi="宋体" w:cs="宋体"/>
          <w:b/>
          <w:bCs/>
          <w:highlight w:val="green"/>
          <w:u w:val="single"/>
        </w:rPr>
        <w:t xml:space="preserve">  合格  </w:t>
      </w:r>
      <w:r>
        <w:rPr>
          <w:rFonts w:hint="eastAsia" w:ascii="宋体" w:hAnsi="宋体" w:cs="宋体"/>
          <w:highlight w:val="green"/>
        </w:rPr>
        <w:t>等级。</w:t>
      </w:r>
    </w:p>
    <w:p w14:paraId="63FCBFAA">
      <w:pPr>
        <w:spacing w:line="360" w:lineRule="auto"/>
        <w:ind w:firstLine="420"/>
        <w:rPr>
          <w:rFonts w:ascii="宋体" w:hAnsi="宋体" w:cs="宋体"/>
          <w:highlight w:val="green"/>
        </w:rPr>
      </w:pPr>
      <w:r>
        <w:rPr>
          <w:rFonts w:hint="eastAsia" w:ascii="宋体" w:hAnsi="宋体" w:cs="宋体"/>
          <w:highlight w:val="green"/>
        </w:rPr>
        <w:sym w:font="Wingdings 2" w:char="0052"/>
      </w:r>
      <w:r>
        <w:rPr>
          <w:rFonts w:hint="eastAsia" w:ascii="宋体" w:hAnsi="宋体" w:cs="宋体"/>
          <w:highlight w:val="green"/>
        </w:rPr>
        <w:t>按甲方与工程建设方合同有关质量的约定、采购人主管部门现行的相关规范，本工作必须达到质量评定</w:t>
      </w:r>
      <w:r>
        <w:rPr>
          <w:rFonts w:hint="eastAsia" w:ascii="宋体" w:hAnsi="宋体" w:cs="宋体"/>
          <w:b/>
          <w:bCs/>
          <w:highlight w:val="green"/>
          <w:u w:val="single"/>
        </w:rPr>
        <w:t xml:space="preserve">  合格  </w:t>
      </w:r>
      <w:r>
        <w:rPr>
          <w:rFonts w:hint="eastAsia" w:ascii="宋体" w:hAnsi="宋体" w:cs="宋体"/>
          <w:highlight w:val="green"/>
        </w:rPr>
        <w:t>标准。</w:t>
      </w:r>
    </w:p>
    <w:p w14:paraId="5F56FB7A">
      <w:pPr>
        <w:pStyle w:val="396"/>
        <w:ind w:firstLine="480"/>
        <w:rPr>
          <w:rFonts w:eastAsia="宋体" w:cs="宋体"/>
          <w:sz w:val="21"/>
          <w:szCs w:val="21"/>
          <w:highlight w:val="green"/>
        </w:rPr>
      </w:pPr>
      <w:bookmarkStart w:id="198" w:name="质量标准3"/>
      <w:r>
        <w:rPr>
          <w:rFonts w:hint="eastAsia" w:ascii="宋体" w:hAnsi="宋体" w:eastAsia="宋体" w:cs="宋体"/>
          <w:kern w:val="2"/>
          <w:sz w:val="21"/>
          <w:szCs w:val="24"/>
          <w:highlight w:val="green"/>
          <w:lang w:val="en-US" w:eastAsia="zh-CN" w:bidi="ar-SA"/>
        </w:rPr>
        <w:sym w:font="Wingdings 2" w:char="00A3"/>
      </w:r>
      <w:bookmarkEnd w:id="198"/>
      <w:r>
        <w:rPr>
          <w:rFonts w:hint="eastAsia" w:ascii="宋体" w:hAnsi="宋体" w:eastAsia="宋体" w:cs="宋体"/>
          <w:kern w:val="2"/>
          <w:sz w:val="21"/>
          <w:szCs w:val="24"/>
          <w:highlight w:val="green"/>
          <w:lang w:val="en-US" w:eastAsia="zh-CN" w:bidi="ar-SA"/>
        </w:rPr>
        <w:t>工程质量：按总包合同有关质量的约定</w:t>
      </w:r>
      <w:r>
        <w:rPr>
          <w:rFonts w:hint="eastAsia" w:eastAsia="宋体" w:cs="宋体"/>
          <w:sz w:val="21"/>
          <w:szCs w:val="21"/>
          <w:highlight w:val="green"/>
        </w:rPr>
        <w:t>、国家现行的《建筑安装工程施工及验收规范》和《建筑安装工程质量评定标准》，本工作必须达到施工质量合格率</w:t>
      </w:r>
      <w:r>
        <w:rPr>
          <w:rFonts w:hint="eastAsia" w:eastAsia="宋体" w:cs="宋体"/>
          <w:sz w:val="21"/>
          <w:szCs w:val="21"/>
          <w:highlight w:val="green"/>
          <w:u w:val="single"/>
        </w:rPr>
        <w:t xml:space="preserve"> </w:t>
      </w:r>
      <w:r>
        <w:rPr>
          <w:rFonts w:hint="eastAsia" w:eastAsia="宋体" w:cs="宋体"/>
          <w:b/>
          <w:bCs/>
          <w:sz w:val="21"/>
          <w:szCs w:val="21"/>
          <w:highlight w:val="green"/>
          <w:u w:val="single"/>
        </w:rPr>
        <w:t>100%</w:t>
      </w:r>
      <w:r>
        <w:rPr>
          <w:rFonts w:hint="eastAsia" w:eastAsia="宋体" w:cs="宋体"/>
          <w:sz w:val="21"/>
          <w:szCs w:val="21"/>
          <w:highlight w:val="green"/>
          <w:u w:val="single"/>
        </w:rPr>
        <w:t xml:space="preserve"> </w:t>
      </w:r>
      <w:r>
        <w:rPr>
          <w:rFonts w:hint="eastAsia" w:eastAsia="宋体" w:cs="宋体"/>
          <w:sz w:val="21"/>
          <w:szCs w:val="21"/>
          <w:highlight w:val="green"/>
        </w:rPr>
        <w:t>，质量评定等级为</w:t>
      </w:r>
      <w:r>
        <w:rPr>
          <w:rFonts w:hint="eastAsia" w:eastAsia="宋体" w:cs="宋体"/>
          <w:sz w:val="21"/>
          <w:szCs w:val="21"/>
          <w:highlight w:val="green"/>
          <w:u w:val="single"/>
        </w:rPr>
        <w:t xml:space="preserve">  </w:t>
      </w:r>
      <w:r>
        <w:rPr>
          <w:rFonts w:hint="eastAsia" w:eastAsia="宋体" w:cs="宋体"/>
          <w:b/>
          <w:bCs/>
          <w:sz w:val="21"/>
          <w:szCs w:val="21"/>
          <w:highlight w:val="green"/>
          <w:u w:val="single"/>
        </w:rPr>
        <w:t>合格</w:t>
      </w:r>
      <w:r>
        <w:rPr>
          <w:rFonts w:hint="eastAsia" w:eastAsia="宋体" w:cs="宋体"/>
          <w:sz w:val="21"/>
          <w:szCs w:val="21"/>
          <w:highlight w:val="green"/>
          <w:u w:val="single"/>
        </w:rPr>
        <w:t xml:space="preserve">  </w:t>
      </w:r>
      <w:r>
        <w:rPr>
          <w:rFonts w:hint="eastAsia" w:eastAsia="宋体" w:cs="宋体"/>
          <w:sz w:val="21"/>
          <w:szCs w:val="21"/>
          <w:highlight w:val="green"/>
        </w:rPr>
        <w:t>，质量及安全事故为</w:t>
      </w:r>
      <w:r>
        <w:rPr>
          <w:rFonts w:hint="eastAsia" w:eastAsia="宋体" w:cs="宋体"/>
          <w:sz w:val="21"/>
          <w:szCs w:val="21"/>
          <w:highlight w:val="green"/>
          <w:u w:val="single"/>
        </w:rPr>
        <w:t xml:space="preserve"> </w:t>
      </w:r>
      <w:r>
        <w:rPr>
          <w:rFonts w:hint="eastAsia" w:eastAsia="宋体" w:cs="宋体"/>
          <w:b/>
          <w:bCs/>
          <w:sz w:val="21"/>
          <w:szCs w:val="21"/>
          <w:highlight w:val="green"/>
          <w:u w:val="single"/>
        </w:rPr>
        <w:t>零</w:t>
      </w:r>
      <w:r>
        <w:rPr>
          <w:rFonts w:hint="eastAsia" w:eastAsia="宋体" w:cs="宋体"/>
          <w:sz w:val="21"/>
          <w:szCs w:val="21"/>
          <w:highlight w:val="green"/>
          <w:u w:val="single"/>
        </w:rPr>
        <w:t xml:space="preserve"> </w:t>
      </w:r>
      <w:r>
        <w:rPr>
          <w:rFonts w:hint="eastAsia" w:eastAsia="宋体" w:cs="宋体"/>
          <w:sz w:val="21"/>
          <w:szCs w:val="21"/>
          <w:highlight w:val="green"/>
        </w:rPr>
        <w:t>。同时满足连云港徐圩城建工程有限公司工程项目管理手册（试行）和连云港徐圩城建工程有限公司施工现场安全生产标准化图册（试行）要求。若由于劳务分包人原因达不到，需扣除给工程承包人造成的损失，另按照合同总价的</w:t>
      </w:r>
      <w:r>
        <w:rPr>
          <w:rFonts w:hint="eastAsia" w:eastAsia="宋体" w:cs="宋体"/>
          <w:sz w:val="21"/>
          <w:szCs w:val="21"/>
          <w:highlight w:val="green"/>
          <w:u w:val="single"/>
        </w:rPr>
        <w:t xml:space="preserve"> </w:t>
      </w:r>
      <w:r>
        <w:rPr>
          <w:rFonts w:hint="eastAsia" w:eastAsia="宋体" w:cs="宋体"/>
          <w:b/>
          <w:bCs/>
          <w:sz w:val="21"/>
          <w:szCs w:val="21"/>
          <w:highlight w:val="green"/>
          <w:u w:val="single"/>
        </w:rPr>
        <w:t>5%</w:t>
      </w:r>
      <w:r>
        <w:rPr>
          <w:rFonts w:hint="eastAsia" w:eastAsia="宋体" w:cs="宋体"/>
          <w:sz w:val="21"/>
          <w:szCs w:val="21"/>
          <w:highlight w:val="green"/>
          <w:u w:val="single"/>
        </w:rPr>
        <w:t xml:space="preserve"> </w:t>
      </w:r>
      <w:r>
        <w:rPr>
          <w:rFonts w:hint="eastAsia" w:eastAsia="宋体" w:cs="宋体"/>
          <w:sz w:val="21"/>
          <w:szCs w:val="21"/>
          <w:highlight w:val="green"/>
        </w:rPr>
        <w:t>支付违约金。</w:t>
      </w:r>
    </w:p>
    <w:p w14:paraId="49EDB4D6">
      <w:pPr>
        <w:pStyle w:val="4"/>
        <w:spacing w:before="0" w:after="0" w:line="360" w:lineRule="auto"/>
        <w:ind w:firstLine="653"/>
        <w:rPr>
          <w:rFonts w:ascii="宋体" w:hAnsi="宋体" w:cs="宋体"/>
          <w:highlight w:val="none"/>
        </w:rPr>
      </w:pPr>
      <w:r>
        <w:rPr>
          <w:rFonts w:hint="eastAsia" w:ascii="宋体" w:hAnsi="宋体" w:cs="宋体"/>
          <w:highlight w:val="none"/>
        </w:rPr>
        <w:t>5、合同文件及解释顺序</w:t>
      </w:r>
    </w:p>
    <w:p w14:paraId="40529E8E">
      <w:pPr>
        <w:spacing w:line="360" w:lineRule="auto"/>
        <w:ind w:firstLine="420"/>
        <w:rPr>
          <w:rFonts w:ascii="宋体" w:hAnsi="宋体" w:cs="宋体"/>
          <w:highlight w:val="none"/>
        </w:rPr>
      </w:pPr>
      <w:r>
        <w:rPr>
          <w:rFonts w:hint="eastAsia" w:ascii="宋体" w:hAnsi="宋体" w:cs="宋体"/>
          <w:highlight w:val="none"/>
        </w:rPr>
        <w:t>组成本合同的文件及优先解释顺序如下：</w:t>
      </w:r>
    </w:p>
    <w:p w14:paraId="09017C44">
      <w:pPr>
        <w:spacing w:line="360" w:lineRule="auto"/>
        <w:ind w:firstLine="420"/>
        <w:rPr>
          <w:rFonts w:ascii="宋体" w:hAnsi="宋体" w:cs="宋体"/>
          <w:szCs w:val="22"/>
          <w:highlight w:val="none"/>
        </w:rPr>
      </w:pPr>
      <w:r>
        <w:rPr>
          <w:rFonts w:hint="eastAsia" w:ascii="宋体" w:hAnsi="宋体" w:cs="宋体"/>
          <w:szCs w:val="22"/>
          <w:highlight w:val="none"/>
        </w:rPr>
        <w:t>（1）本合同；</w:t>
      </w:r>
    </w:p>
    <w:p w14:paraId="5AAB9D8B">
      <w:pPr>
        <w:spacing w:line="360" w:lineRule="auto"/>
        <w:ind w:firstLine="420"/>
        <w:rPr>
          <w:rFonts w:ascii="宋体" w:hAnsi="宋体" w:cs="宋体"/>
          <w:szCs w:val="22"/>
          <w:highlight w:val="none"/>
        </w:rPr>
      </w:pPr>
      <w:r>
        <w:rPr>
          <w:rFonts w:hint="eastAsia" w:ascii="宋体" w:hAnsi="宋体" w:cs="宋体"/>
          <w:szCs w:val="22"/>
          <w:highlight w:val="none"/>
        </w:rPr>
        <w:t>（2）中标通知书（如果有）；</w:t>
      </w:r>
    </w:p>
    <w:p w14:paraId="38A32B39">
      <w:pPr>
        <w:spacing w:line="360" w:lineRule="auto"/>
        <w:ind w:firstLine="420"/>
        <w:rPr>
          <w:rFonts w:ascii="宋体" w:hAnsi="宋体" w:cs="宋体"/>
          <w:szCs w:val="22"/>
          <w:highlight w:val="none"/>
        </w:rPr>
      </w:pPr>
      <w:r>
        <w:rPr>
          <w:rFonts w:hint="eastAsia" w:ascii="宋体" w:hAnsi="宋体" w:cs="宋体"/>
          <w:szCs w:val="22"/>
          <w:highlight w:val="none"/>
        </w:rPr>
        <w:t>（3）响应文件（如果有）；</w:t>
      </w:r>
    </w:p>
    <w:p w14:paraId="6B311EEC">
      <w:pPr>
        <w:spacing w:line="360" w:lineRule="auto"/>
        <w:ind w:firstLine="420"/>
        <w:rPr>
          <w:rFonts w:ascii="宋体" w:hAnsi="宋体" w:cs="宋体"/>
          <w:highlight w:val="none"/>
        </w:rPr>
      </w:pPr>
      <w:r>
        <w:rPr>
          <w:rFonts w:hint="eastAsia" w:ascii="宋体" w:hAnsi="宋体" w:cs="宋体"/>
          <w:szCs w:val="22"/>
          <w:highlight w:val="none"/>
        </w:rPr>
        <w:t>（4）本合同</w:t>
      </w:r>
      <w:r>
        <w:rPr>
          <w:rFonts w:hint="eastAsia" w:ascii="宋体" w:hAnsi="宋体" w:cs="宋体"/>
          <w:highlight w:val="none"/>
        </w:rPr>
        <w:t>附件；</w:t>
      </w:r>
    </w:p>
    <w:p w14:paraId="20F8670C">
      <w:pPr>
        <w:spacing w:line="360" w:lineRule="auto"/>
        <w:ind w:firstLine="420"/>
        <w:rPr>
          <w:rFonts w:ascii="宋体" w:hAnsi="宋体" w:cs="宋体"/>
          <w:highlight w:val="none"/>
        </w:rPr>
      </w:pPr>
      <w:r>
        <w:rPr>
          <w:rFonts w:hint="eastAsia" w:ascii="宋体" w:hAnsi="宋体" w:cs="宋体"/>
          <w:highlight w:val="none"/>
        </w:rPr>
        <w:t>（5）</w:t>
      </w:r>
      <w:r>
        <w:rPr>
          <w:rFonts w:ascii="宋体" w:hAnsi="宋体" w:cs="宋体"/>
          <w:kern w:val="0"/>
          <w:szCs w:val="21"/>
          <w:highlight w:val="none"/>
        </w:rPr>
        <w:t>招标文件</w:t>
      </w:r>
      <w:r>
        <w:rPr>
          <w:rFonts w:hint="eastAsia" w:ascii="宋体" w:hAnsi="宋体" w:cs="宋体"/>
          <w:kern w:val="0"/>
          <w:szCs w:val="21"/>
          <w:highlight w:val="none"/>
        </w:rPr>
        <w:t>（含澄清、答疑等补充文件）；</w:t>
      </w:r>
    </w:p>
    <w:p w14:paraId="724237D0">
      <w:pPr>
        <w:spacing w:line="360" w:lineRule="auto"/>
        <w:ind w:firstLine="420"/>
        <w:rPr>
          <w:rFonts w:ascii="宋体" w:hAnsi="宋体" w:cs="宋体"/>
          <w:highlight w:val="none"/>
        </w:rPr>
      </w:pPr>
      <w:r>
        <w:rPr>
          <w:rFonts w:hint="eastAsia" w:ascii="宋体" w:hAnsi="宋体" w:cs="宋体"/>
          <w:highlight w:val="none"/>
        </w:rPr>
        <w:t>（6）技术标准和要求；</w:t>
      </w:r>
    </w:p>
    <w:p w14:paraId="6246600D">
      <w:pPr>
        <w:spacing w:line="360" w:lineRule="auto"/>
        <w:ind w:firstLine="420"/>
        <w:rPr>
          <w:rFonts w:ascii="宋体" w:hAnsi="宋体" w:cs="宋体"/>
          <w:highlight w:val="none"/>
        </w:rPr>
      </w:pPr>
      <w:r>
        <w:rPr>
          <w:rFonts w:hint="eastAsia" w:ascii="宋体" w:hAnsi="宋体" w:cs="宋体"/>
          <w:highlight w:val="none"/>
        </w:rPr>
        <w:t>（7）图纸、全费用清单或预算书；</w:t>
      </w:r>
    </w:p>
    <w:p w14:paraId="271C776E">
      <w:pPr>
        <w:spacing w:line="360" w:lineRule="auto"/>
        <w:ind w:firstLine="420"/>
        <w:rPr>
          <w:rFonts w:ascii="宋体" w:hAnsi="宋体" w:cs="宋体"/>
          <w:highlight w:val="none"/>
        </w:rPr>
      </w:pPr>
      <w:r>
        <w:rPr>
          <w:rFonts w:hint="eastAsia" w:ascii="宋体" w:hAnsi="宋体" w:cs="宋体"/>
          <w:highlight w:val="none"/>
        </w:rPr>
        <w:t>（8）本工程施工总承包合同；</w:t>
      </w:r>
    </w:p>
    <w:p w14:paraId="1009C095">
      <w:pPr>
        <w:spacing w:line="360" w:lineRule="auto"/>
        <w:ind w:firstLine="420"/>
        <w:rPr>
          <w:rFonts w:ascii="宋体" w:hAnsi="宋体" w:cs="宋体"/>
          <w:highlight w:val="none"/>
        </w:rPr>
      </w:pPr>
      <w:r>
        <w:rPr>
          <w:rFonts w:hint="eastAsia" w:ascii="宋体" w:hAnsi="宋体" w:cs="宋体"/>
          <w:highlight w:val="none"/>
        </w:rPr>
        <w:t>（9）本工程施工专业承（分）包合同；</w:t>
      </w:r>
    </w:p>
    <w:p w14:paraId="2496C381">
      <w:pPr>
        <w:spacing w:line="360" w:lineRule="auto"/>
        <w:ind w:firstLine="420"/>
        <w:rPr>
          <w:rFonts w:ascii="宋体" w:hAnsi="宋体" w:cs="宋体"/>
          <w:highlight w:val="none"/>
        </w:rPr>
      </w:pPr>
      <w:r>
        <w:rPr>
          <w:rFonts w:hint="eastAsia" w:ascii="宋体" w:hAnsi="宋体" w:cs="宋体"/>
          <w:highlight w:val="none"/>
        </w:rPr>
        <w:t>（10）发包人、承包人有关工程的洽商、变更等书面协议或文件。</w:t>
      </w:r>
    </w:p>
    <w:p w14:paraId="4022A133">
      <w:pPr>
        <w:pStyle w:val="4"/>
        <w:spacing w:before="0" w:after="0" w:line="360" w:lineRule="auto"/>
        <w:ind w:firstLine="653"/>
        <w:rPr>
          <w:rFonts w:ascii="宋体" w:hAnsi="宋体" w:cs="宋体"/>
          <w:highlight w:val="none"/>
        </w:rPr>
      </w:pPr>
      <w:r>
        <w:rPr>
          <w:rFonts w:hint="eastAsia" w:ascii="宋体" w:hAnsi="宋体" w:cs="宋体"/>
          <w:highlight w:val="none"/>
        </w:rPr>
        <w:t>6、标准规范</w:t>
      </w:r>
    </w:p>
    <w:p w14:paraId="3DD92A2E">
      <w:pPr>
        <w:spacing w:line="360" w:lineRule="auto"/>
        <w:ind w:firstLine="420"/>
        <w:rPr>
          <w:rFonts w:ascii="宋体" w:hAnsi="宋体" w:cs="宋体"/>
          <w:highlight w:val="none"/>
        </w:rPr>
      </w:pPr>
      <w:r>
        <w:rPr>
          <w:rFonts w:hint="eastAsia" w:ascii="宋体" w:hAnsi="宋体" w:cs="宋体"/>
          <w:highlight w:val="none"/>
        </w:rPr>
        <w:t>除本工程总包合同另有约定外，本合同适用标准规范如下：</w:t>
      </w:r>
    </w:p>
    <w:p w14:paraId="3BFAD5FA">
      <w:pPr>
        <w:spacing w:line="360" w:lineRule="auto"/>
        <w:ind w:firstLine="420"/>
        <w:rPr>
          <w:rFonts w:ascii="宋体" w:hAnsi="宋体" w:cs="宋体"/>
          <w:highlight w:val="none"/>
        </w:rPr>
      </w:pPr>
      <w:r>
        <w:rPr>
          <w:rFonts w:hint="eastAsia" w:ascii="宋体" w:hAnsi="宋体" w:cs="宋体"/>
          <w:highlight w:val="none"/>
        </w:rPr>
        <w:t>（1）</w:t>
      </w:r>
      <w:r>
        <w:rPr>
          <w:rFonts w:hint="eastAsia" w:ascii="宋体" w:hAnsi="宋体" w:cs="宋体"/>
          <w:highlight w:val="none"/>
          <w:u w:val="single"/>
        </w:rPr>
        <w:t>现行工程施工标准规范和建筑安装工程施工验收规范、建筑安装工程质量检验评定标准。施工相关标准规范由乙方自备 ；</w:t>
      </w:r>
    </w:p>
    <w:p w14:paraId="4BDC6EF9">
      <w:pPr>
        <w:pStyle w:val="4"/>
        <w:spacing w:before="0" w:after="0" w:line="360" w:lineRule="auto"/>
        <w:ind w:firstLine="653"/>
        <w:rPr>
          <w:rFonts w:ascii="宋体" w:hAnsi="宋体" w:cs="宋体"/>
          <w:highlight w:val="none"/>
        </w:rPr>
      </w:pPr>
      <w:r>
        <w:rPr>
          <w:rFonts w:hint="eastAsia" w:ascii="宋体" w:hAnsi="宋体" w:cs="宋体"/>
          <w:highlight w:val="none"/>
        </w:rPr>
        <w:t>7、总包合同</w:t>
      </w:r>
    </w:p>
    <w:p w14:paraId="2D57D98A">
      <w:pPr>
        <w:spacing w:line="360" w:lineRule="auto"/>
        <w:ind w:firstLine="420"/>
        <w:rPr>
          <w:rFonts w:ascii="宋体" w:hAnsi="宋体" w:cs="宋体"/>
          <w:highlight w:val="none"/>
        </w:rPr>
      </w:pPr>
      <w:r>
        <w:rPr>
          <w:rFonts w:hint="eastAsia" w:ascii="宋体" w:hAnsi="宋体" w:cs="宋体"/>
          <w:highlight w:val="none"/>
        </w:rPr>
        <w:t>7.1 甲方应提供总包合同（有关承包工程的价格细节除外），供乙方查阅。当乙方要求时，甲方应向乙方提供一份总包合同（有关承包工程的价格细节除外）的副本或复印件。</w:t>
      </w:r>
    </w:p>
    <w:p w14:paraId="2657DBBC">
      <w:pPr>
        <w:spacing w:line="360" w:lineRule="auto"/>
        <w:ind w:firstLine="420"/>
        <w:rPr>
          <w:rFonts w:ascii="宋体" w:hAnsi="宋体" w:cs="宋体"/>
          <w:highlight w:val="none"/>
        </w:rPr>
      </w:pPr>
      <w:r>
        <w:rPr>
          <w:rFonts w:hint="eastAsia" w:ascii="宋体" w:hAnsi="宋体" w:cs="宋体"/>
          <w:highlight w:val="none"/>
        </w:rPr>
        <w:t xml:space="preserve">7.2 乙方应全面了解总包合同的各项规定（有关承包工程的价格细节除外）。    </w:t>
      </w:r>
    </w:p>
    <w:p w14:paraId="610A0C7F">
      <w:pPr>
        <w:pStyle w:val="4"/>
        <w:spacing w:before="0" w:after="0" w:line="360" w:lineRule="auto"/>
        <w:ind w:firstLine="653"/>
        <w:rPr>
          <w:rFonts w:ascii="宋体" w:hAnsi="宋体" w:cs="宋体"/>
          <w:highlight w:val="none"/>
        </w:rPr>
      </w:pPr>
      <w:r>
        <w:rPr>
          <w:rFonts w:hint="eastAsia" w:ascii="宋体" w:hAnsi="宋体" w:cs="宋体"/>
          <w:highlight w:val="none"/>
        </w:rPr>
        <w:t>8、图纸</w:t>
      </w:r>
    </w:p>
    <w:p w14:paraId="6926CFCE">
      <w:pPr>
        <w:spacing w:line="360" w:lineRule="auto"/>
        <w:ind w:firstLine="420"/>
        <w:rPr>
          <w:rFonts w:ascii="宋体" w:hAnsi="宋体" w:cs="宋体"/>
          <w:highlight w:val="none"/>
        </w:rPr>
      </w:pPr>
      <w:r>
        <w:rPr>
          <w:rFonts w:hint="eastAsia" w:ascii="宋体" w:hAnsi="宋体" w:cs="宋体"/>
          <w:highlight w:val="none"/>
        </w:rPr>
        <w:t>8.1 甲方应在劳务分包工作开工前，向乙方提供图纸</w:t>
      </w:r>
      <w:r>
        <w:rPr>
          <w:rFonts w:hint="eastAsia" w:ascii="宋体" w:hAnsi="宋体" w:cs="宋体"/>
          <w:highlight w:val="none"/>
          <w:u w:val="single"/>
        </w:rPr>
        <w:t xml:space="preserve"> 2 </w:t>
      </w:r>
      <w:r>
        <w:rPr>
          <w:rFonts w:hint="eastAsia" w:ascii="宋体" w:hAnsi="宋体" w:cs="宋体"/>
          <w:highlight w:val="none"/>
        </w:rPr>
        <w:t>套，与本合</w:t>
      </w:r>
      <w:r>
        <w:rPr>
          <w:rFonts w:hint="eastAsia" w:ascii="宋体" w:hAnsi="宋体" w:cs="宋体"/>
          <w:szCs w:val="22"/>
          <w:highlight w:val="none"/>
        </w:rPr>
        <w:t>同工作有关的标准图由乙方自行准备</w:t>
      </w:r>
      <w:r>
        <w:rPr>
          <w:rFonts w:hint="eastAsia" w:ascii="宋体" w:hAnsi="宋体" w:cs="宋体"/>
          <w:highlight w:val="none"/>
        </w:rPr>
        <w:t>。</w:t>
      </w:r>
    </w:p>
    <w:p w14:paraId="4416FC12">
      <w:pPr>
        <w:pStyle w:val="4"/>
        <w:spacing w:before="0" w:after="0" w:line="360" w:lineRule="auto"/>
        <w:ind w:firstLine="653"/>
        <w:rPr>
          <w:rFonts w:ascii="宋体" w:hAnsi="宋体" w:cs="宋体"/>
          <w:highlight w:val="none"/>
        </w:rPr>
      </w:pPr>
      <w:r>
        <w:rPr>
          <w:rFonts w:hint="eastAsia" w:ascii="宋体" w:hAnsi="宋体" w:cs="宋体"/>
          <w:highlight w:val="none"/>
        </w:rPr>
        <w:t>9、项目经理</w:t>
      </w:r>
    </w:p>
    <w:p w14:paraId="790F475A">
      <w:pPr>
        <w:spacing w:line="360" w:lineRule="auto"/>
        <w:ind w:firstLine="420"/>
        <w:rPr>
          <w:rFonts w:ascii="宋体" w:hAnsi="宋体" w:cs="宋体"/>
          <w:highlight w:val="green"/>
        </w:rPr>
      </w:pPr>
      <w:r>
        <w:rPr>
          <w:rFonts w:hint="eastAsia" w:ascii="宋体" w:hAnsi="宋体" w:cs="宋体"/>
          <w:highlight w:val="green"/>
        </w:rPr>
        <w:t>9.1 甲方委派的担任驻工地履行本合同的项目经理为</w:t>
      </w:r>
      <w:bookmarkStart w:id="199" w:name="甲方项目经理"/>
      <w:r>
        <w:rPr>
          <w:rFonts w:hint="eastAsia" w:ascii="宋体" w:hAnsi="宋体" w:cs="宋体"/>
          <w:highlight w:val="green"/>
          <w:u w:val="single"/>
        </w:rPr>
        <w:t xml:space="preserve"> </w:t>
      </w:r>
      <w:r>
        <w:rPr>
          <w:rFonts w:hint="eastAsia" w:ascii="宋体" w:hAnsi="宋体" w:cs="宋体"/>
          <w:b/>
          <w:bCs/>
          <w:highlight w:val="green"/>
          <w:u w:val="single"/>
        </w:rPr>
        <w:t xml:space="preserve">    </w:t>
      </w:r>
      <w:r>
        <w:rPr>
          <w:rFonts w:hint="eastAsia" w:ascii="宋体" w:hAnsi="宋体" w:cs="宋体"/>
          <w:highlight w:val="green"/>
          <w:u w:val="single"/>
        </w:rPr>
        <w:t xml:space="preserve"> </w:t>
      </w:r>
      <w:r>
        <w:rPr>
          <w:rFonts w:hint="eastAsia" w:ascii="宋体" w:hAnsi="宋体" w:cs="宋体"/>
          <w:highlight w:val="green"/>
        </w:rPr>
        <w:t>，职务：</w:t>
      </w:r>
      <w:r>
        <w:rPr>
          <w:rFonts w:hint="eastAsia" w:ascii="宋体" w:hAnsi="宋体" w:cs="宋体"/>
          <w:b/>
          <w:bCs/>
          <w:highlight w:val="green"/>
          <w:u w:val="single"/>
        </w:rPr>
        <w:t xml:space="preserve"> 甲方项目负责人 </w:t>
      </w:r>
      <w:r>
        <w:rPr>
          <w:rFonts w:hint="eastAsia" w:ascii="宋体" w:hAnsi="宋体" w:cs="宋体"/>
          <w:highlight w:val="green"/>
        </w:rPr>
        <w:t>， 职称：</w:t>
      </w:r>
      <w:r>
        <w:rPr>
          <w:rFonts w:hint="eastAsia" w:ascii="宋体" w:hAnsi="宋体" w:cs="宋体"/>
          <w:highlight w:val="green"/>
          <w:u w:val="single"/>
        </w:rPr>
        <w:t xml:space="preserve"> </w:t>
      </w:r>
      <w:r>
        <w:rPr>
          <w:rFonts w:hint="eastAsia" w:ascii="宋体" w:hAnsi="宋体" w:cs="宋体"/>
          <w:b/>
          <w:bCs/>
          <w:highlight w:val="green"/>
          <w:u w:val="single"/>
        </w:rPr>
        <w:t xml:space="preserve">  </w:t>
      </w:r>
      <w:r>
        <w:rPr>
          <w:rFonts w:hint="eastAsia" w:ascii="宋体" w:hAnsi="宋体" w:cs="宋体"/>
          <w:highlight w:val="green"/>
          <w:u w:val="single"/>
        </w:rPr>
        <w:t xml:space="preserve"> </w:t>
      </w:r>
      <w:bookmarkEnd w:id="199"/>
      <w:r>
        <w:rPr>
          <w:rFonts w:hint="eastAsia" w:ascii="宋体" w:hAnsi="宋体" w:cs="宋体"/>
          <w:highlight w:val="green"/>
        </w:rPr>
        <w:t>。</w:t>
      </w:r>
    </w:p>
    <w:p w14:paraId="16AA7542">
      <w:pPr>
        <w:spacing w:line="360" w:lineRule="auto"/>
        <w:ind w:firstLine="420"/>
        <w:rPr>
          <w:rFonts w:ascii="宋体" w:hAnsi="宋体" w:cs="宋体"/>
          <w:highlight w:val="green"/>
        </w:rPr>
      </w:pPr>
      <w:r>
        <w:rPr>
          <w:rFonts w:hint="eastAsia" w:ascii="宋体" w:hAnsi="宋体" w:cs="宋体"/>
          <w:highlight w:val="green"/>
        </w:rPr>
        <w:t>9.2 乙方委派的担任驻工地履行本合同的劳务负责人为</w:t>
      </w:r>
      <w:bookmarkStart w:id="200" w:name="乙方负责人"/>
      <w:r>
        <w:rPr>
          <w:rFonts w:hint="eastAsia" w:ascii="宋体" w:hAnsi="宋体" w:cs="宋体"/>
          <w:highlight w:val="green"/>
          <w:u w:val="single"/>
        </w:rPr>
        <w:t xml:space="preserve"> </w:t>
      </w:r>
      <w:r>
        <w:rPr>
          <w:rFonts w:hint="eastAsia" w:ascii="宋体" w:hAnsi="宋体" w:cs="宋体"/>
          <w:b/>
          <w:bCs/>
          <w:highlight w:val="green"/>
          <w:u w:val="single"/>
        </w:rPr>
        <w:t xml:space="preserve"> </w:t>
      </w:r>
      <w:r>
        <w:rPr>
          <w:rFonts w:hint="eastAsia" w:ascii="宋体" w:hAnsi="宋体" w:cs="宋体"/>
          <w:highlight w:val="green"/>
          <w:u w:val="single"/>
        </w:rPr>
        <w:t xml:space="preserve"> </w:t>
      </w:r>
      <w:r>
        <w:rPr>
          <w:rFonts w:hint="eastAsia" w:ascii="宋体" w:hAnsi="宋体" w:cs="宋体"/>
          <w:highlight w:val="green"/>
        </w:rPr>
        <w:t>，职务：</w:t>
      </w:r>
      <w:r>
        <w:rPr>
          <w:rFonts w:hint="eastAsia" w:ascii="宋体" w:hAnsi="宋体" w:cs="宋体"/>
          <w:highlight w:val="green"/>
          <w:u w:val="single"/>
        </w:rPr>
        <w:t xml:space="preserve"> </w:t>
      </w:r>
      <w:r>
        <w:rPr>
          <w:rFonts w:hint="eastAsia" w:ascii="宋体" w:hAnsi="宋体" w:cs="宋体"/>
          <w:b/>
          <w:bCs/>
          <w:highlight w:val="green"/>
          <w:u w:val="single"/>
        </w:rPr>
        <w:t xml:space="preserve"> </w:t>
      </w:r>
      <w:r>
        <w:rPr>
          <w:rFonts w:hint="eastAsia" w:ascii="宋体" w:hAnsi="宋体" w:cs="宋体"/>
          <w:highlight w:val="green"/>
        </w:rPr>
        <w:t>，职称：</w:t>
      </w:r>
      <w:r>
        <w:rPr>
          <w:rFonts w:hint="eastAsia" w:ascii="宋体" w:hAnsi="宋体" w:cs="宋体"/>
          <w:highlight w:val="green"/>
          <w:u w:val="single"/>
        </w:rPr>
        <w:t xml:space="preserve">     </w:t>
      </w:r>
      <w:bookmarkEnd w:id="200"/>
      <w:r>
        <w:rPr>
          <w:rFonts w:hint="eastAsia" w:ascii="宋体" w:hAnsi="宋体" w:cs="宋体"/>
          <w:highlight w:val="green"/>
        </w:rPr>
        <w:t>。</w:t>
      </w:r>
    </w:p>
    <w:p w14:paraId="5D92845D">
      <w:pPr>
        <w:spacing w:line="360" w:lineRule="auto"/>
        <w:ind w:firstLine="420"/>
        <w:rPr>
          <w:rFonts w:ascii="宋体" w:hAnsi="宋体" w:cs="宋体"/>
          <w:highlight w:val="green"/>
        </w:rPr>
      </w:pPr>
      <w:bookmarkStart w:id="201" w:name="乙方安全员"/>
      <w:r>
        <w:rPr>
          <w:rFonts w:hint="eastAsia" w:ascii="宋体" w:hAnsi="宋体" w:cs="宋体"/>
          <w:highlight w:val="green"/>
        </w:rPr>
        <w:sym w:font="Wingdings 2" w:char="00A3"/>
      </w:r>
      <w:r>
        <w:rPr>
          <w:rFonts w:hint="eastAsia" w:ascii="宋体" w:hAnsi="宋体" w:cs="宋体"/>
          <w:highlight w:val="green"/>
        </w:rPr>
        <w:t>（选填）9.3乙方委派的担任驻工地履行本合同的安全员为</w:t>
      </w:r>
      <w:r>
        <w:rPr>
          <w:rFonts w:hint="eastAsia" w:ascii="宋体" w:hAnsi="宋体" w:cs="宋体"/>
          <w:highlight w:val="green"/>
          <w:u w:val="single"/>
        </w:rPr>
        <w:t xml:space="preserve"> </w:t>
      </w:r>
      <w:r>
        <w:rPr>
          <w:rFonts w:hint="eastAsia" w:ascii="宋体" w:hAnsi="宋体" w:cs="宋体"/>
          <w:b/>
          <w:bCs/>
          <w:highlight w:val="green"/>
          <w:u w:val="single"/>
        </w:rPr>
        <w:t xml:space="preserve">    </w:t>
      </w:r>
      <w:r>
        <w:rPr>
          <w:rFonts w:hint="eastAsia" w:ascii="宋体" w:hAnsi="宋体" w:cs="宋体"/>
          <w:highlight w:val="green"/>
          <w:u w:val="single"/>
        </w:rPr>
        <w:t xml:space="preserve"> </w:t>
      </w:r>
      <w:r>
        <w:rPr>
          <w:rFonts w:hint="eastAsia" w:ascii="宋体" w:hAnsi="宋体" w:cs="宋体"/>
          <w:highlight w:val="green"/>
        </w:rPr>
        <w:t>，证书编号：</w:t>
      </w:r>
      <w:r>
        <w:rPr>
          <w:rFonts w:hint="eastAsia" w:ascii="宋体" w:hAnsi="宋体" w:cs="宋体"/>
          <w:highlight w:val="green"/>
          <w:u w:val="single"/>
        </w:rPr>
        <w:t xml:space="preserve"> </w:t>
      </w:r>
      <w:r>
        <w:rPr>
          <w:rFonts w:hint="eastAsia" w:ascii="宋体" w:hAnsi="宋体" w:cs="宋体"/>
          <w:b/>
          <w:bCs/>
          <w:highlight w:val="green"/>
          <w:u w:val="single"/>
        </w:rPr>
        <w:t xml:space="preserve">    </w:t>
      </w:r>
      <w:r>
        <w:rPr>
          <w:rFonts w:hint="eastAsia" w:ascii="宋体" w:hAnsi="宋体" w:cs="宋体"/>
          <w:highlight w:val="green"/>
          <w:u w:val="single"/>
        </w:rPr>
        <w:t xml:space="preserve"> </w:t>
      </w:r>
      <w:r>
        <w:rPr>
          <w:rFonts w:hint="eastAsia" w:ascii="宋体" w:hAnsi="宋体" w:cs="宋体"/>
          <w:highlight w:val="green"/>
        </w:rPr>
        <w:t>。</w:t>
      </w:r>
    </w:p>
    <w:bookmarkEnd w:id="201"/>
    <w:p w14:paraId="7D07B3A0">
      <w:pPr>
        <w:pStyle w:val="4"/>
        <w:spacing w:before="0" w:after="0" w:line="360" w:lineRule="auto"/>
        <w:ind w:firstLine="653"/>
        <w:rPr>
          <w:rFonts w:ascii="宋体" w:hAnsi="宋体" w:cs="宋体"/>
          <w:highlight w:val="none"/>
        </w:rPr>
      </w:pPr>
      <w:r>
        <w:rPr>
          <w:rFonts w:hint="eastAsia" w:ascii="宋体" w:hAnsi="宋体" w:cs="宋体"/>
          <w:highlight w:val="none"/>
        </w:rPr>
        <w:t>10、甲方义务</w:t>
      </w:r>
    </w:p>
    <w:p w14:paraId="77902DC4">
      <w:pPr>
        <w:spacing w:line="360" w:lineRule="auto"/>
        <w:ind w:firstLine="420"/>
        <w:rPr>
          <w:rFonts w:ascii="宋体" w:hAnsi="宋体" w:cs="宋体"/>
          <w:highlight w:val="none"/>
          <w:u w:val="single"/>
        </w:rPr>
      </w:pPr>
      <w:r>
        <w:rPr>
          <w:rFonts w:hint="eastAsia" w:ascii="宋体" w:hAnsi="宋体" w:cs="宋体"/>
          <w:highlight w:val="none"/>
          <w:u w:val="single"/>
        </w:rPr>
        <w:t>10.1、组建与工程相适应的项目管理班子，全面履行总（分）包合同，组织项目部及乙方实施施工管理的各项工作，对工程的工期和质量向发包人负责；</w:t>
      </w:r>
    </w:p>
    <w:p w14:paraId="669BCE80">
      <w:pPr>
        <w:spacing w:line="360" w:lineRule="auto"/>
        <w:ind w:firstLine="420"/>
        <w:rPr>
          <w:rFonts w:ascii="宋体" w:hAnsi="宋体" w:cs="宋体"/>
          <w:b/>
          <w:highlight w:val="none"/>
          <w:u w:val="single"/>
        </w:rPr>
      </w:pPr>
      <w:r>
        <w:rPr>
          <w:rFonts w:hint="eastAsia" w:ascii="宋体" w:hAnsi="宋体" w:cs="宋体"/>
          <w:highlight w:val="none"/>
          <w:u w:val="single"/>
        </w:rPr>
        <w:t>10.2、除非本合同另有约定，甲方完成乙方施工前期的下列工作并承担相应费用：</w:t>
      </w:r>
    </w:p>
    <w:p w14:paraId="4CF8CF02">
      <w:pPr>
        <w:spacing w:line="360" w:lineRule="auto"/>
        <w:ind w:firstLine="420"/>
        <w:rPr>
          <w:rFonts w:ascii="宋体" w:hAnsi="宋体" w:cs="宋体"/>
          <w:highlight w:val="none"/>
          <w:u w:val="single"/>
        </w:rPr>
      </w:pPr>
      <w:r>
        <w:rPr>
          <w:rFonts w:hint="eastAsia" w:ascii="宋体" w:hAnsi="宋体" w:cs="宋体"/>
          <w:highlight w:val="none"/>
          <w:u w:val="single"/>
        </w:rPr>
        <w:t>在实际开工日期前，向乙方交付具备本合同项下劳务作业开工条件的施工场地，具备开工条件的施工场地和资料交付要求为：</w:t>
      </w:r>
    </w:p>
    <w:p w14:paraId="42209603">
      <w:pPr>
        <w:spacing w:line="360" w:lineRule="auto"/>
        <w:ind w:firstLine="420"/>
        <w:rPr>
          <w:rFonts w:ascii="宋体" w:hAnsi="宋体" w:cs="宋体"/>
          <w:szCs w:val="22"/>
          <w:highlight w:val="none"/>
          <w:u w:val="single"/>
        </w:rPr>
      </w:pPr>
      <w:r>
        <w:rPr>
          <w:rFonts w:hint="eastAsia" w:ascii="宋体" w:hAnsi="宋体" w:cs="宋体"/>
          <w:szCs w:val="22"/>
          <w:highlight w:val="none"/>
          <w:u w:val="single"/>
        </w:rPr>
        <w:t>（1）工程地质和地下管线资料；</w:t>
      </w:r>
    </w:p>
    <w:p w14:paraId="268151B0">
      <w:pPr>
        <w:spacing w:line="360" w:lineRule="auto"/>
        <w:ind w:firstLine="420"/>
        <w:rPr>
          <w:rFonts w:ascii="宋体" w:hAnsi="宋体" w:cs="宋体"/>
          <w:szCs w:val="22"/>
          <w:highlight w:val="none"/>
          <w:u w:val="single"/>
        </w:rPr>
      </w:pPr>
      <w:r>
        <w:rPr>
          <w:rFonts w:hint="eastAsia" w:ascii="宋体" w:hAnsi="宋体" w:cs="宋体"/>
          <w:szCs w:val="22"/>
          <w:highlight w:val="none"/>
          <w:u w:val="single"/>
        </w:rPr>
        <w:t>（2）</w:t>
      </w:r>
      <w:r>
        <w:rPr>
          <w:rFonts w:hint="eastAsia" w:ascii="宋体" w:hAnsi="宋体" w:cs="宋体"/>
          <w:szCs w:val="22"/>
          <w:highlight w:val="green"/>
          <w:u w:val="single"/>
        </w:rPr>
        <w:t>甲方</w:t>
      </w:r>
      <w:r>
        <w:rPr>
          <w:rFonts w:hint="eastAsia" w:ascii="宋体" w:hAnsi="宋体" w:cs="宋体"/>
          <w:szCs w:val="22"/>
          <w:highlight w:val="green"/>
          <w:u w:val="single"/>
          <w:lang w:eastAsia="zh-CN"/>
        </w:rPr>
        <w:t>不</w:t>
      </w:r>
      <w:r>
        <w:rPr>
          <w:rFonts w:hint="eastAsia" w:ascii="宋体" w:hAnsi="宋体" w:cs="宋体"/>
          <w:szCs w:val="22"/>
          <w:highlight w:val="green"/>
          <w:u w:val="single"/>
        </w:rPr>
        <w:t>提供水、电源接口，乙方</w:t>
      </w:r>
      <w:r>
        <w:rPr>
          <w:rFonts w:hint="eastAsia" w:ascii="宋体" w:hAnsi="宋体" w:cs="宋体"/>
          <w:szCs w:val="22"/>
          <w:highlight w:val="green"/>
          <w:u w:val="single"/>
          <w:lang w:val="en-US" w:eastAsia="zh-CN"/>
        </w:rPr>
        <w:t>自行</w:t>
      </w:r>
      <w:r>
        <w:rPr>
          <w:rFonts w:hint="eastAsia" w:ascii="宋体" w:hAnsi="宋体" w:cs="宋体"/>
          <w:szCs w:val="22"/>
          <w:highlight w:val="green"/>
          <w:u w:val="single"/>
        </w:rPr>
        <w:t>将水、电接至施工场地，费用由乙方自理</w:t>
      </w:r>
      <w:r>
        <w:rPr>
          <w:rFonts w:hint="eastAsia" w:ascii="宋体" w:hAnsi="宋体" w:cs="宋体"/>
          <w:szCs w:val="22"/>
          <w:highlight w:val="none"/>
          <w:u w:val="single"/>
        </w:rPr>
        <w:t>；</w:t>
      </w:r>
    </w:p>
    <w:p w14:paraId="49208637">
      <w:pPr>
        <w:spacing w:line="360" w:lineRule="auto"/>
        <w:ind w:firstLine="420"/>
        <w:rPr>
          <w:rFonts w:ascii="宋体" w:hAnsi="宋体" w:cs="宋体"/>
          <w:szCs w:val="22"/>
          <w:highlight w:val="none"/>
          <w:u w:val="single"/>
        </w:rPr>
      </w:pPr>
      <w:r>
        <w:rPr>
          <w:rFonts w:hint="eastAsia" w:ascii="宋体" w:hAnsi="宋体" w:cs="宋体"/>
          <w:szCs w:val="22"/>
          <w:highlight w:val="none"/>
          <w:u w:val="single"/>
        </w:rPr>
        <w:t>（3）提供施工现场：见现场实际条件；</w:t>
      </w:r>
    </w:p>
    <w:p w14:paraId="22C64FBF">
      <w:pPr>
        <w:spacing w:line="360" w:lineRule="auto"/>
        <w:ind w:firstLine="420"/>
        <w:rPr>
          <w:rFonts w:ascii="宋体" w:hAnsi="宋体" w:cs="宋体"/>
          <w:szCs w:val="22"/>
          <w:highlight w:val="none"/>
          <w:u w:val="single"/>
        </w:rPr>
      </w:pPr>
      <w:r>
        <w:rPr>
          <w:rFonts w:hint="eastAsia" w:ascii="宋体" w:hAnsi="宋体" w:cs="宋体"/>
          <w:szCs w:val="22"/>
          <w:highlight w:val="none"/>
          <w:u w:val="single"/>
        </w:rPr>
        <w:t>（4）水准点与坐标控制点交验要求：水准点与坐标控制点由甲方、乙方双方在施工现场交验,并由乙方进行现场校验，校验完毕，如有差错，乙方应及时书面通知甲方；如乙方无异议，即由乙方负责保护，此后由于有差错不能闭合或点位破坏或失准带来的重新测量、放点费用及由此造成的其它方面损失均由乙方承担；</w:t>
      </w:r>
    </w:p>
    <w:p w14:paraId="3785D267">
      <w:pPr>
        <w:spacing w:line="360" w:lineRule="auto"/>
        <w:ind w:firstLine="420"/>
        <w:rPr>
          <w:rFonts w:ascii="宋体" w:hAnsi="宋体" w:cs="宋体"/>
          <w:szCs w:val="22"/>
          <w:highlight w:val="none"/>
          <w:u w:val="single"/>
        </w:rPr>
      </w:pPr>
      <w:r>
        <w:rPr>
          <w:rFonts w:hint="eastAsia" w:ascii="宋体" w:hAnsi="宋体" w:cs="宋体"/>
          <w:szCs w:val="22"/>
          <w:highlight w:val="none"/>
          <w:u w:val="single"/>
        </w:rPr>
        <w:t>（5）协调处理施工场地周围地下管线和邻近建筑物、构筑物（含文物保护建筑）、古树名木的保护工作：由甲方会同乙方负责做好保护工作，乙方如在施工中发现问题应及时报告甲方，由甲方会同有关部门出具解决方案。费用双方协商解决；</w:t>
      </w:r>
    </w:p>
    <w:p w14:paraId="799142DB">
      <w:pPr>
        <w:spacing w:line="360" w:lineRule="auto"/>
        <w:ind w:firstLine="420"/>
        <w:rPr>
          <w:rFonts w:ascii="宋体" w:hAnsi="宋体" w:cs="宋体"/>
          <w:szCs w:val="22"/>
          <w:highlight w:val="none"/>
          <w:u w:val="single"/>
        </w:rPr>
      </w:pPr>
      <w:r>
        <w:rPr>
          <w:rFonts w:hint="eastAsia" w:ascii="宋体" w:hAnsi="宋体" w:cs="宋体"/>
          <w:szCs w:val="22"/>
          <w:highlight w:val="none"/>
          <w:u w:val="single"/>
        </w:rPr>
        <w:t>（6）图纸会审和设计交底时间：乙方配合甲方参加图纸会审和设计交底；</w:t>
      </w:r>
    </w:p>
    <w:p w14:paraId="2D3E2350">
      <w:pPr>
        <w:spacing w:line="360" w:lineRule="auto"/>
        <w:ind w:firstLine="420"/>
        <w:rPr>
          <w:rFonts w:ascii="宋体" w:hAnsi="宋体" w:cs="宋体"/>
          <w:szCs w:val="22"/>
          <w:highlight w:val="none"/>
          <w:u w:val="single"/>
        </w:rPr>
      </w:pPr>
      <w:r>
        <w:rPr>
          <w:rFonts w:hint="eastAsia" w:ascii="宋体" w:hAnsi="宋体" w:cs="宋体"/>
          <w:szCs w:val="22"/>
          <w:highlight w:val="none"/>
          <w:u w:val="single"/>
        </w:rPr>
        <w:t>（7）双方约定甲方应做的其它工作：无。</w:t>
      </w:r>
    </w:p>
    <w:p w14:paraId="4D5AB0EB">
      <w:pPr>
        <w:spacing w:line="360" w:lineRule="auto"/>
        <w:ind w:firstLine="420"/>
        <w:rPr>
          <w:rFonts w:ascii="宋体" w:hAnsi="宋体" w:cs="宋体"/>
          <w:szCs w:val="22"/>
          <w:highlight w:val="none"/>
          <w:u w:val="single"/>
        </w:rPr>
      </w:pPr>
      <w:r>
        <w:rPr>
          <w:rFonts w:hint="eastAsia" w:ascii="宋体" w:hAnsi="宋体" w:cs="宋体"/>
          <w:highlight w:val="none"/>
          <w:u w:val="single"/>
        </w:rPr>
        <w:t>10.3、审核乙方编制的相关材料，包括</w:t>
      </w:r>
      <w:r>
        <w:rPr>
          <w:rFonts w:hint="eastAsia" w:ascii="宋体" w:hAnsi="宋体" w:cs="宋体"/>
          <w:highlight w:val="yellow"/>
          <w:u w:val="single"/>
        </w:rPr>
        <w:t>施工组织设计，</w:t>
      </w:r>
      <w:r>
        <w:rPr>
          <w:rFonts w:hint="eastAsia" w:ascii="宋体" w:hAnsi="宋体" w:cs="宋体"/>
          <w:highlight w:val="none"/>
          <w:u w:val="single"/>
        </w:rPr>
        <w:t>各项管理目标，编制年、</w:t>
      </w:r>
      <w:r>
        <w:rPr>
          <w:rFonts w:hint="eastAsia" w:ascii="宋体" w:hAnsi="宋体" w:cs="宋体"/>
          <w:szCs w:val="22"/>
          <w:highlight w:val="none"/>
          <w:u w:val="single"/>
        </w:rPr>
        <w:t>季、月施工计划、物资需用量计划表，实施对工程质量、工期、安全生产、文明施工，计量析测、实验化验的控制、监督、检查和验收；</w:t>
      </w:r>
    </w:p>
    <w:p w14:paraId="2A026085">
      <w:pPr>
        <w:spacing w:line="360" w:lineRule="auto"/>
        <w:ind w:firstLine="420"/>
        <w:rPr>
          <w:rFonts w:ascii="宋体" w:hAnsi="宋体" w:cs="宋体"/>
          <w:szCs w:val="22"/>
          <w:highlight w:val="none"/>
          <w:u w:val="single"/>
        </w:rPr>
      </w:pPr>
      <w:r>
        <w:rPr>
          <w:rFonts w:hint="eastAsia" w:ascii="宋体" w:hAnsi="宋体" w:cs="宋体"/>
          <w:szCs w:val="22"/>
          <w:highlight w:val="none"/>
          <w:u w:val="single"/>
        </w:rPr>
        <w:t>10.4、统一制定各项管理目标；</w:t>
      </w:r>
    </w:p>
    <w:p w14:paraId="248C8CDF">
      <w:pPr>
        <w:spacing w:line="360" w:lineRule="auto"/>
        <w:ind w:firstLine="420"/>
        <w:rPr>
          <w:rFonts w:ascii="宋体" w:hAnsi="宋体" w:cs="宋体"/>
          <w:highlight w:val="none"/>
          <w:u w:val="single"/>
        </w:rPr>
      </w:pPr>
      <w:r>
        <w:rPr>
          <w:rFonts w:hint="eastAsia" w:ascii="宋体" w:hAnsi="宋体" w:cs="宋体"/>
          <w:highlight w:val="none"/>
          <w:u w:val="single"/>
        </w:rPr>
        <w:t>10.5、统筹安排、协调解决非乙方独立使用的生产、生活临时设施、工作用水、用电及施工场地；</w:t>
      </w:r>
    </w:p>
    <w:p w14:paraId="40771578">
      <w:pPr>
        <w:spacing w:line="360" w:lineRule="auto"/>
        <w:ind w:firstLine="420"/>
        <w:rPr>
          <w:rFonts w:ascii="宋体" w:hAnsi="宋体" w:cs="宋体"/>
          <w:highlight w:val="none"/>
          <w:u w:val="single"/>
        </w:rPr>
      </w:pPr>
      <w:r>
        <w:rPr>
          <w:rFonts w:hint="eastAsia" w:ascii="宋体" w:hAnsi="宋体" w:cs="宋体"/>
          <w:highlight w:val="none"/>
          <w:u w:val="single"/>
        </w:rPr>
        <w:t>10.6、按时提供图纸，及时交付应供材料、设备，所提供的施工机械设备、周转材料、安全设施保证施工需要；</w:t>
      </w:r>
    </w:p>
    <w:p w14:paraId="014993EF">
      <w:pPr>
        <w:spacing w:line="360" w:lineRule="auto"/>
        <w:ind w:firstLine="420"/>
        <w:rPr>
          <w:rFonts w:ascii="宋体" w:hAnsi="宋体" w:cs="宋体"/>
          <w:highlight w:val="none"/>
          <w:u w:val="single"/>
        </w:rPr>
      </w:pPr>
      <w:r>
        <w:rPr>
          <w:rFonts w:hint="eastAsia" w:ascii="宋体" w:hAnsi="宋体" w:cs="宋体"/>
          <w:highlight w:val="none"/>
          <w:u w:val="single"/>
        </w:rPr>
        <w:t>10.7、按本合同约定，向乙方支付劳动报酬；</w:t>
      </w:r>
    </w:p>
    <w:p w14:paraId="2CD4BA7B">
      <w:pPr>
        <w:spacing w:line="360" w:lineRule="auto"/>
        <w:ind w:firstLine="420"/>
        <w:rPr>
          <w:rFonts w:ascii="宋体" w:hAnsi="宋体" w:cs="宋体"/>
          <w:highlight w:val="none"/>
          <w:u w:val="single"/>
        </w:rPr>
      </w:pPr>
      <w:r>
        <w:rPr>
          <w:rFonts w:hint="eastAsia" w:ascii="宋体" w:hAnsi="宋体" w:cs="宋体"/>
          <w:highlight w:val="none"/>
          <w:u w:val="single"/>
        </w:rPr>
        <w:t>10.8、负责与发包人、监理、设计及有关部门联系，协调现场工作关系；</w:t>
      </w:r>
    </w:p>
    <w:p w14:paraId="0C921DB0">
      <w:pPr>
        <w:spacing w:line="360" w:lineRule="auto"/>
        <w:ind w:firstLine="420"/>
        <w:rPr>
          <w:rFonts w:ascii="宋体" w:hAnsi="宋体" w:cs="宋体"/>
          <w:highlight w:val="none"/>
          <w:u w:val="single"/>
        </w:rPr>
      </w:pPr>
      <w:r>
        <w:rPr>
          <w:rFonts w:hint="eastAsia" w:ascii="宋体" w:hAnsi="宋体" w:cs="宋体"/>
          <w:highlight w:val="none"/>
          <w:u w:val="single"/>
        </w:rPr>
        <w:t>10.9本合同履行过程中，甲方任何盖章文件均需遵守</w:t>
      </w:r>
      <w:r>
        <w:rPr>
          <w:rFonts w:hint="eastAsia" w:ascii="宋体" w:hAnsi="宋体" w:cs="宋体"/>
          <w:highlight w:val="none"/>
          <w:u w:val="single"/>
          <w:lang w:val="en-US" w:eastAsia="zh-CN"/>
        </w:rPr>
        <w:t>甲方</w:t>
      </w:r>
      <w:r>
        <w:rPr>
          <w:rFonts w:hint="eastAsia" w:ascii="宋体" w:hAnsi="宋体" w:cs="宋体"/>
          <w:highlight w:val="none"/>
          <w:u w:val="single"/>
        </w:rPr>
        <w:t>印章管理制度。无</w:t>
      </w:r>
      <w:r>
        <w:rPr>
          <w:rFonts w:hint="eastAsia" w:ascii="宋体" w:hAnsi="宋体" w:cs="宋体"/>
          <w:highlight w:val="none"/>
          <w:u w:val="single"/>
          <w:lang w:val="en-US" w:eastAsia="zh-CN"/>
        </w:rPr>
        <w:t>甲方</w:t>
      </w:r>
      <w:r>
        <w:rPr>
          <w:rFonts w:hint="eastAsia" w:ascii="宋体" w:hAnsi="宋体" w:cs="宋体"/>
          <w:highlight w:val="none"/>
          <w:u w:val="single"/>
        </w:rPr>
        <w:t>有效印章的均为无效文件，对甲方不产生约束力；甲方代表无权确认或同意任何增加或可能增加合同价款的文件；甲方代表签字并加盖甲方公章但工程量或数量不实的内容，均为无效文件，对甲方不产生约束力。</w:t>
      </w:r>
    </w:p>
    <w:p w14:paraId="12B04FE5">
      <w:pPr>
        <w:pStyle w:val="4"/>
        <w:spacing w:before="0" w:after="0" w:line="360" w:lineRule="auto"/>
        <w:ind w:firstLine="653"/>
        <w:rPr>
          <w:rFonts w:ascii="宋体" w:hAnsi="宋体" w:cs="宋体"/>
          <w:highlight w:val="none"/>
        </w:rPr>
      </w:pPr>
      <w:r>
        <w:rPr>
          <w:rFonts w:hint="eastAsia" w:ascii="宋体" w:hAnsi="宋体" w:cs="宋体"/>
          <w:highlight w:val="none"/>
        </w:rPr>
        <w:t>11、乙方义务</w:t>
      </w:r>
    </w:p>
    <w:p w14:paraId="76E6ECD7">
      <w:pPr>
        <w:spacing w:line="360" w:lineRule="auto"/>
        <w:ind w:firstLine="420"/>
        <w:rPr>
          <w:rFonts w:ascii="宋体" w:hAnsi="宋体" w:cs="宋体"/>
          <w:highlight w:val="none"/>
          <w:u w:val="single"/>
        </w:rPr>
      </w:pPr>
      <w:r>
        <w:rPr>
          <w:rFonts w:hint="eastAsia" w:ascii="宋体" w:hAnsi="宋体" w:cs="宋体"/>
          <w:highlight w:val="none"/>
          <w:u w:val="single"/>
        </w:rPr>
        <w:t>11.1、</w:t>
      </w:r>
      <w:r>
        <w:rPr>
          <w:rFonts w:hint="eastAsia" w:ascii="宋体" w:hAnsi="宋体" w:cs="宋体"/>
          <w:b/>
          <w:bCs/>
          <w:color w:val="auto"/>
          <w:highlight w:val="green"/>
          <w:u w:val="single"/>
        </w:rPr>
        <w:t>乙方应配备劳务团队如下：</w:t>
      </w:r>
      <w:bookmarkStart w:id="202" w:name="乙方劳务团队"/>
      <w:r>
        <w:rPr>
          <w:rFonts w:hint="eastAsia" w:ascii="宋体" w:hAnsi="宋体" w:cs="宋体"/>
          <w:b/>
          <w:bCs/>
          <w:color w:val="auto"/>
          <w:highlight w:val="green"/>
          <w:u w:val="single"/>
          <w:lang w:val="en-US" w:eastAsia="zh-CN"/>
        </w:rPr>
        <w:t xml:space="preserve">  劳务专员、安全员、资料员等  </w:t>
      </w:r>
      <w:bookmarkEnd w:id="202"/>
      <w:r>
        <w:rPr>
          <w:rFonts w:hint="eastAsia" w:ascii="宋体" w:hAnsi="宋体" w:cs="宋体"/>
          <w:highlight w:val="green"/>
          <w:u w:val="single"/>
        </w:rPr>
        <w:t>，以上人</w:t>
      </w:r>
      <w:r>
        <w:rPr>
          <w:rFonts w:hint="eastAsia" w:ascii="宋体" w:hAnsi="宋体" w:cs="宋体"/>
          <w:highlight w:val="none"/>
          <w:u w:val="single"/>
        </w:rPr>
        <w:t>员必须常驻现场，如有特种作业人员，必须持证上岗。乙方指派现场劳务团队人员必须常驻现场，在现场每日8小时以上，每周不少于5日，参加每日下午5点由甲方组织的进度协调会，准时到场，如有特殊情况，须提供书面请假经甲方批准。通信工具保持24小时开机，甲方每发现一劳务团队人员擅自离开施工现场的，乙方向甲方支付违约金5000元，累计发现五次劳务团队人员擅自离开施工现场，视为乙方擅自更换劳务团队人员，甲方要求乙方更换后的劳务团队人员资质等级、业绩不低于原劳务团队人员，且更换时间不得超过3天，否则甲方有权直接解除劳务分包合同，并追究由此给甲方造成的一切损失。乙方遇事必须上报甲方项目经理，不得瞒报欺骗，不得推诿；</w:t>
      </w:r>
    </w:p>
    <w:p w14:paraId="56F00D13">
      <w:pPr>
        <w:spacing w:line="360" w:lineRule="auto"/>
        <w:ind w:firstLine="420"/>
        <w:rPr>
          <w:rFonts w:ascii="宋体" w:hAnsi="宋体" w:cs="宋体"/>
          <w:highlight w:val="none"/>
          <w:u w:val="single"/>
        </w:rPr>
      </w:pPr>
      <w:r>
        <w:rPr>
          <w:rFonts w:hint="eastAsia" w:ascii="宋体" w:hAnsi="宋体" w:cs="宋体"/>
          <w:highlight w:val="none"/>
          <w:u w:val="single"/>
        </w:rPr>
        <w:t>11.2、根据甲方要求，编制施工组织设计，各项管理目标，编制年、季、月施工计划、物资需用量计划表，并及时上报甲方，在甲方确认后，实施对工程质量、工期、安全生产、文明施工，计量析测、实验化验的控制、监督、检查和验收；</w:t>
      </w:r>
    </w:p>
    <w:p w14:paraId="094BFAD1">
      <w:pPr>
        <w:spacing w:line="360" w:lineRule="auto"/>
        <w:ind w:firstLine="420"/>
        <w:rPr>
          <w:rFonts w:ascii="宋体" w:hAnsi="宋体" w:cs="宋体"/>
          <w:highlight w:val="none"/>
          <w:u w:val="single"/>
        </w:rPr>
      </w:pPr>
      <w:r>
        <w:rPr>
          <w:rFonts w:hint="eastAsia" w:ascii="宋体" w:hAnsi="宋体" w:cs="宋体"/>
          <w:highlight w:val="none"/>
          <w:u w:val="single"/>
        </w:rPr>
        <w:t>11.3、根据甲方要求负责工程测量定位、沉降观测、技术交底，组织图纸会审，统一安排技术档案资料的收集整理及交工验收；</w:t>
      </w:r>
    </w:p>
    <w:p w14:paraId="1EED8FA4">
      <w:pPr>
        <w:spacing w:line="360" w:lineRule="auto"/>
        <w:ind w:firstLine="420"/>
        <w:rPr>
          <w:rFonts w:ascii="宋体" w:hAnsi="宋体" w:cs="宋体"/>
          <w:highlight w:val="none"/>
          <w:u w:val="single"/>
        </w:rPr>
      </w:pPr>
      <w:r>
        <w:rPr>
          <w:rFonts w:hint="eastAsia" w:ascii="宋体" w:hAnsi="宋体" w:cs="宋体"/>
          <w:highlight w:val="none"/>
          <w:u w:val="single"/>
        </w:rPr>
        <w:t>11.4、乙方应参加甲方组织的生产例会，接受甲方对进度的督促、检查。在重要节假日及农忙期间，服从甲方的统一的时间安排，确保甲方要求的节点工期。如因甲方对工期进行调整时，乙方应服从甲方对本工程的工期调整且不得向甲方索赔任何费用；</w:t>
      </w:r>
    </w:p>
    <w:p w14:paraId="21723AD4">
      <w:pPr>
        <w:spacing w:line="360" w:lineRule="auto"/>
        <w:ind w:firstLine="420"/>
        <w:rPr>
          <w:rFonts w:ascii="宋体" w:hAnsi="宋体" w:cs="宋体"/>
          <w:highlight w:val="none"/>
          <w:u w:val="single"/>
        </w:rPr>
      </w:pPr>
      <w:r>
        <w:rPr>
          <w:rFonts w:hint="eastAsia" w:ascii="宋体" w:hAnsi="宋体" w:cs="宋体"/>
          <w:highlight w:val="none"/>
          <w:u w:val="single"/>
        </w:rPr>
        <w:t>11.5、严格按照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明施工；承担由于自身责任造成的质量修改、返工、工期拖延、安全事故、现场脏乱造成的损失及各种违约金；</w:t>
      </w:r>
    </w:p>
    <w:p w14:paraId="1F903C5D">
      <w:pPr>
        <w:spacing w:line="360" w:lineRule="auto"/>
        <w:ind w:firstLine="420"/>
        <w:rPr>
          <w:rFonts w:ascii="宋体" w:hAnsi="宋体" w:cs="宋体"/>
          <w:highlight w:val="none"/>
          <w:u w:val="single"/>
        </w:rPr>
      </w:pPr>
      <w:r>
        <w:rPr>
          <w:rFonts w:hint="eastAsia" w:ascii="宋体" w:hAnsi="宋体" w:cs="宋体"/>
          <w:highlight w:val="none"/>
          <w:u w:val="single"/>
        </w:rPr>
        <w:t>11.6、自觉接受甲方及有关部门的管理、监督和检查；接受甲方随时检查其设备、材料保管、使用情况，及其操作人员的有效证件、持证上岗情况；与现场其他单位协调配合，照顾全局；</w:t>
      </w:r>
    </w:p>
    <w:p w14:paraId="0A021AAA">
      <w:pPr>
        <w:spacing w:line="360" w:lineRule="auto"/>
        <w:ind w:firstLine="420"/>
        <w:rPr>
          <w:rFonts w:ascii="宋体" w:hAnsi="宋体" w:cs="宋体"/>
          <w:highlight w:val="none"/>
          <w:u w:val="single"/>
        </w:rPr>
      </w:pPr>
      <w:r>
        <w:rPr>
          <w:rFonts w:hint="eastAsia" w:ascii="宋体" w:hAnsi="宋体" w:cs="宋体"/>
          <w:highlight w:val="none"/>
          <w:u w:val="single"/>
        </w:rPr>
        <w:t>11.7、按甲方统一规划堆放材料、机具，按甲方标准化工地要求设置标牌，搞好生活区的管理，做好自身责任区的治安保卫工作（具体以甲方要求执行）；</w:t>
      </w:r>
    </w:p>
    <w:p w14:paraId="0791CAE5">
      <w:pPr>
        <w:spacing w:line="360" w:lineRule="auto"/>
        <w:ind w:firstLine="420"/>
        <w:rPr>
          <w:rFonts w:ascii="宋体" w:hAnsi="宋体" w:cs="宋体"/>
          <w:highlight w:val="none"/>
          <w:u w:val="single"/>
        </w:rPr>
      </w:pPr>
      <w:r>
        <w:rPr>
          <w:rFonts w:hint="eastAsia" w:ascii="宋体" w:hAnsi="宋体" w:cs="宋体"/>
          <w:highlight w:val="none"/>
          <w:u w:val="single"/>
        </w:rPr>
        <w:t>11.8、按时提交报表、完整的原始技术经济资料，配合甲方办理交工验收；</w:t>
      </w:r>
    </w:p>
    <w:p w14:paraId="34BAD793">
      <w:pPr>
        <w:spacing w:line="360" w:lineRule="auto"/>
        <w:ind w:firstLine="420"/>
        <w:rPr>
          <w:rFonts w:ascii="宋体" w:hAnsi="宋体" w:cs="宋体"/>
          <w:highlight w:val="none"/>
          <w:u w:val="single"/>
        </w:rPr>
      </w:pPr>
      <w:r>
        <w:rPr>
          <w:rFonts w:hint="eastAsia" w:ascii="宋体" w:hAnsi="宋体" w:cs="宋体"/>
          <w:highlight w:val="none"/>
          <w:u w:val="single"/>
        </w:rPr>
        <w:t>11.9、做好施工场地周围建筑物、构筑物和地下管线和已完工程部分的成品保护工作，因乙方责任发生损坏，乙方自行承担由此引起的一切经济损失及各种违约金；</w:t>
      </w:r>
    </w:p>
    <w:p w14:paraId="42B42C91">
      <w:pPr>
        <w:spacing w:line="360" w:lineRule="auto"/>
        <w:ind w:firstLine="420"/>
        <w:rPr>
          <w:rFonts w:ascii="宋体" w:hAnsi="宋体" w:cs="宋体"/>
          <w:highlight w:val="none"/>
          <w:u w:val="single"/>
        </w:rPr>
      </w:pPr>
      <w:r>
        <w:rPr>
          <w:rFonts w:hint="eastAsia" w:ascii="宋体" w:hAnsi="宋体" w:cs="宋体"/>
          <w:highlight w:val="none"/>
          <w:u w:val="single"/>
        </w:rPr>
        <w:t>11.10、妥善保管、合理使用甲方提供或租赁给乙方使用的机具、周转材料及其他设施；</w:t>
      </w:r>
    </w:p>
    <w:p w14:paraId="663771FD">
      <w:pPr>
        <w:spacing w:line="360" w:lineRule="auto"/>
        <w:ind w:firstLine="420"/>
        <w:rPr>
          <w:rFonts w:ascii="宋体" w:hAnsi="宋体" w:cs="宋体"/>
          <w:highlight w:val="none"/>
          <w:u w:val="single"/>
        </w:rPr>
      </w:pPr>
      <w:r>
        <w:rPr>
          <w:rFonts w:hint="eastAsia" w:ascii="宋体" w:hAnsi="宋体" w:cs="宋体"/>
          <w:highlight w:val="none"/>
          <w:u w:val="single"/>
        </w:rPr>
        <w:t>11.11、乙方必须服从甲方转发的业主及监理工程师的指令；</w:t>
      </w:r>
    </w:p>
    <w:p w14:paraId="3072010A">
      <w:pPr>
        <w:spacing w:line="360" w:lineRule="auto"/>
        <w:ind w:firstLine="420"/>
        <w:rPr>
          <w:rFonts w:ascii="宋体" w:hAnsi="宋体" w:cs="宋体"/>
          <w:highlight w:val="none"/>
          <w:u w:val="single"/>
        </w:rPr>
      </w:pPr>
      <w:r>
        <w:rPr>
          <w:rFonts w:hint="eastAsia" w:ascii="宋体" w:hAnsi="宋体" w:cs="宋体"/>
          <w:highlight w:val="none"/>
          <w:u w:val="single"/>
        </w:rPr>
        <w:t>11.12、乙方应对其作业内容的实施、完工负责，各劳务分部分项工程需甲方同意方可实施，不得在未取得甲方技术安全交底的情况下，擅自施工，每发现1次，乙方向甲方支付违约金10000元，累计发现三次，甲方有权解除合同并清场。乙方应承担并履行甲方合同约定的与劳务作业有关的所有义务及实施程序；</w:t>
      </w:r>
    </w:p>
    <w:p w14:paraId="59598211">
      <w:pPr>
        <w:spacing w:line="360" w:lineRule="auto"/>
        <w:ind w:firstLine="420"/>
        <w:rPr>
          <w:rFonts w:ascii="宋体" w:hAnsi="宋体" w:cs="宋体"/>
          <w:highlight w:val="none"/>
          <w:u w:val="single"/>
        </w:rPr>
      </w:pPr>
      <w:r>
        <w:rPr>
          <w:rFonts w:hint="eastAsia" w:ascii="宋体" w:hAnsi="宋体" w:cs="宋体"/>
          <w:highlight w:val="none"/>
          <w:u w:val="single"/>
        </w:rPr>
        <w:t>11.13、乙方的工作范围除了包含设计图纸及清单内的所有工作内容外，还包括甲方的相关变更联系单、通知单、会议纪要等，乙方对甲方下发的各项文件资料（包括各类通知、施工变更、违约金支付单、工程技术文件等）应及时签收，无故拒收或拖延签收3天以上，乙方应向甲方支付10000元违约金，对于因拒收文件资料延误施工造成的一切损失，由乙方承担；</w:t>
      </w:r>
    </w:p>
    <w:p w14:paraId="482608D9">
      <w:pPr>
        <w:spacing w:line="360" w:lineRule="auto"/>
        <w:ind w:firstLine="420"/>
        <w:rPr>
          <w:rFonts w:ascii="宋体" w:hAnsi="宋体" w:cs="宋体"/>
          <w:highlight w:val="none"/>
          <w:u w:val="single"/>
        </w:rPr>
      </w:pPr>
      <w:r>
        <w:rPr>
          <w:rFonts w:hint="eastAsia" w:ascii="宋体" w:hAnsi="宋体" w:cs="宋体"/>
          <w:highlight w:val="none"/>
          <w:u w:val="single"/>
        </w:rPr>
        <w:t>11.14、乙方应当按照甲方书面指定的开工日期开工。乙方不能按时开工，应当不迟于甲方通知的开工日期前3天，以书面形式向甲方提出延期开工的理由和要求。甲方应当在接到延期开工申请后的48小时内以书面形式答复乙方。甲方在接到延期开工申请后48小时内不答复，视为同意乙方要求，工期相应顺延。甲方不同意延期要求或乙方未在规定时间内提出延期开工要求，工期不予顺延。乙方接到书面开工通知，超过10天未开工的，甲方有权解除合同并清场。</w:t>
      </w:r>
    </w:p>
    <w:p w14:paraId="4428697D">
      <w:pPr>
        <w:spacing w:line="360" w:lineRule="auto"/>
        <w:ind w:firstLine="420"/>
        <w:rPr>
          <w:rFonts w:ascii="宋体" w:hAnsi="宋体" w:cs="宋体"/>
          <w:highlight w:val="yellow"/>
          <w:u w:val="single"/>
        </w:rPr>
      </w:pPr>
      <w:r>
        <w:rPr>
          <w:rFonts w:hint="eastAsia" w:ascii="宋体" w:hAnsi="宋体" w:cs="宋体"/>
          <w:highlight w:val="yellow"/>
          <w:u w:val="single"/>
        </w:rPr>
        <w:t>11.15、乙方应缴纳的</w:t>
      </w:r>
      <w:r>
        <w:rPr>
          <w:rFonts w:hint="eastAsia" w:ascii="宋体" w:hAnsi="宋体" w:cs="宋体"/>
          <w:highlight w:val="yellow"/>
          <w:u w:val="single"/>
          <w:lang w:val="en-US" w:eastAsia="zh-CN"/>
        </w:rPr>
        <w:t>履约</w:t>
      </w:r>
      <w:r>
        <w:rPr>
          <w:rFonts w:hint="eastAsia" w:ascii="宋体" w:hAnsi="宋体" w:cs="宋体"/>
          <w:highlight w:val="yellow"/>
          <w:u w:val="single"/>
        </w:rPr>
        <w:t>保证金</w:t>
      </w:r>
    </w:p>
    <w:p w14:paraId="27936A04">
      <w:pPr>
        <w:spacing w:line="360" w:lineRule="auto"/>
        <w:ind w:firstLine="420" w:firstLineChars="0"/>
        <w:rPr>
          <w:rFonts w:hint="eastAsia" w:ascii="宋体" w:hAnsi="宋体" w:eastAsia="宋体" w:cs="宋体"/>
          <w:highlight w:val="green"/>
          <w:u w:val="single"/>
        </w:rPr>
      </w:pPr>
      <w:r>
        <w:rPr>
          <w:rFonts w:hint="eastAsia" w:ascii="宋体" w:hAnsi="宋体" w:eastAsia="宋体" w:cs="宋体"/>
          <w:highlight w:val="green"/>
          <w:u w:val="single"/>
        </w:rPr>
        <w:t>履约保证金缴纳方式：</w:t>
      </w:r>
      <w:r>
        <w:rPr>
          <w:rFonts w:hint="eastAsia" w:ascii="宋体" w:hAnsi="宋体" w:eastAsia="宋体" w:cs="宋体"/>
          <w:highlight w:val="green"/>
          <w:u w:val="single"/>
          <w:lang w:eastAsia="zh-CN"/>
        </w:rPr>
        <w:t>现金或无条件银行履约保函或见索即付履约保险保单</w:t>
      </w:r>
      <w:r>
        <w:rPr>
          <w:rFonts w:hint="eastAsia" w:ascii="宋体" w:hAnsi="宋体" w:eastAsia="宋体" w:cs="宋体"/>
          <w:highlight w:val="green"/>
          <w:u w:val="single"/>
        </w:rPr>
        <w:t>。</w:t>
      </w:r>
    </w:p>
    <w:p w14:paraId="17161F66">
      <w:pPr>
        <w:spacing w:line="360" w:lineRule="auto"/>
        <w:ind w:firstLine="420" w:firstLineChars="0"/>
        <w:rPr>
          <w:rFonts w:hint="eastAsia" w:ascii="宋体" w:hAnsi="宋体" w:eastAsia="宋体" w:cs="宋体"/>
          <w:highlight w:val="green"/>
          <w:u w:val="single"/>
        </w:rPr>
      </w:pPr>
      <w:r>
        <w:rPr>
          <w:rFonts w:hint="eastAsia" w:ascii="宋体" w:hAnsi="宋体" w:eastAsia="宋体" w:cs="宋体"/>
          <w:highlight w:val="green"/>
          <w:u w:val="single"/>
        </w:rPr>
        <w:t>履约保证金缴纳额度：</w:t>
      </w:r>
      <w:r>
        <w:rPr>
          <w:rFonts w:hint="eastAsia" w:ascii="宋体" w:hAnsi="宋体" w:cs="宋体"/>
          <w:highlight w:val="green"/>
          <w:u w:val="single"/>
          <w:lang w:val="en-US" w:eastAsia="zh-CN"/>
        </w:rPr>
        <w:t>合同价的10%</w:t>
      </w:r>
      <w:r>
        <w:rPr>
          <w:rFonts w:hint="eastAsia" w:ascii="宋体" w:hAnsi="宋体" w:eastAsia="宋体" w:cs="宋体"/>
          <w:highlight w:val="green"/>
          <w:u w:val="single"/>
        </w:rPr>
        <w:t>。</w:t>
      </w:r>
    </w:p>
    <w:p w14:paraId="4382918F">
      <w:pPr>
        <w:spacing w:line="360" w:lineRule="auto"/>
        <w:ind w:firstLine="428"/>
        <w:rPr>
          <w:rFonts w:ascii="宋体" w:hAnsi="宋体" w:cs="宋体"/>
          <w:highlight w:val="none"/>
          <w:u w:val="single"/>
        </w:rPr>
      </w:pPr>
      <w:r>
        <w:rPr>
          <w:rFonts w:hint="eastAsia" w:ascii="宋体" w:hAnsi="宋体" w:cs="宋体"/>
          <w:highlight w:val="green"/>
          <w:u w:val="single"/>
          <w:lang w:eastAsia="zh-CN"/>
        </w:rPr>
        <w:t>乙方</w:t>
      </w:r>
      <w:r>
        <w:rPr>
          <w:rFonts w:hint="eastAsia" w:ascii="宋体" w:hAnsi="宋体" w:eastAsia="宋体" w:cs="宋体"/>
          <w:highlight w:val="green"/>
          <w:u w:val="single"/>
        </w:rPr>
        <w:t>须在成交结果公示结束后10个工作日内</w:t>
      </w:r>
      <w:r>
        <w:rPr>
          <w:rFonts w:hint="eastAsia" w:ascii="宋体" w:hAnsi="宋体" w:eastAsia="宋体" w:cs="宋体"/>
          <w:highlight w:val="green"/>
          <w:u w:val="single"/>
          <w:lang w:eastAsia="zh-CN"/>
        </w:rPr>
        <w:t>，合同签订前</w:t>
      </w:r>
      <w:r>
        <w:rPr>
          <w:rFonts w:hint="eastAsia" w:ascii="宋体" w:hAnsi="宋体" w:eastAsia="宋体" w:cs="宋体"/>
          <w:highlight w:val="green"/>
          <w:u w:val="single"/>
        </w:rPr>
        <w:t>向</w:t>
      </w:r>
      <w:r>
        <w:rPr>
          <w:rFonts w:hint="eastAsia" w:ascii="宋体" w:hAnsi="宋体" w:cs="宋体"/>
          <w:highlight w:val="green"/>
          <w:u w:val="single"/>
          <w:lang w:eastAsia="zh-CN"/>
        </w:rPr>
        <w:t>甲方</w:t>
      </w:r>
      <w:r>
        <w:rPr>
          <w:rFonts w:hint="eastAsia" w:ascii="宋体" w:hAnsi="宋体" w:eastAsia="宋体" w:cs="宋体"/>
          <w:highlight w:val="green"/>
          <w:u w:val="single"/>
        </w:rPr>
        <w:t>足额提交履约保证金，未按规定提交履约担保的，视为</w:t>
      </w:r>
      <w:r>
        <w:rPr>
          <w:rFonts w:hint="eastAsia" w:ascii="宋体" w:hAnsi="宋体" w:cs="宋体"/>
          <w:highlight w:val="green"/>
          <w:u w:val="single"/>
          <w:lang w:eastAsia="zh-CN"/>
        </w:rPr>
        <w:t>乙方</w:t>
      </w:r>
      <w:r>
        <w:rPr>
          <w:rFonts w:hint="eastAsia" w:ascii="宋体" w:hAnsi="宋体" w:eastAsia="宋体" w:cs="宋体"/>
          <w:highlight w:val="green"/>
          <w:u w:val="single"/>
        </w:rPr>
        <w:t>放弃</w:t>
      </w:r>
      <w:r>
        <w:rPr>
          <w:rFonts w:hint="eastAsia" w:ascii="宋体" w:hAnsi="宋体" w:eastAsia="宋体" w:cs="宋体"/>
          <w:highlight w:val="green"/>
          <w:u w:val="single"/>
          <w:lang w:eastAsia="zh-CN"/>
        </w:rPr>
        <w:t>成交</w:t>
      </w:r>
      <w:r>
        <w:rPr>
          <w:rFonts w:hint="eastAsia" w:ascii="宋体" w:hAnsi="宋体" w:eastAsia="宋体" w:cs="宋体"/>
          <w:highlight w:val="green"/>
          <w:u w:val="single"/>
        </w:rPr>
        <w:t>项目，同时按规定没收其</w:t>
      </w:r>
      <w:r>
        <w:rPr>
          <w:rFonts w:hint="eastAsia" w:ascii="宋体" w:hAnsi="宋体" w:eastAsia="宋体" w:cs="宋体"/>
          <w:highlight w:val="green"/>
          <w:u w:val="single"/>
          <w:lang w:eastAsia="zh-CN"/>
        </w:rPr>
        <w:t>谈判</w:t>
      </w:r>
      <w:r>
        <w:rPr>
          <w:rFonts w:hint="eastAsia" w:ascii="宋体" w:hAnsi="宋体" w:eastAsia="宋体" w:cs="宋体"/>
          <w:highlight w:val="green"/>
          <w:u w:val="single"/>
        </w:rPr>
        <w:t>保证金。履约保证金待本项目完工后30天内（无息）退还。</w:t>
      </w:r>
    </w:p>
    <w:p w14:paraId="5D4277BC">
      <w:pPr>
        <w:spacing w:line="360" w:lineRule="auto"/>
        <w:ind w:firstLine="420"/>
        <w:rPr>
          <w:rFonts w:ascii="宋体" w:hAnsi="宋体" w:cs="宋体"/>
          <w:highlight w:val="none"/>
          <w:u w:val="single"/>
        </w:rPr>
      </w:pPr>
      <w:r>
        <w:rPr>
          <w:rFonts w:hint="eastAsia" w:ascii="宋体" w:hAnsi="宋体" w:cs="宋体"/>
          <w:highlight w:val="yellow"/>
          <w:u w:val="single"/>
        </w:rPr>
        <w:t>1</w:t>
      </w:r>
      <w:r>
        <w:rPr>
          <w:rFonts w:hint="eastAsia" w:ascii="宋体" w:hAnsi="宋体" w:cs="宋体"/>
          <w:highlight w:val="yellow"/>
          <w:u w:val="single"/>
          <w:lang w:val="en-US" w:eastAsia="zh-CN"/>
        </w:rPr>
        <w:t>1</w:t>
      </w:r>
      <w:r>
        <w:rPr>
          <w:rFonts w:hint="eastAsia" w:ascii="宋体" w:hAnsi="宋体" w:cs="宋体"/>
          <w:highlight w:val="yellow"/>
          <w:u w:val="single"/>
        </w:rPr>
        <w:t>.16、</w:t>
      </w:r>
      <w:r>
        <w:rPr>
          <w:rFonts w:hint="eastAsia" w:ascii="宋体" w:hAnsi="宋体" w:cs="宋体"/>
          <w:highlight w:val="none"/>
          <w:u w:val="single"/>
        </w:rPr>
        <w:t>依法维护所属人员的合法权益，按时、足额发放劳务作业人员的劳务报酬；及时办理、申报和变更社会保险和人身综合保险，设立维权告示牌或举报电话；提供劳动保护设施设备，发放符合各工种要求的劳动防护用品；组织法律法规规定的各项安全技术培训和上岗前的有关安全、消防等规章制度的培训；承担不按法律法规规定履行或不完全履行义务所产生的一切后果。</w:t>
      </w:r>
    </w:p>
    <w:p w14:paraId="1D3352BD">
      <w:pPr>
        <w:spacing w:line="360" w:lineRule="auto"/>
        <w:ind w:firstLine="420"/>
        <w:rPr>
          <w:rFonts w:ascii="宋体" w:hAnsi="宋体" w:cs="宋体"/>
          <w:highlight w:val="none"/>
          <w:u w:val="single"/>
        </w:rPr>
      </w:pPr>
      <w:r>
        <w:rPr>
          <w:rFonts w:hint="eastAsia" w:ascii="宋体" w:hAnsi="宋体" w:cs="宋体"/>
          <w:highlight w:val="none"/>
          <w:u w:val="single"/>
        </w:rPr>
        <w:t>11.17、除非本合同另有约定，乙方应对其作业内容的实施、完工负责，乙方应承担并履行总包合同约定的、与劳务作业有关的所有义务及工作程序。</w:t>
      </w:r>
    </w:p>
    <w:p w14:paraId="23CCC40B">
      <w:pPr>
        <w:spacing w:line="360" w:lineRule="auto"/>
        <w:ind w:firstLine="420"/>
        <w:rPr>
          <w:rFonts w:ascii="宋体" w:hAnsi="宋体" w:cs="宋体"/>
          <w:highlight w:val="none"/>
          <w:u w:val="single"/>
        </w:rPr>
      </w:pPr>
      <w:r>
        <w:rPr>
          <w:rFonts w:hint="eastAsia" w:ascii="宋体" w:hAnsi="宋体" w:cs="宋体"/>
          <w:highlight w:val="none"/>
          <w:u w:val="single"/>
        </w:rPr>
        <w:t>11.18、协助甲方办理施工许可证、质监、安监等手续。</w:t>
      </w:r>
    </w:p>
    <w:p w14:paraId="69B7A77C">
      <w:pPr>
        <w:spacing w:line="360" w:lineRule="auto"/>
        <w:ind w:firstLine="420"/>
        <w:rPr>
          <w:rFonts w:ascii="宋体" w:hAnsi="宋体" w:cs="宋体"/>
          <w:highlight w:val="yellow"/>
          <w:u w:val="single"/>
        </w:rPr>
      </w:pPr>
      <w:r>
        <w:rPr>
          <w:rFonts w:hint="eastAsia" w:ascii="宋体" w:hAnsi="宋体" w:cs="宋体"/>
          <w:highlight w:val="none"/>
          <w:u w:val="single"/>
        </w:rPr>
        <w:t>11.19、</w:t>
      </w:r>
      <w:r>
        <w:rPr>
          <w:rFonts w:hint="eastAsia" w:ascii="宋体" w:hAnsi="宋体" w:cs="宋体"/>
          <w:highlight w:val="yellow"/>
          <w:u w:val="single"/>
        </w:rPr>
        <w:t>乙方负责编制竣工材料，竣工资料的内容：完整的竣工资料及竣工验收报告，同时提供符合存档要求的竣工图及工程资料，包括竣工图纸、施工记录、材料、设备的出厂资料、试验（调试）报告等，必须做到真实且符合国标和有关规范规定。</w:t>
      </w:r>
    </w:p>
    <w:p w14:paraId="09B51F6F">
      <w:pPr>
        <w:spacing w:line="360" w:lineRule="auto"/>
        <w:ind w:firstLine="420"/>
        <w:rPr>
          <w:rFonts w:ascii="宋体" w:hAnsi="宋体" w:cs="宋体"/>
          <w:highlight w:val="yellow"/>
          <w:u w:val="single"/>
        </w:rPr>
      </w:pPr>
      <w:r>
        <w:rPr>
          <w:rFonts w:hint="eastAsia" w:ascii="宋体" w:hAnsi="宋体" w:cs="宋体"/>
          <w:highlight w:val="yellow"/>
          <w:u w:val="single"/>
        </w:rPr>
        <w:t>乙方需要提交的竣工资料套数：不少于两套竣工资料原件，四套复印件及电子文档(含竣工图八套)二套。</w:t>
      </w:r>
    </w:p>
    <w:p w14:paraId="02166230">
      <w:pPr>
        <w:spacing w:line="360" w:lineRule="auto"/>
        <w:ind w:firstLine="420"/>
        <w:rPr>
          <w:rFonts w:ascii="宋体" w:hAnsi="宋体" w:cs="宋体"/>
          <w:highlight w:val="yellow"/>
          <w:u w:val="single"/>
        </w:rPr>
      </w:pPr>
      <w:r>
        <w:rPr>
          <w:rFonts w:hint="eastAsia" w:ascii="宋体" w:hAnsi="宋体" w:cs="宋体"/>
          <w:highlight w:val="yellow"/>
          <w:u w:val="single"/>
        </w:rPr>
        <w:t>乙方提交的竣工资料的费用由乙方承担。</w:t>
      </w:r>
    </w:p>
    <w:p w14:paraId="27A370C2">
      <w:pPr>
        <w:spacing w:line="360" w:lineRule="auto"/>
        <w:ind w:firstLine="420"/>
        <w:rPr>
          <w:rFonts w:ascii="宋体" w:hAnsi="宋体" w:cs="宋体"/>
          <w:highlight w:val="none"/>
          <w:u w:val="single"/>
        </w:rPr>
      </w:pPr>
      <w:r>
        <w:rPr>
          <w:rFonts w:hint="eastAsia" w:ascii="宋体" w:hAnsi="宋体" w:cs="宋体"/>
          <w:highlight w:val="none"/>
          <w:u w:val="single"/>
        </w:rPr>
        <w:t>11.20乙方提交竣工结算申请单的期限：工程竣工后乙方应组织相关工程技术管理人员编制工程结算书，并在工程竣工后90天内（房建工程要求150天内）将竣工结算材料报送甲方；若乙方未按要求完成该部分工作，视为违约。每延误一天支付违约金1000元，合同价5000万元及以下项目违约金上限为合同价的2%（不超过10万元）、合同价5000万元-1亿元（含）项目违约金上限为15万元、合同价1亿元以上项目违约金上限为20万元。违约金甲方有权在结算价款中直接扣除。</w:t>
      </w:r>
    </w:p>
    <w:p w14:paraId="1B7468B1">
      <w:pPr>
        <w:spacing w:line="360" w:lineRule="auto"/>
        <w:ind w:firstLine="420"/>
        <w:rPr>
          <w:rFonts w:ascii="宋体" w:hAnsi="宋体" w:cs="宋体"/>
          <w:highlight w:val="none"/>
        </w:rPr>
      </w:pPr>
      <w:r>
        <w:rPr>
          <w:rFonts w:hint="eastAsia" w:ascii="宋体" w:hAnsi="宋体" w:cs="宋体"/>
          <w:highlight w:val="none"/>
          <w:u w:val="single"/>
        </w:rPr>
        <w:t>11.21乙方提交的竣工资料移交时间：工程竣工验收合格后90天内（房建工程要求150天内）提供符合</w:t>
      </w:r>
      <w:r>
        <w:rPr>
          <w:rFonts w:hint="eastAsia" w:ascii="宋体" w:hAnsi="宋体" w:cs="宋体"/>
          <w:highlight w:val="yellow"/>
          <w:u w:val="single"/>
        </w:rPr>
        <w:t>城建档案馆和</w:t>
      </w:r>
      <w:r>
        <w:rPr>
          <w:rFonts w:hint="eastAsia" w:ascii="宋体" w:hAnsi="宋体" w:cs="宋体"/>
          <w:highlight w:val="none"/>
          <w:u w:val="single"/>
        </w:rPr>
        <w:t>行政质检监督部门要求的叁套完整的竣工验收资料、竣工图、完整的竣工结算资料和竣工结算书等其他资料。当报送的资料不符合相关主管部门要求而重新报送或补送资料的，其资料报送有效时间为乙方最后一次报送时间。若乙方未按要求完成该部分工作，视为违约。每延误一天支付违约金1000元，合同价5000万元及以下项目违约金上限为合同价的2%（不超过10万元）、合同价5000万元-1亿元（含）项目违约金上限为15万元、合同价1亿元以上项目违约金上限为20万元。违约金甲方有权在结算价款中直接扣除。造成甲方管理费用的增加或造成甲方违约的，应由乙方承担。甲方保留进一步向乙方索赔补偿损失不足部分的权利。</w:t>
      </w:r>
    </w:p>
    <w:p w14:paraId="72E875A0">
      <w:pPr>
        <w:pStyle w:val="4"/>
        <w:numPr>
          <w:ilvl w:val="0"/>
          <w:numId w:val="6"/>
        </w:numPr>
        <w:spacing w:before="0" w:after="0" w:line="360" w:lineRule="auto"/>
        <w:ind w:firstLine="653"/>
        <w:rPr>
          <w:rFonts w:ascii="宋体" w:hAnsi="宋体" w:cs="宋体"/>
          <w:highlight w:val="none"/>
        </w:rPr>
      </w:pPr>
      <w:r>
        <w:rPr>
          <w:rFonts w:hint="eastAsia" w:ascii="宋体" w:hAnsi="宋体" w:cs="宋体"/>
          <w:highlight w:val="none"/>
        </w:rPr>
        <w:t>安全文明施工与劳务用工管理</w:t>
      </w:r>
    </w:p>
    <w:p w14:paraId="1A774741">
      <w:pPr>
        <w:spacing w:line="360" w:lineRule="auto"/>
        <w:ind w:firstLine="420"/>
        <w:rPr>
          <w:rFonts w:ascii="宋体" w:hAnsi="宋体" w:cs="宋体"/>
          <w:highlight w:val="none"/>
          <w:u w:val="single"/>
        </w:rPr>
      </w:pPr>
      <w:r>
        <w:rPr>
          <w:rFonts w:hint="eastAsia" w:ascii="宋体" w:hAnsi="宋体" w:cs="宋体"/>
          <w:highlight w:val="none"/>
          <w:u w:val="single"/>
        </w:rPr>
        <w:t>12.1、安全文明施工</w:t>
      </w:r>
    </w:p>
    <w:p w14:paraId="640C635B">
      <w:pPr>
        <w:spacing w:line="360" w:lineRule="auto"/>
        <w:ind w:firstLine="420"/>
        <w:rPr>
          <w:rFonts w:ascii="宋体" w:hAnsi="宋体" w:cs="宋体"/>
          <w:highlight w:val="none"/>
          <w:u w:val="single"/>
        </w:rPr>
      </w:pPr>
      <w:r>
        <w:rPr>
          <w:rFonts w:hint="eastAsia" w:ascii="宋体" w:hAnsi="宋体" w:cs="宋体"/>
          <w:highlight w:val="none"/>
          <w:u w:val="single"/>
        </w:rPr>
        <w:t>12.1.1、安全生产要求</w:t>
      </w:r>
    </w:p>
    <w:p w14:paraId="6C355C6B">
      <w:pPr>
        <w:spacing w:line="360" w:lineRule="auto"/>
        <w:ind w:firstLine="420"/>
        <w:rPr>
          <w:rFonts w:ascii="宋体" w:hAnsi="宋体" w:cs="宋体"/>
          <w:highlight w:val="none"/>
          <w:u w:val="single"/>
        </w:rPr>
      </w:pPr>
      <w:r>
        <w:rPr>
          <w:rFonts w:hint="eastAsia" w:ascii="宋体" w:hAnsi="宋体" w:cs="宋体"/>
          <w:highlight w:val="none"/>
          <w:u w:val="single"/>
        </w:rPr>
        <w:t>（1）合同履行期间，合同当事人均应当遵守国家和工程所在地有关安全生产的要求。乙方有权拒绝甲方及监理人强令乙方违章作业、冒险施工的任何指示。</w:t>
      </w:r>
    </w:p>
    <w:p w14:paraId="6A92E86E">
      <w:pPr>
        <w:spacing w:line="360" w:lineRule="auto"/>
        <w:ind w:firstLine="420"/>
        <w:rPr>
          <w:rFonts w:ascii="宋体" w:hAnsi="宋体" w:cs="宋体"/>
          <w:highlight w:val="none"/>
          <w:u w:val="single"/>
        </w:rPr>
      </w:pPr>
      <w:r>
        <w:rPr>
          <w:rFonts w:hint="eastAsia" w:ascii="宋体" w:hAnsi="宋体" w:cs="宋体"/>
          <w:highlight w:val="none"/>
          <w:u w:val="single"/>
        </w:rPr>
        <w:t>（2）在施工过程中，如遇到突发的地质变动、事先未知的地下施工障碍等影响施工安全的紧急情况，乙方应第一时间报告甲方，甲方上报发包人和监理人。</w:t>
      </w:r>
    </w:p>
    <w:p w14:paraId="01101FA8">
      <w:pPr>
        <w:spacing w:line="360" w:lineRule="auto"/>
        <w:ind w:firstLine="420"/>
        <w:rPr>
          <w:rFonts w:ascii="宋体" w:hAnsi="宋体" w:cs="宋体"/>
          <w:highlight w:val="none"/>
          <w:u w:val="single"/>
        </w:rPr>
      </w:pPr>
      <w:r>
        <w:rPr>
          <w:rFonts w:hint="eastAsia" w:ascii="宋体" w:hAnsi="宋体" w:cs="宋体"/>
          <w:highlight w:val="none"/>
          <w:u w:val="single"/>
        </w:rPr>
        <w:t>（3）项目安全生产的达标目标及相应事项的约定：发包人及建设主管单位将对施工现场进行周期性检查，该检查应不影响正常施工，乙方应予以配合。乙方应当遵守工程建设安全生产有关管理规定，严格按安全标准组织施工，并随时接受监督检查，采取必要的安全防护措施，消除事故隐患，安全防护费用已含在合同价款内。在整个合同实施过程中，乙方应对现场人员的安全、现场秩序、工程保护、环境保护等负责。并对工地围护、照明、防护、标志、警告信号、保卫人员等作出具体安排，甲方需及时审核并验收。并按照国家、江苏省、连云港市有关规定及施工现场实际情况做好施工现场的安全保卫工作及非夜间施工照明，确保施工安全，如甲方及监理人强令乙方违章作业、冒险施工，乙方不承担任何责任，如乙方未遵守国家和工程所在地有关安全生产的要求，施工现场发生的安全事故由乙方</w:t>
      </w:r>
      <w:r>
        <w:rPr>
          <w:rFonts w:hint="eastAsia" w:ascii="宋体" w:hAnsi="宋体" w:cs="宋体"/>
          <w:highlight w:val="none"/>
          <w:u w:val="single"/>
          <w:lang w:val="en-US" w:eastAsia="zh-CN"/>
        </w:rPr>
        <w:t>依据法规</w:t>
      </w:r>
      <w:r>
        <w:rPr>
          <w:rFonts w:hint="eastAsia" w:ascii="宋体" w:hAnsi="宋体" w:cs="宋体"/>
          <w:highlight w:val="none"/>
          <w:u w:val="single"/>
        </w:rPr>
        <w:t>承担</w:t>
      </w:r>
      <w:r>
        <w:rPr>
          <w:rFonts w:hint="eastAsia" w:ascii="宋体" w:hAnsi="宋体" w:cs="宋体"/>
          <w:highlight w:val="none"/>
          <w:u w:val="single"/>
          <w:lang w:val="en-US" w:eastAsia="zh-CN"/>
        </w:rPr>
        <w:t>主要</w:t>
      </w:r>
      <w:r>
        <w:rPr>
          <w:rFonts w:hint="eastAsia" w:ascii="宋体" w:hAnsi="宋体" w:cs="宋体"/>
          <w:highlight w:val="none"/>
          <w:u w:val="single"/>
        </w:rPr>
        <w:t>责任。承包方应配合相邻标段共同做好现场有组织排水、排污工作，不得因此影响施工进度。乙方负责施工现场的安全及第三方人身安全。安全文明施工必须符合甲方的标准化工地规定，并以甲方确定为准。</w:t>
      </w:r>
    </w:p>
    <w:p w14:paraId="2E437C64">
      <w:pPr>
        <w:snapToGrid w:val="0"/>
        <w:ind w:firstLine="420"/>
        <w:rPr>
          <w:rFonts w:cs="宋体"/>
          <w:highlight w:val="none"/>
          <w:u w:val="single"/>
        </w:rPr>
      </w:pPr>
      <w:bookmarkStart w:id="203" w:name="安全文明施工补充"/>
      <w:r>
        <w:rPr>
          <w:rFonts w:hint="eastAsia" w:cs="宋体"/>
          <w:highlight w:val="none"/>
          <w:u w:val="single"/>
        </w:rPr>
        <w:sym w:font="Wingdings 2" w:char="0052"/>
      </w:r>
      <w:r>
        <w:rPr>
          <w:rFonts w:hint="eastAsia" w:cs="宋体"/>
          <w:highlight w:val="none"/>
          <w:u w:val="single"/>
        </w:rPr>
        <w:t>（徐圩城建）（4）安全文明施工费</w:t>
      </w:r>
    </w:p>
    <w:p w14:paraId="725D39E9">
      <w:pPr>
        <w:snapToGrid w:val="0"/>
        <w:ind w:firstLine="420"/>
        <w:rPr>
          <w:rFonts w:cs="宋体"/>
          <w:highlight w:val="none"/>
          <w:u w:val="single"/>
        </w:rPr>
      </w:pPr>
      <w:r>
        <w:rPr>
          <w:rFonts w:hint="eastAsia" w:cs="宋体"/>
          <w:highlight w:val="none"/>
          <w:u w:val="single"/>
        </w:rPr>
        <w:t>①合同价款中已包含安全文明施工费，具体费率详见附件1</w:t>
      </w:r>
      <w:r>
        <w:rPr>
          <w:rFonts w:hint="eastAsia" w:cs="宋体"/>
          <w:highlight w:val="none"/>
          <w:u w:val="single"/>
          <w:lang w:val="en-US" w:eastAsia="zh-CN"/>
        </w:rPr>
        <w:t>8</w:t>
      </w:r>
      <w:r>
        <w:rPr>
          <w:rFonts w:hint="eastAsia" w:cs="宋体"/>
          <w:highlight w:val="none"/>
          <w:u w:val="single"/>
        </w:rPr>
        <w:t>《安全生产费用投入取费标准》。</w:t>
      </w:r>
    </w:p>
    <w:p w14:paraId="3E359A68">
      <w:pPr>
        <w:snapToGrid w:val="0"/>
        <w:ind w:firstLine="420"/>
        <w:rPr>
          <w:rFonts w:cs="宋体"/>
          <w:highlight w:val="none"/>
          <w:u w:val="single"/>
        </w:rPr>
      </w:pPr>
      <w:r>
        <w:rPr>
          <w:rFonts w:hint="eastAsia" w:cs="宋体"/>
          <w:highlight w:val="none"/>
          <w:u w:val="single"/>
        </w:rPr>
        <w:t>②安全文明施工费由</w:t>
      </w:r>
      <w:r>
        <w:rPr>
          <w:rFonts w:hint="eastAsia" w:cs="宋体"/>
          <w:highlight w:val="none"/>
          <w:u w:val="single"/>
          <w:lang w:val="en-US" w:eastAsia="zh-CN"/>
        </w:rPr>
        <w:t>甲方</w:t>
      </w:r>
      <w:r>
        <w:rPr>
          <w:rFonts w:hint="eastAsia" w:cs="宋体"/>
          <w:highlight w:val="none"/>
          <w:u w:val="single"/>
        </w:rPr>
        <w:t>统一管理。工程承包人因工程整体安全管理费用的需要支出的安全文明施工费，应按相应比例计为劳务分包人安全文明施工费。</w:t>
      </w:r>
    </w:p>
    <w:p w14:paraId="3ED13142">
      <w:pPr>
        <w:snapToGrid w:val="0"/>
        <w:ind w:firstLine="420"/>
        <w:rPr>
          <w:rFonts w:cs="宋体"/>
          <w:highlight w:val="none"/>
          <w:u w:val="single"/>
        </w:rPr>
      </w:pPr>
      <w:r>
        <w:rPr>
          <w:rFonts w:hint="eastAsia" w:cs="宋体"/>
          <w:highlight w:val="none"/>
          <w:u w:val="single"/>
        </w:rPr>
        <w:t>③安全文明施工费由劳务分包人实施的，应执行工程承包人关于安全文明施工费投入的管理要求，制定专项安全防护措施及施工方案，经项目部审核同意后实施。劳务分包人按计划进行安全文明施工费投入后应向工程承包人申请相关费用计量签认，经工程承包人签认后，确认属于安全生产范围的，予以计量；未实际投入或未经工程承包人签认的费用不予计量。</w:t>
      </w:r>
    </w:p>
    <w:p w14:paraId="19AD2CF1">
      <w:pPr>
        <w:snapToGrid w:val="0"/>
        <w:ind w:firstLine="420"/>
        <w:rPr>
          <w:rFonts w:cs="宋体"/>
          <w:highlight w:val="none"/>
          <w:u w:val="single"/>
        </w:rPr>
      </w:pPr>
      <w:r>
        <w:rPr>
          <w:rFonts w:hint="eastAsia" w:cs="宋体"/>
          <w:highlight w:val="none"/>
          <w:u w:val="single"/>
        </w:rPr>
        <w:t>④劳务分包人实际支出的安全文明施工费超出合同协议书约定的安全文明施工费部分，由劳务分包人自行承担。</w:t>
      </w:r>
    </w:p>
    <w:p w14:paraId="2544B32E">
      <w:pPr>
        <w:snapToGrid w:val="0"/>
        <w:ind w:firstLine="420"/>
        <w:rPr>
          <w:rFonts w:cs="宋体"/>
          <w:highlight w:val="none"/>
          <w:u w:val="single"/>
        </w:rPr>
      </w:pPr>
      <w:r>
        <w:rPr>
          <w:rFonts w:hint="eastAsia" w:cs="宋体"/>
          <w:highlight w:val="none"/>
          <w:u w:val="single"/>
        </w:rPr>
        <w:t>⑤安全文明施工费支付条件：随进度款支付相应的安全生产费。</w:t>
      </w:r>
    </w:p>
    <w:p w14:paraId="6D943EEF">
      <w:pPr>
        <w:snapToGrid w:val="0"/>
        <w:ind w:firstLine="420"/>
        <w:rPr>
          <w:rFonts w:cs="宋体"/>
          <w:highlight w:val="none"/>
          <w:u w:val="single"/>
        </w:rPr>
      </w:pPr>
      <w:r>
        <w:rPr>
          <w:rFonts w:hint="eastAsia" w:cs="宋体"/>
          <w:highlight w:val="none"/>
          <w:u w:val="single"/>
        </w:rPr>
        <w:t>⑥劳务分包人</w:t>
      </w:r>
      <w:r>
        <w:rPr>
          <w:rFonts w:hint="eastAsia" w:cs="宋体"/>
          <w:highlight w:val="none"/>
          <w:u w:val="single"/>
          <w:lang w:val="en-US" w:eastAsia="zh-CN"/>
        </w:rPr>
        <w:t>未</w:t>
      </w:r>
      <w:r>
        <w:rPr>
          <w:rFonts w:hint="eastAsia" w:cs="宋体"/>
          <w:highlight w:val="none"/>
          <w:u w:val="single"/>
        </w:rPr>
        <w:t>按要求投入安全文明施工费的，工程承包人有权责令其限期整改；逾期未整改的，有权责令其暂停施工，由此增加的费用和延误的工期由劳务分包人承担。</w:t>
      </w:r>
    </w:p>
    <w:p w14:paraId="194346A8">
      <w:pPr>
        <w:snapToGrid w:val="0"/>
        <w:ind w:firstLine="420"/>
        <w:rPr>
          <w:rFonts w:cs="宋体"/>
          <w:highlight w:val="none"/>
          <w:u w:val="single"/>
        </w:rPr>
      </w:pPr>
      <w:r>
        <w:rPr>
          <w:rFonts w:hint="eastAsia" w:cs="宋体"/>
          <w:highlight w:val="none"/>
          <w:u w:val="single"/>
        </w:rPr>
        <w:sym w:font="Wingdings 2" w:char="0052"/>
      </w:r>
      <w:r>
        <w:rPr>
          <w:rFonts w:hint="eastAsia" w:cs="宋体"/>
          <w:highlight w:val="none"/>
          <w:u w:val="single"/>
        </w:rPr>
        <w:t>（徐圩城建）（5）合同报价包含安全文明施工费基本费、安全文明施工费增加费、扬尘污染防治增加费、环境保护税，劳务分包人需无条件配合工程承包人申请此部分费用，如因施工现场不达标等原因导致申请不到此费用，则在劳务分包人结算款中相应扣除。</w:t>
      </w:r>
    </w:p>
    <w:p w14:paraId="1434729D">
      <w:pPr>
        <w:snapToGrid w:val="0"/>
        <w:ind w:firstLine="420"/>
        <w:rPr>
          <w:rFonts w:cs="宋体"/>
          <w:highlight w:val="none"/>
          <w:u w:val="single"/>
        </w:rPr>
      </w:pPr>
      <w:r>
        <w:rPr>
          <w:rFonts w:hint="eastAsia" w:cs="宋体"/>
          <w:highlight w:val="none"/>
          <w:u w:val="single"/>
        </w:rPr>
        <w:t>（6）未尽事宜详见</w:t>
      </w:r>
      <w:r>
        <w:rPr>
          <w:rFonts w:hint="eastAsia" w:cs="宋体"/>
          <w:highlight w:val="none"/>
          <w:u w:val="single"/>
          <w:lang w:val="en-US" w:eastAsia="zh-CN"/>
        </w:rPr>
        <w:t>《连云港徐圩城建工程有限公司安全生产费用管理制度（试行）》</w:t>
      </w:r>
      <w:r>
        <w:rPr>
          <w:rFonts w:hint="eastAsia" w:cs="宋体"/>
          <w:highlight w:val="none"/>
          <w:u w:val="single"/>
        </w:rPr>
        <w:t>。</w:t>
      </w:r>
      <w:bookmarkEnd w:id="203"/>
    </w:p>
    <w:p w14:paraId="52001539">
      <w:pPr>
        <w:spacing w:line="360" w:lineRule="auto"/>
        <w:ind w:firstLine="420"/>
        <w:rPr>
          <w:rFonts w:ascii="宋体" w:hAnsi="宋体" w:cs="宋体"/>
          <w:highlight w:val="none"/>
          <w:u w:val="single"/>
        </w:rPr>
      </w:pPr>
      <w:r>
        <w:rPr>
          <w:rFonts w:hint="eastAsia" w:ascii="宋体" w:hAnsi="宋体" w:cs="宋体"/>
          <w:highlight w:val="none"/>
          <w:u w:val="single"/>
        </w:rPr>
        <w:t>12.1.2、安全生产保证措施</w:t>
      </w:r>
    </w:p>
    <w:p w14:paraId="2DD16368">
      <w:pPr>
        <w:spacing w:line="360" w:lineRule="auto"/>
        <w:ind w:firstLine="420"/>
        <w:rPr>
          <w:rFonts w:ascii="宋体" w:hAnsi="宋体" w:cs="宋体"/>
          <w:highlight w:val="none"/>
          <w:u w:val="single"/>
        </w:rPr>
      </w:pPr>
      <w:r>
        <w:rPr>
          <w:rFonts w:hint="eastAsia" w:ascii="宋体" w:hAnsi="宋体" w:cs="宋体"/>
          <w:highlight w:val="none"/>
          <w:u w:val="single"/>
        </w:rPr>
        <w:t>乙方应当按照有关规定编制安全技术措施或专项施工方案，每天如实更新安全生产台账和相关资料，并及时报甲方审查，建立健全安全生产责任制度、治安保卫制度及安全生产教育培训制度，并按安全生产法律规定及合同约定履行安全职责，如实编制工程安全生产的有关记录，接受甲方、发包人、监理人及政府安全监督部门的检查与监督。</w:t>
      </w:r>
    </w:p>
    <w:p w14:paraId="411AE945">
      <w:pPr>
        <w:spacing w:line="360" w:lineRule="auto"/>
        <w:ind w:firstLine="420"/>
        <w:rPr>
          <w:rFonts w:ascii="宋体" w:hAnsi="宋体" w:cs="宋体"/>
          <w:highlight w:val="none"/>
          <w:u w:val="single"/>
        </w:rPr>
      </w:pPr>
      <w:r>
        <w:rPr>
          <w:rFonts w:hint="eastAsia" w:ascii="宋体" w:hAnsi="宋体" w:cs="宋体"/>
          <w:highlight w:val="none"/>
          <w:u w:val="single"/>
        </w:rPr>
        <w:t>12.1.3、特别安全生产事项</w:t>
      </w:r>
    </w:p>
    <w:p w14:paraId="1C2E39D2">
      <w:pPr>
        <w:spacing w:line="360" w:lineRule="auto"/>
        <w:ind w:firstLine="420"/>
        <w:rPr>
          <w:rFonts w:ascii="宋体" w:hAnsi="宋体" w:cs="宋体"/>
          <w:highlight w:val="none"/>
          <w:u w:val="single"/>
        </w:rPr>
      </w:pPr>
      <w:r>
        <w:rPr>
          <w:rFonts w:hint="eastAsia" w:ascii="宋体" w:hAnsi="宋体" w:cs="宋体"/>
          <w:highlight w:val="none"/>
          <w:u w:val="single"/>
        </w:rPr>
        <w:t>乙方应按照法律规定进行施工，开工前和甲方一起做好安全技术交底工作，施工过程中做好各项安全防护措施。乙方为实施合同而雇用的特殊工种的人员应受过专门的培训并已取得政府有关管理机构颁发的上岗证书；</w:t>
      </w:r>
    </w:p>
    <w:p w14:paraId="7B1A0656">
      <w:pPr>
        <w:spacing w:line="360" w:lineRule="auto"/>
        <w:ind w:firstLine="420"/>
        <w:rPr>
          <w:rFonts w:ascii="宋体" w:hAnsi="宋体" w:cs="宋体"/>
          <w:highlight w:val="none"/>
          <w:u w:val="single"/>
        </w:rPr>
      </w:pPr>
      <w:r>
        <w:rPr>
          <w:rFonts w:hint="eastAsia" w:ascii="宋体" w:hAnsi="宋体" w:cs="宋体"/>
          <w:highlight w:val="none"/>
          <w:u w:val="single"/>
        </w:rPr>
        <w:t>需单独编制危险性较大分部分项专项工程施工方案的，及要求进行专家论证的超过一定规模的危险性较大的分部分项工程，乙方应及时编制，并参与甲方组织的论证会，严格按照论证会的有关要求执行。</w:t>
      </w:r>
    </w:p>
    <w:p w14:paraId="1986C401">
      <w:pPr>
        <w:spacing w:line="360" w:lineRule="auto"/>
        <w:ind w:firstLine="420"/>
        <w:rPr>
          <w:rFonts w:ascii="宋体" w:hAnsi="宋体" w:cs="宋体"/>
          <w:highlight w:val="none"/>
          <w:u w:val="single"/>
        </w:rPr>
      </w:pPr>
      <w:r>
        <w:rPr>
          <w:rFonts w:hint="eastAsia" w:ascii="宋体" w:hAnsi="宋体" w:cs="宋体"/>
          <w:highlight w:val="none"/>
          <w:u w:val="single"/>
        </w:rPr>
        <w:t>12.1.4、治安保卫：</w:t>
      </w:r>
    </w:p>
    <w:p w14:paraId="7331430F">
      <w:pPr>
        <w:spacing w:line="360" w:lineRule="auto"/>
        <w:ind w:firstLine="420"/>
        <w:rPr>
          <w:rFonts w:ascii="宋体" w:hAnsi="宋体" w:cs="宋体"/>
          <w:highlight w:val="none"/>
          <w:u w:val="single"/>
        </w:rPr>
      </w:pPr>
      <w:r>
        <w:rPr>
          <w:rFonts w:hint="eastAsia" w:ascii="宋体" w:hAnsi="宋体" w:cs="宋体"/>
          <w:highlight w:val="none"/>
          <w:u w:val="single"/>
        </w:rPr>
        <w:t>（1）按照国家、江苏省及连云港市有关规定及施工现场实际情况，甲方全面负责施工现场的施工治安保卫工作及非夜间照明，乙方必须按甲方要求配合参与，相关费用由乙方承担；</w:t>
      </w:r>
    </w:p>
    <w:p w14:paraId="56911027">
      <w:pPr>
        <w:spacing w:line="360" w:lineRule="auto"/>
        <w:ind w:firstLine="420"/>
        <w:rPr>
          <w:rFonts w:ascii="宋体" w:hAnsi="宋体" w:cs="宋体"/>
          <w:highlight w:val="none"/>
          <w:u w:val="single"/>
        </w:rPr>
      </w:pPr>
      <w:r>
        <w:rPr>
          <w:rFonts w:hint="eastAsia" w:ascii="宋体" w:hAnsi="宋体" w:cs="宋体"/>
          <w:highlight w:val="none"/>
          <w:u w:val="single"/>
        </w:rPr>
        <w:t>（2）乙方根据工程需要，提供和维修施工使用的照明、围栏设施，并负责安全保卫及承担因此而产生的一切费用。乙方在签订合同之前已察看了工地及周围的环境，掌握了所有与工程施工有关或对施工有影响的情况，如地理地质、水源、当地气候情况、道路、交通、劳动力的提供范围和周围居民和建筑物等。甲方将施工场地移交给乙方后，若发生非不可抗力或非甲方指令原因而影响施工导致工期拖延及财产损失，由乙方承担一切责任；</w:t>
      </w:r>
    </w:p>
    <w:p w14:paraId="00538F05">
      <w:pPr>
        <w:spacing w:line="360" w:lineRule="auto"/>
        <w:ind w:firstLine="420"/>
        <w:rPr>
          <w:rFonts w:ascii="宋体" w:hAnsi="宋体" w:cs="宋体"/>
          <w:highlight w:val="none"/>
          <w:u w:val="single"/>
        </w:rPr>
      </w:pPr>
      <w:r>
        <w:rPr>
          <w:rFonts w:hint="eastAsia" w:ascii="宋体" w:hAnsi="宋体" w:cs="宋体"/>
          <w:highlight w:val="none"/>
          <w:u w:val="single"/>
        </w:rPr>
        <w:t>（3）实施和完成本工程过程中，乙方应充分关注和保障所有在场人员及行人的安全，乙方应在开工后7日内编制施工场地治安管理计划，并制定应对突发治安事件的紧急预案。在工程施工过程中，发生暴乱、爆炸等恐怖事件以及群殴、械斗等群体性突发治安事件的，应立即上报并采取有效措施积极处理；</w:t>
      </w:r>
    </w:p>
    <w:p w14:paraId="58005D44">
      <w:pPr>
        <w:spacing w:line="360" w:lineRule="auto"/>
        <w:ind w:firstLine="420"/>
        <w:rPr>
          <w:rFonts w:ascii="宋体" w:hAnsi="宋体" w:cs="宋体"/>
          <w:highlight w:val="none"/>
          <w:u w:val="single"/>
        </w:rPr>
      </w:pPr>
      <w:r>
        <w:rPr>
          <w:rFonts w:hint="eastAsia" w:ascii="宋体" w:hAnsi="宋体" w:cs="宋体"/>
          <w:highlight w:val="none"/>
          <w:u w:val="single"/>
        </w:rPr>
        <w:t>（4）关于编制施工场地治安管理计划的约定：为保护本工程免遭损坏，或为现场附近和过往人群的安全与方便，在确有必要的时候和地方，当监理工程师或有关主管部门要求时，乙方应提供照明、警卫、护栅、警告标志等安全防护措施，非施工人员不得进入现场。乙方应对其在施工场地的工作人员进行治安管理教育，制定相应管理制度，并对他们的安全负责。</w:t>
      </w:r>
    </w:p>
    <w:p w14:paraId="4710D60D">
      <w:pPr>
        <w:spacing w:line="360" w:lineRule="auto"/>
        <w:ind w:firstLine="420"/>
        <w:rPr>
          <w:rFonts w:ascii="宋体" w:hAnsi="宋体" w:cs="宋体"/>
          <w:highlight w:val="none"/>
          <w:u w:val="single"/>
        </w:rPr>
      </w:pPr>
      <w:r>
        <w:rPr>
          <w:rFonts w:hint="eastAsia" w:ascii="宋体" w:hAnsi="宋体" w:cs="宋体"/>
          <w:highlight w:val="none"/>
          <w:u w:val="single"/>
        </w:rPr>
        <w:t>12.1.5、文明施工</w:t>
      </w:r>
    </w:p>
    <w:p w14:paraId="6E73F38E">
      <w:pPr>
        <w:spacing w:line="360" w:lineRule="auto"/>
        <w:ind w:firstLine="420"/>
        <w:rPr>
          <w:rFonts w:ascii="宋体" w:hAnsi="宋体" w:cs="宋体"/>
          <w:highlight w:val="none"/>
          <w:u w:val="single"/>
        </w:rPr>
      </w:pPr>
      <w:r>
        <w:rPr>
          <w:rFonts w:hint="eastAsia" w:ascii="宋体" w:hAnsi="宋体" w:cs="宋体"/>
          <w:highlight w:val="none"/>
          <w:u w:val="single"/>
        </w:rPr>
        <w:t>合同当事人对文明施工的要求：</w:t>
      </w:r>
    </w:p>
    <w:p w14:paraId="375D4D33">
      <w:pPr>
        <w:spacing w:line="360" w:lineRule="auto"/>
        <w:ind w:firstLine="420"/>
        <w:rPr>
          <w:rFonts w:ascii="宋体" w:hAnsi="宋体" w:cs="宋体"/>
          <w:highlight w:val="none"/>
          <w:u w:val="single"/>
        </w:rPr>
      </w:pPr>
      <w:r>
        <w:rPr>
          <w:rFonts w:hint="eastAsia" w:ascii="宋体" w:hAnsi="宋体" w:cs="宋体"/>
          <w:highlight w:val="none"/>
          <w:u w:val="single"/>
        </w:rPr>
        <w:t>乙方保证遵守政府主管部门对施工场地交通、施工噪音以及和安全生产有关的管理规定，按规定办理有关手续，并以书面形式告知甲方、监理单位，以上费用由乙方承担。乙方承担未尽遵守责任造成的违约金，并赔偿因此而给甲方带来的损失。乙方保证严格遵守有关环境保护法律法规，并严格按照环境检查审核要求，加强施工现场的环境管理，在施工过程中严格落实粉尘、废水等污染防治措施及生态保护、水土保持措施，由此发生的费用及违约金由乙方负责。</w:t>
      </w:r>
    </w:p>
    <w:p w14:paraId="26FB7101">
      <w:pPr>
        <w:spacing w:line="360" w:lineRule="auto"/>
        <w:ind w:firstLine="420"/>
        <w:rPr>
          <w:rFonts w:ascii="宋体" w:hAnsi="宋体" w:cs="宋体"/>
          <w:highlight w:val="none"/>
          <w:u w:val="single"/>
        </w:rPr>
      </w:pPr>
      <w:r>
        <w:rPr>
          <w:rFonts w:hint="eastAsia" w:ascii="宋体" w:hAnsi="宋体" w:cs="宋体"/>
          <w:highlight w:val="none"/>
          <w:u w:val="single"/>
        </w:rPr>
        <w:t>施工过程所需一切证件（包括夜间施工许可）由乙方配合甲方及时办理。如发生扰民和民扰自行妥善处理并承担相关费用。</w:t>
      </w:r>
    </w:p>
    <w:p w14:paraId="1A516324">
      <w:pPr>
        <w:spacing w:line="360" w:lineRule="auto"/>
        <w:ind w:firstLine="420"/>
        <w:rPr>
          <w:rFonts w:ascii="宋体" w:hAnsi="宋体" w:cs="宋体"/>
          <w:highlight w:val="none"/>
          <w:u w:val="single"/>
        </w:rPr>
      </w:pPr>
      <w:r>
        <w:rPr>
          <w:rFonts w:hint="eastAsia" w:ascii="宋体" w:hAnsi="宋体" w:cs="宋体"/>
          <w:highlight w:val="none"/>
          <w:u w:val="single"/>
        </w:rPr>
        <w:t>乙方须考虑污水排放，排至甲方指定位置，并办理相关手续。保证施工现场清洁卫生符合有关规定，达到文明工地要求，费用已包括在乙方投标报价内。乙方在施工过程中做到工完场清。工程竣工后7天内清理现场，并将门窗、地面、墙面等擦拭干净，所有现场临时设施必须在7天内拆除完毕并使场地恢复清洁，所发生的拆除费用由乙方自行承担。</w:t>
      </w:r>
    </w:p>
    <w:p w14:paraId="27A8D08D">
      <w:pPr>
        <w:spacing w:line="360" w:lineRule="auto"/>
        <w:ind w:firstLine="420"/>
        <w:rPr>
          <w:rFonts w:ascii="宋体" w:hAnsi="宋体" w:cs="宋体"/>
          <w:highlight w:val="none"/>
          <w:u w:val="single"/>
        </w:rPr>
      </w:pPr>
      <w:r>
        <w:rPr>
          <w:rFonts w:hint="eastAsia" w:ascii="宋体" w:hAnsi="宋体" w:cs="宋体"/>
          <w:highlight w:val="none"/>
          <w:u w:val="single"/>
        </w:rPr>
        <w:t>施工过程中因工程需要甲方临时指令拆除或转移现场临时设施的，乙方必须在指定期限内拆除转移完毕，费用由乙方承担。乙方必须按甲方规定的时间先行搬迁，乙方不执行甲方指令的，视同乙方违约，每延迟一日，乙方向甲方支付10000元的违约金。</w:t>
      </w:r>
    </w:p>
    <w:p w14:paraId="2C1A2BF1">
      <w:pPr>
        <w:spacing w:line="360" w:lineRule="auto"/>
        <w:ind w:firstLine="420"/>
        <w:rPr>
          <w:rFonts w:ascii="宋体" w:hAnsi="宋体" w:cs="宋体"/>
          <w:highlight w:val="none"/>
          <w:u w:val="single"/>
        </w:rPr>
      </w:pPr>
      <w:r>
        <w:rPr>
          <w:rFonts w:hint="eastAsia" w:ascii="宋体" w:hAnsi="宋体" w:cs="宋体"/>
          <w:highlight w:val="none"/>
          <w:u w:val="single"/>
        </w:rPr>
        <w:t>因乙方现场清洁卫生工作不到位，导致投诉或遭新闻媒体曝光，乙方承担由此产生的一切后果和费用，经查实后，每次给予5000元违约金。乙方要制定生活和环境卫生管理制度，要搞好职工宿舍卫生和食堂的饮食卫生，并做好厕所保洁工作。临时搭建须经甲方批准，且应整齐美观，并严格执行甲方标准化工地要求的相关规定，每发现一次扣除违约金2000元。</w:t>
      </w:r>
    </w:p>
    <w:p w14:paraId="12E95441">
      <w:pPr>
        <w:spacing w:line="360" w:lineRule="auto"/>
        <w:ind w:firstLine="420"/>
        <w:rPr>
          <w:rFonts w:ascii="宋体" w:hAnsi="宋体" w:cs="宋体"/>
          <w:highlight w:val="none"/>
          <w:u w:val="single"/>
        </w:rPr>
      </w:pPr>
      <w:r>
        <w:rPr>
          <w:rFonts w:hint="eastAsia" w:ascii="宋体" w:hAnsi="宋体" w:cs="宋体"/>
          <w:highlight w:val="none"/>
          <w:u w:val="single"/>
        </w:rPr>
        <w:t>发现发生打架斗殴、偷盗等行为的，每人次违约金1000元，相关人员作开除处理。</w:t>
      </w:r>
    </w:p>
    <w:p w14:paraId="7D4C5B2F">
      <w:pPr>
        <w:spacing w:line="360" w:lineRule="auto"/>
        <w:ind w:firstLine="420"/>
        <w:rPr>
          <w:rFonts w:ascii="宋体" w:hAnsi="宋体" w:cs="宋体"/>
          <w:highlight w:val="none"/>
          <w:u w:val="single"/>
        </w:rPr>
      </w:pPr>
      <w:r>
        <w:rPr>
          <w:rFonts w:hint="eastAsia" w:ascii="宋体" w:hAnsi="宋体" w:cs="宋体"/>
          <w:highlight w:val="none"/>
          <w:u w:val="single"/>
        </w:rPr>
        <w:t>工地职工宿舍严禁使用大功率电器、煤气罐、电热毯等有消防隐患的设备、设施，每发现一次，扣除违约金2000元。</w:t>
      </w:r>
    </w:p>
    <w:p w14:paraId="050574AD">
      <w:pPr>
        <w:spacing w:line="360" w:lineRule="auto"/>
        <w:ind w:firstLine="420"/>
        <w:rPr>
          <w:rFonts w:ascii="宋体" w:hAnsi="宋体" w:cs="宋体"/>
          <w:szCs w:val="22"/>
          <w:highlight w:val="none"/>
          <w:u w:val="single"/>
        </w:rPr>
      </w:pPr>
      <w:r>
        <w:rPr>
          <w:rFonts w:hint="eastAsia" w:ascii="宋体" w:hAnsi="宋体" w:cs="宋体"/>
          <w:szCs w:val="22"/>
          <w:highlight w:val="none"/>
          <w:u w:val="single"/>
        </w:rPr>
        <w:t>12.2、劳务用工管理</w:t>
      </w:r>
    </w:p>
    <w:p w14:paraId="59BDB34E">
      <w:pPr>
        <w:spacing w:line="360" w:lineRule="auto"/>
        <w:ind w:firstLine="420"/>
        <w:rPr>
          <w:rFonts w:ascii="宋体" w:hAnsi="宋体" w:cs="宋体"/>
          <w:szCs w:val="22"/>
          <w:highlight w:val="none"/>
          <w:u w:val="single"/>
        </w:rPr>
      </w:pPr>
      <w:r>
        <w:rPr>
          <w:rFonts w:hint="eastAsia" w:ascii="宋体" w:hAnsi="宋体" w:cs="宋体"/>
          <w:szCs w:val="22"/>
          <w:highlight w:val="none"/>
          <w:u w:val="single"/>
        </w:rPr>
        <w:t>12.2.1、双方共同对施工劳务人员进行实名制管理。乙方在专业班组进场前,书面约定工资标准、发放时间等,书面约定工资支付主体及工资标准,是否由乙方代发,避免产生纠纷时虚报工价套取工资。同时劳务分包分向甲方提供全部施工人员名册、身份证复印件、劳动合同及上岗证，并对所提供的人员名册及证件的真实性负责，一人一档。乙方应配备一名专职劳务管理员</w:t>
      </w:r>
      <w:bookmarkStart w:id="204" w:name="劳务管理员"/>
      <w:r>
        <w:rPr>
          <w:rFonts w:hint="eastAsia" w:ascii="宋体" w:hAnsi="宋体" w:cs="宋体"/>
          <w:szCs w:val="22"/>
          <w:highlight w:val="none"/>
          <w:u w:val="single"/>
        </w:rPr>
        <w:t xml:space="preserve">         ，联系电话             </w:t>
      </w:r>
      <w:bookmarkEnd w:id="204"/>
      <w:r>
        <w:rPr>
          <w:rFonts w:hint="eastAsia" w:ascii="宋体" w:hAnsi="宋体" w:cs="宋体"/>
          <w:szCs w:val="22"/>
          <w:highlight w:val="none"/>
          <w:u w:val="single"/>
        </w:rPr>
        <w:t>，配合甲方按照建设主管部门规定，做到实名制“六统一”（即花名册、身份证、劳动合同、工人月工程量确认书、岗位技能证、工资支付表）等管理工作。</w:t>
      </w:r>
    </w:p>
    <w:p w14:paraId="7DAFD4B5">
      <w:pPr>
        <w:spacing w:line="360" w:lineRule="auto"/>
        <w:ind w:firstLine="420"/>
        <w:rPr>
          <w:rFonts w:ascii="宋体" w:hAnsi="宋体" w:cs="宋体"/>
          <w:szCs w:val="22"/>
          <w:highlight w:val="yellow"/>
          <w:u w:val="single"/>
        </w:rPr>
      </w:pPr>
      <w:r>
        <w:rPr>
          <w:rFonts w:hint="eastAsia" w:ascii="宋体" w:hAnsi="宋体" w:cs="宋体"/>
          <w:szCs w:val="22"/>
          <w:highlight w:val="yellow"/>
          <w:u w:val="single"/>
        </w:rPr>
        <w:t>12.2.2、乙方执行甲方考勤管理制度，由承包人将施工人员信息录入考勤打卡机，人员变动时随之更新信息。施工人员每个工作日均需打卡，作为领取工资的依据。如乙方未将施工人员信息录入考勤打卡机或未按要求打卡，无考勤记录则无劳动报酬，视其未参与本工程的施工。若因乙方与施工人员未签订劳动合同或者施工人员考勤缺失，导致农民工工资不能按时发放的，由此造成的后果由乙方承担。</w:t>
      </w:r>
    </w:p>
    <w:p w14:paraId="36A7FC8F">
      <w:pPr>
        <w:spacing w:line="360" w:lineRule="auto"/>
        <w:ind w:firstLine="420"/>
        <w:rPr>
          <w:rFonts w:hint="eastAsia" w:ascii="宋体" w:hAnsi="宋体" w:eastAsia="宋体" w:cs="宋体"/>
          <w:szCs w:val="22"/>
          <w:highlight w:val="none"/>
          <w:u w:val="single"/>
          <w:lang w:eastAsia="zh-CN"/>
        </w:rPr>
      </w:pPr>
      <w:r>
        <w:rPr>
          <w:rFonts w:hint="eastAsia" w:ascii="宋体" w:hAnsi="宋体" w:cs="宋体"/>
          <w:szCs w:val="22"/>
          <w:highlight w:val="none"/>
          <w:u w:val="single"/>
        </w:rPr>
        <w:t>12.2.3、乙方执行甲方考勤管理制度，指令专人将施工人员信息录入考勤打卡机，人员变动时随之更新信息。施工人员每个工作日均需打卡，作为领取工资的依据。如乙方未将施工人员信息录入考勤打卡机或未按要求打卡，无考勤记录则无劳动报酬，视其未参与本工程的施工</w:t>
      </w:r>
      <w:r>
        <w:rPr>
          <w:rFonts w:hint="eastAsia" w:ascii="宋体" w:hAnsi="宋体" w:cs="宋体"/>
          <w:szCs w:val="22"/>
          <w:highlight w:val="none"/>
          <w:u w:val="single"/>
          <w:lang w:eastAsia="zh-CN"/>
        </w:rPr>
        <w:t>。</w:t>
      </w:r>
    </w:p>
    <w:p w14:paraId="5E825828">
      <w:pPr>
        <w:spacing w:line="360" w:lineRule="auto"/>
        <w:ind w:firstLine="420"/>
        <w:rPr>
          <w:rFonts w:ascii="宋体" w:hAnsi="宋体" w:cs="宋体"/>
          <w:szCs w:val="22"/>
          <w:highlight w:val="none"/>
          <w:u w:val="single"/>
        </w:rPr>
      </w:pPr>
      <w:r>
        <w:rPr>
          <w:rFonts w:hint="eastAsia" w:ascii="宋体" w:hAnsi="宋体" w:cs="宋体"/>
          <w:szCs w:val="22"/>
          <w:highlight w:val="none"/>
          <w:u w:val="single"/>
        </w:rPr>
        <w:t>12.</w:t>
      </w:r>
      <w:r>
        <w:rPr>
          <w:rFonts w:hint="eastAsia" w:ascii="宋体" w:hAnsi="宋体" w:cs="宋体"/>
          <w:szCs w:val="22"/>
          <w:highlight w:val="yellow"/>
          <w:u w:val="single"/>
        </w:rPr>
        <w:t>2.4</w:t>
      </w:r>
      <w:r>
        <w:rPr>
          <w:rFonts w:hint="eastAsia" w:ascii="宋体" w:hAnsi="宋体" w:cs="宋体"/>
          <w:szCs w:val="22"/>
          <w:highlight w:val="none"/>
          <w:u w:val="single"/>
        </w:rPr>
        <w:t>、双方均应书面授权专人按月核对考勤记录，并在考勤记录上签字。乙方按其施工人员在本工地的考勤记录编制《农民工资汇总表》，甲方审核。本项目执行苏方洋〔2025〕84号文，乙方每月3号前从建筑工人管理服务信息平台中导出工人考勤清单，农民工本人签字确认的工资汇总表、工程量计量等支付申请资料，并书面上报甲方。甲方将工资拨付到农民工工资专用账户，乙方须同时提供等额增值税专用发票。</w:t>
      </w:r>
    </w:p>
    <w:p w14:paraId="6929C055">
      <w:pPr>
        <w:spacing w:line="360" w:lineRule="auto"/>
        <w:ind w:firstLine="420"/>
        <w:rPr>
          <w:rFonts w:ascii="宋体" w:hAnsi="宋体" w:cs="宋体"/>
          <w:szCs w:val="22"/>
          <w:highlight w:val="none"/>
          <w:u w:val="single"/>
        </w:rPr>
      </w:pPr>
      <w:r>
        <w:rPr>
          <w:rFonts w:hint="eastAsia" w:ascii="宋体" w:hAnsi="宋体" w:cs="宋体"/>
          <w:szCs w:val="22"/>
          <w:highlight w:val="none"/>
          <w:u w:val="single"/>
        </w:rPr>
        <w:t>12.2.5、如乙方不执行甲方的考勤管理制度，责其整改；整改不到位影响施工人员人工费发放的，每次向甲方支付违约金3000元；不按考勤记录编制施工人员人工费的，每次向甲方支付违约金3000元；乙方恶意虚报农民工工资的，每次向甲方支付违约金3000元。有工人未签订用工合同、签订阴阳合同（合同约定工资与实际不一致）或未进行考勤的，按人民币10000元/次向甲方支付违约金。</w:t>
      </w:r>
    </w:p>
    <w:p w14:paraId="3D817B98">
      <w:pPr>
        <w:spacing w:line="360" w:lineRule="auto"/>
        <w:ind w:firstLine="420"/>
        <w:rPr>
          <w:rFonts w:ascii="宋体" w:hAnsi="宋体" w:cs="宋体"/>
          <w:szCs w:val="22"/>
          <w:highlight w:val="none"/>
          <w:u w:val="single"/>
        </w:rPr>
      </w:pPr>
      <w:r>
        <w:rPr>
          <w:rFonts w:hint="eastAsia" w:ascii="宋体" w:hAnsi="宋体" w:cs="宋体"/>
          <w:szCs w:val="22"/>
          <w:highlight w:val="none"/>
          <w:u w:val="single"/>
        </w:rPr>
        <w:t>12.</w:t>
      </w:r>
      <w:r>
        <w:rPr>
          <w:rFonts w:hint="eastAsia" w:ascii="宋体" w:hAnsi="宋体" w:cs="宋体"/>
          <w:szCs w:val="22"/>
          <w:highlight w:val="yellow"/>
          <w:u w:val="single"/>
        </w:rPr>
        <w:t>2.6</w:t>
      </w:r>
      <w:r>
        <w:rPr>
          <w:rFonts w:hint="eastAsia" w:ascii="宋体" w:hAnsi="宋体" w:cs="宋体"/>
          <w:szCs w:val="22"/>
          <w:highlight w:val="none"/>
          <w:u w:val="single"/>
        </w:rPr>
        <w:t>、在未办理进度款支付之前，乙方不得恶意煽动、组织施工人员采用聚众围堵、停工、扣押财物等不当方式向甲方、业主、政府索取劳动报酬。如出现，甲方将追究因此而造成的名誉损失费，同时扣除全部履约保证金并有权解除合同。</w:t>
      </w:r>
    </w:p>
    <w:p w14:paraId="75835D0E">
      <w:pPr>
        <w:pStyle w:val="4"/>
        <w:spacing w:before="0" w:after="0" w:line="360" w:lineRule="auto"/>
        <w:ind w:firstLine="653"/>
        <w:rPr>
          <w:rFonts w:ascii="宋体" w:hAnsi="宋体" w:cs="宋体"/>
          <w:highlight w:val="none"/>
        </w:rPr>
      </w:pPr>
      <w:r>
        <w:rPr>
          <w:rFonts w:hint="eastAsia" w:ascii="宋体" w:hAnsi="宋体" w:cs="宋体"/>
          <w:highlight w:val="none"/>
        </w:rPr>
        <w:t>13安全施工与检查</w:t>
      </w:r>
    </w:p>
    <w:p w14:paraId="188774BA">
      <w:pPr>
        <w:spacing w:line="360" w:lineRule="auto"/>
        <w:ind w:firstLine="420"/>
        <w:rPr>
          <w:rFonts w:ascii="宋体" w:hAnsi="宋体" w:cs="宋体"/>
          <w:highlight w:val="none"/>
          <w:u w:val="single"/>
        </w:rPr>
      </w:pPr>
      <w:r>
        <w:rPr>
          <w:rFonts w:hint="eastAsia" w:ascii="宋体" w:hAnsi="宋体" w:cs="宋体"/>
          <w:highlight w:val="none"/>
          <w:u w:val="single"/>
        </w:rPr>
        <w:t>13.1、乙方应遵守工程建设安全生产有关管理规定，严格按安全标准进行施工，并随时接受行业安全检查人员依法实施的监督检查，采取必要的安全防护措施，消除事故隐患。由于乙方安全措施不力造成事故的责任和因此而发生的费用，由乙方承担。如因非甲方过错产生安全隐患，视安全隐患严重程度，甲方有权对乙方采取下发隐患整改通知单、乙方向甲方支付违约金或要求停工整顿等方式进行处罚，停工损失由乙方负担且工期不予顺延。</w:t>
      </w:r>
    </w:p>
    <w:p w14:paraId="6650D777">
      <w:pPr>
        <w:spacing w:line="360" w:lineRule="auto"/>
        <w:ind w:firstLine="420"/>
        <w:rPr>
          <w:rFonts w:ascii="宋体" w:hAnsi="宋体" w:cs="宋体"/>
          <w:highlight w:val="none"/>
        </w:rPr>
      </w:pPr>
      <w:r>
        <w:rPr>
          <w:rFonts w:hint="eastAsia" w:ascii="宋体" w:hAnsi="宋体" w:cs="宋体"/>
          <w:highlight w:val="none"/>
          <w:u w:val="single"/>
        </w:rPr>
        <w:t>13.2、甲方应对其在施工场地的工作人员进行安全教育，并对他们的安全负责。甲方不得要求乙方违反安全管理的规定进行施工。因甲方原因导致的安全事故，由甲方承担相应责任及发生的费用。</w:t>
      </w:r>
    </w:p>
    <w:p w14:paraId="52A0BE7E">
      <w:pPr>
        <w:pStyle w:val="4"/>
        <w:spacing w:before="0" w:after="0" w:line="360" w:lineRule="auto"/>
        <w:ind w:firstLine="653"/>
        <w:rPr>
          <w:rFonts w:ascii="宋体" w:hAnsi="宋体" w:cs="宋体"/>
          <w:highlight w:val="none"/>
        </w:rPr>
      </w:pPr>
      <w:r>
        <w:rPr>
          <w:rFonts w:hint="eastAsia" w:ascii="宋体" w:hAnsi="宋体" w:cs="宋体"/>
          <w:highlight w:val="none"/>
        </w:rPr>
        <w:t>14、安全防护</w:t>
      </w:r>
    </w:p>
    <w:p w14:paraId="7C76E0E3">
      <w:pPr>
        <w:spacing w:line="360" w:lineRule="auto"/>
        <w:ind w:firstLine="420"/>
        <w:rPr>
          <w:rFonts w:ascii="宋体" w:hAnsi="宋体" w:cs="宋体"/>
          <w:highlight w:val="none"/>
          <w:u w:val="single"/>
        </w:rPr>
      </w:pPr>
      <w:r>
        <w:rPr>
          <w:rFonts w:hint="eastAsia" w:ascii="宋体" w:hAnsi="宋体" w:cs="宋体"/>
          <w:highlight w:val="none"/>
          <w:u w:val="single"/>
        </w:rPr>
        <w:t>14.1、乙方在动力设备、输电线路、地下管道、密封防震车间、易燃易爆地段以及临街交通要道附近施工时，施工开始前应向甲方提出安全防护措施，经甲方认可后实施，防护措施费用由乙方承担。</w:t>
      </w:r>
    </w:p>
    <w:p w14:paraId="4B7CC659">
      <w:pPr>
        <w:spacing w:line="360" w:lineRule="auto"/>
        <w:ind w:firstLine="420"/>
        <w:rPr>
          <w:rFonts w:ascii="宋体" w:hAnsi="宋体" w:cs="宋体"/>
          <w:highlight w:val="none"/>
          <w:u w:val="single"/>
        </w:rPr>
      </w:pPr>
      <w:r>
        <w:rPr>
          <w:rFonts w:hint="eastAsia" w:ascii="宋体" w:hAnsi="宋体" w:cs="宋体"/>
          <w:highlight w:val="none"/>
          <w:u w:val="single"/>
        </w:rPr>
        <w:t>14.2、实施爆破作业，在放射、毒害性环境中工作（含储存、运输、使用）及使用毒害性、腐蚀性物品施工时，乙方应在施工前10天以书面形式通知甲方，并提出相应的安全防护措施，经甲方认可后实施，由乙方承担安全防护措施费用。</w:t>
      </w:r>
    </w:p>
    <w:p w14:paraId="74312FB6">
      <w:pPr>
        <w:spacing w:line="360" w:lineRule="auto"/>
        <w:ind w:firstLine="420"/>
        <w:rPr>
          <w:rFonts w:ascii="宋体" w:hAnsi="宋体" w:cs="宋体"/>
          <w:highlight w:val="none"/>
          <w:u w:val="single"/>
        </w:rPr>
      </w:pPr>
      <w:r>
        <w:rPr>
          <w:rFonts w:hint="eastAsia" w:ascii="宋体" w:hAnsi="宋体" w:cs="宋体"/>
          <w:highlight w:val="none"/>
          <w:u w:val="single"/>
        </w:rPr>
        <w:t>14.3、乙方在施工现场内应使用带有甲方标识的安全保护用品（如安全帽、安全带及其他保护用品），由乙方提供使用计划，经甲方批准后，由乙方负责供应。</w:t>
      </w:r>
    </w:p>
    <w:p w14:paraId="575CD226">
      <w:pPr>
        <w:pStyle w:val="4"/>
        <w:spacing w:before="0" w:after="0" w:line="360" w:lineRule="auto"/>
        <w:ind w:firstLine="653"/>
        <w:rPr>
          <w:rFonts w:ascii="宋体" w:hAnsi="宋体" w:cs="宋体"/>
          <w:highlight w:val="none"/>
        </w:rPr>
      </w:pPr>
      <w:r>
        <w:rPr>
          <w:rFonts w:hint="eastAsia" w:ascii="宋体" w:hAnsi="宋体" w:cs="宋体"/>
          <w:highlight w:val="none"/>
        </w:rPr>
        <w:t>15、事故处理</w:t>
      </w:r>
    </w:p>
    <w:p w14:paraId="7E91D137">
      <w:pPr>
        <w:spacing w:line="360" w:lineRule="auto"/>
        <w:ind w:firstLine="420"/>
        <w:rPr>
          <w:rFonts w:ascii="宋体" w:hAnsi="宋体" w:cs="宋体"/>
          <w:highlight w:val="none"/>
          <w:u w:val="single"/>
        </w:rPr>
      </w:pPr>
      <w:r>
        <w:rPr>
          <w:rFonts w:hint="eastAsia" w:ascii="宋体" w:hAnsi="宋体" w:cs="宋体"/>
          <w:highlight w:val="none"/>
          <w:u w:val="single"/>
        </w:rPr>
        <w:t>15.1、发生重大伤亡及其他安全事故，乙方应第一时间向甲方上报，并按有关规定立即上报有关部门并报告甲方，同时按国家有关法律、行政法规对事故进行处理。</w:t>
      </w:r>
    </w:p>
    <w:p w14:paraId="5E81BAE8">
      <w:pPr>
        <w:spacing w:line="360" w:lineRule="auto"/>
        <w:ind w:firstLine="420"/>
        <w:rPr>
          <w:rFonts w:ascii="宋体" w:hAnsi="宋体" w:cs="宋体"/>
          <w:highlight w:val="none"/>
          <w:u w:val="single"/>
        </w:rPr>
      </w:pPr>
      <w:r>
        <w:rPr>
          <w:rFonts w:hint="eastAsia" w:ascii="宋体" w:hAnsi="宋体" w:cs="宋体"/>
          <w:highlight w:val="none"/>
          <w:u w:val="single"/>
        </w:rPr>
        <w:t>15.2、乙方和甲方对事故责任有争议时，应按相关规定处理。</w:t>
      </w:r>
    </w:p>
    <w:p w14:paraId="231225A6">
      <w:pPr>
        <w:pStyle w:val="4"/>
        <w:spacing w:before="0" w:after="0" w:line="360" w:lineRule="auto"/>
        <w:ind w:firstLine="653"/>
        <w:rPr>
          <w:rFonts w:ascii="宋体" w:hAnsi="宋体" w:cs="宋体"/>
          <w:highlight w:val="none"/>
        </w:rPr>
      </w:pPr>
      <w:r>
        <w:rPr>
          <w:rFonts w:hint="eastAsia" w:ascii="宋体" w:hAnsi="宋体" w:cs="宋体"/>
          <w:highlight w:val="none"/>
        </w:rPr>
        <w:t>16、保险</w:t>
      </w:r>
    </w:p>
    <w:p w14:paraId="51615C13">
      <w:pPr>
        <w:spacing w:line="360" w:lineRule="auto"/>
        <w:ind w:firstLine="420"/>
        <w:rPr>
          <w:rFonts w:ascii="宋体" w:hAnsi="宋体" w:cs="宋体"/>
          <w:highlight w:val="none"/>
          <w:u w:val="single"/>
        </w:rPr>
      </w:pPr>
      <w:r>
        <w:rPr>
          <w:rFonts w:hint="eastAsia" w:ascii="宋体" w:hAnsi="宋体" w:cs="宋体"/>
          <w:highlight w:val="none"/>
          <w:u w:val="single"/>
        </w:rPr>
        <w:t>16.1、乙方施工开始前，甲方应获得发包人为施工场地内的自有人员及第三人人员生命财产办理的保险，且不需乙方支付保险费用。</w:t>
      </w:r>
    </w:p>
    <w:p w14:paraId="4906C42C">
      <w:pPr>
        <w:spacing w:line="360" w:lineRule="auto"/>
        <w:ind w:firstLine="420"/>
        <w:rPr>
          <w:rFonts w:ascii="宋体" w:hAnsi="宋体" w:cs="宋体"/>
          <w:highlight w:val="none"/>
          <w:u w:val="single"/>
        </w:rPr>
      </w:pPr>
      <w:r>
        <w:rPr>
          <w:rFonts w:hint="eastAsia" w:ascii="宋体" w:hAnsi="宋体" w:cs="宋体"/>
          <w:highlight w:val="none"/>
          <w:u w:val="single"/>
        </w:rPr>
        <w:t>16.2、甲方或乙方运至施工场地用于劳务施工的材料和待安装设备，属于甲方的由甲方办理或获得保险，属于乙方的由乙方办理或获得保险，且不需另一方支付保险费用。</w:t>
      </w:r>
    </w:p>
    <w:p w14:paraId="399C0CA5">
      <w:pPr>
        <w:spacing w:line="360" w:lineRule="auto"/>
        <w:ind w:firstLine="420"/>
        <w:rPr>
          <w:rFonts w:ascii="宋体" w:hAnsi="宋体" w:cs="宋体"/>
          <w:highlight w:val="none"/>
          <w:u w:val="single"/>
        </w:rPr>
      </w:pPr>
      <w:r>
        <w:rPr>
          <w:rFonts w:hint="eastAsia" w:ascii="宋体" w:hAnsi="宋体" w:cs="宋体"/>
          <w:highlight w:val="none"/>
          <w:u w:val="single"/>
        </w:rPr>
        <w:t>16.3、</w:t>
      </w:r>
      <w:r>
        <w:rPr>
          <w:rFonts w:hint="eastAsia" w:ascii="宋体" w:hAnsi="宋体" w:cs="宋体"/>
          <w:b/>
          <w:bCs/>
          <w:highlight w:val="none"/>
          <w:u w:val="single"/>
        </w:rPr>
        <w:t>乙方必须在合同签订后7日内，为从事作业的所有人员办理保额大于</w:t>
      </w:r>
      <w:bookmarkStart w:id="205" w:name="保险"/>
      <w:r>
        <w:rPr>
          <w:rFonts w:hint="eastAsia" w:ascii="宋体" w:hAnsi="宋体" w:cs="宋体"/>
          <w:b/>
          <w:bCs/>
          <w:highlight w:val="none"/>
          <w:u w:val="single"/>
          <w:lang w:val="en-US" w:eastAsia="zh-CN"/>
        </w:rPr>
        <w:t xml:space="preserve">  80  </w:t>
      </w:r>
      <w:bookmarkEnd w:id="205"/>
      <w:r>
        <w:rPr>
          <w:rFonts w:hint="eastAsia" w:ascii="宋体" w:hAnsi="宋体" w:cs="宋体"/>
          <w:b/>
          <w:bCs/>
          <w:highlight w:val="none"/>
          <w:u w:val="single"/>
        </w:rPr>
        <w:t>万元意外伤害保险，并为施工场地内自有人员生命财产和机械设备办理保险，支付保险费用。未按要求足额购买的，结算时将按照保费双倍扣除</w:t>
      </w:r>
      <w:r>
        <w:rPr>
          <w:rFonts w:hint="eastAsia" w:ascii="宋体" w:hAnsi="宋体" w:cs="宋体"/>
          <w:highlight w:val="none"/>
          <w:u w:val="single"/>
        </w:rPr>
        <w:t>。</w:t>
      </w:r>
    </w:p>
    <w:p w14:paraId="0A8EAD6A">
      <w:pPr>
        <w:spacing w:line="360" w:lineRule="auto"/>
        <w:ind w:firstLine="420"/>
        <w:rPr>
          <w:rFonts w:ascii="宋体" w:hAnsi="宋体" w:cs="宋体"/>
          <w:highlight w:val="none"/>
          <w:u w:val="single"/>
        </w:rPr>
      </w:pPr>
      <w:r>
        <w:rPr>
          <w:rFonts w:hint="eastAsia" w:ascii="宋体" w:hAnsi="宋体" w:cs="宋体"/>
          <w:highlight w:val="none"/>
          <w:u w:val="single"/>
        </w:rPr>
        <w:t>16.4、保险事故发生时，乙方和甲方有责任采取必要的措施，防止或减少损失。</w:t>
      </w:r>
    </w:p>
    <w:p w14:paraId="4CA54B15">
      <w:pPr>
        <w:pStyle w:val="4"/>
        <w:spacing w:before="0" w:after="0" w:line="360" w:lineRule="auto"/>
        <w:ind w:firstLine="653"/>
        <w:rPr>
          <w:rFonts w:ascii="宋体" w:hAnsi="宋体" w:cs="宋体"/>
          <w:highlight w:val="none"/>
        </w:rPr>
      </w:pPr>
      <w:r>
        <w:rPr>
          <w:rFonts w:hint="eastAsia" w:ascii="宋体" w:hAnsi="宋体" w:cs="宋体"/>
          <w:highlight w:val="none"/>
        </w:rPr>
        <w:t>17、材料、设备供应</w:t>
      </w:r>
    </w:p>
    <w:p w14:paraId="73C7FF85">
      <w:pPr>
        <w:spacing w:line="360" w:lineRule="auto"/>
        <w:ind w:firstLine="420"/>
        <w:rPr>
          <w:rFonts w:ascii="宋体" w:hAnsi="宋体" w:cs="宋体"/>
          <w:szCs w:val="22"/>
          <w:highlight w:val="none"/>
          <w:u w:val="single"/>
        </w:rPr>
      </w:pPr>
      <w:r>
        <w:rPr>
          <w:rFonts w:hint="eastAsia" w:ascii="宋体" w:hAnsi="宋体" w:cs="宋体"/>
          <w:szCs w:val="22"/>
          <w:highlight w:val="none"/>
          <w:u w:val="single"/>
        </w:rPr>
        <w:t>17.1、供应范围</w:t>
      </w:r>
    </w:p>
    <w:p w14:paraId="4DB06A65">
      <w:pPr>
        <w:spacing w:line="360" w:lineRule="auto"/>
        <w:ind w:firstLine="420"/>
        <w:rPr>
          <w:rFonts w:ascii="宋体" w:hAnsi="宋体" w:cs="宋体"/>
          <w:szCs w:val="22"/>
          <w:highlight w:val="none"/>
          <w:u w:val="single"/>
        </w:rPr>
      </w:pPr>
      <w:r>
        <w:rPr>
          <w:rFonts w:hint="eastAsia" w:ascii="宋体" w:hAnsi="宋体" w:cs="宋体"/>
          <w:szCs w:val="22"/>
          <w:highlight w:val="none"/>
          <w:u w:val="single"/>
        </w:rPr>
        <w:t>施工范围内除甲方提供材料、设备外，所有建筑用材料、周转材料、辅材由乙方承担，施工项目所使用的所有机械设备及机械用人工，除甲方提供外，均由乙方承担，</w:t>
      </w:r>
      <w:r>
        <w:rPr>
          <w:rFonts w:hint="eastAsia" w:ascii="宋体" w:hAnsi="宋体" w:cs="宋体"/>
          <w:szCs w:val="22"/>
          <w:highlight w:val="green"/>
          <w:u w:val="single"/>
          <w:lang w:eastAsia="zh-CN"/>
        </w:rPr>
        <w:t>（</w:t>
      </w:r>
      <w:r>
        <w:rPr>
          <w:rFonts w:hint="eastAsia" w:ascii="宋体" w:hAnsi="宋体" w:cs="宋体"/>
          <w:szCs w:val="22"/>
          <w:highlight w:val="green"/>
          <w:u w:val="single"/>
        </w:rPr>
        <w:t>具体详见附件</w:t>
      </w:r>
      <w:r>
        <w:rPr>
          <w:rFonts w:hint="eastAsia" w:ascii="宋体" w:hAnsi="宋体" w:eastAsia="宋体" w:cs="宋体"/>
          <w:szCs w:val="22"/>
          <w:highlight w:val="none"/>
          <w:u w:val="single"/>
          <w:lang w:eastAsia="zh-CN"/>
        </w:rPr>
        <w:t>（如有）</w:t>
      </w:r>
      <w:r>
        <w:rPr>
          <w:rFonts w:hint="eastAsia" w:ascii="宋体" w:hAnsi="宋体" w:cs="宋体"/>
          <w:szCs w:val="22"/>
          <w:highlight w:val="green"/>
          <w:u w:val="single"/>
        </w:rPr>
        <w:t>）</w:t>
      </w:r>
      <w:r>
        <w:rPr>
          <w:rFonts w:hint="eastAsia" w:ascii="宋体" w:hAnsi="宋体" w:cs="宋体"/>
          <w:szCs w:val="22"/>
          <w:highlight w:val="none"/>
          <w:u w:val="single"/>
        </w:rPr>
        <w:t>。供应范围发生变化时，应及时办理签证手续。</w:t>
      </w:r>
    </w:p>
    <w:p w14:paraId="4E9B768A">
      <w:pPr>
        <w:spacing w:line="360" w:lineRule="auto"/>
        <w:ind w:firstLine="420"/>
        <w:rPr>
          <w:rFonts w:ascii="宋体" w:hAnsi="宋体" w:cs="宋体"/>
          <w:szCs w:val="22"/>
          <w:highlight w:val="none"/>
          <w:u w:val="single"/>
        </w:rPr>
      </w:pPr>
      <w:r>
        <w:rPr>
          <w:rFonts w:hint="eastAsia" w:ascii="宋体" w:hAnsi="宋体" w:cs="宋体"/>
          <w:szCs w:val="22"/>
          <w:highlight w:val="none"/>
          <w:u w:val="single"/>
        </w:rPr>
        <w:t>17.2乙方在每批货物使用前，须提前1个月向甲方提交材料、设备、构配件供应计划（</w:t>
      </w:r>
      <w:r>
        <w:rPr>
          <w:rFonts w:hint="eastAsia" w:ascii="宋体" w:hAnsi="宋体" w:cs="宋体"/>
          <w:szCs w:val="22"/>
          <w:highlight w:val="green"/>
          <w:u w:val="single"/>
        </w:rPr>
        <w:t>具体表式见附件</w:t>
      </w:r>
      <w:r>
        <w:rPr>
          <w:rFonts w:hint="eastAsia" w:ascii="宋体" w:hAnsi="宋体" w:eastAsia="宋体" w:cs="宋体"/>
          <w:szCs w:val="22"/>
          <w:highlight w:val="none"/>
          <w:u w:val="single"/>
          <w:lang w:eastAsia="zh-CN"/>
        </w:rPr>
        <w:t>（如有）</w:t>
      </w:r>
      <w:r>
        <w:rPr>
          <w:rFonts w:hint="eastAsia" w:ascii="宋体" w:hAnsi="宋体" w:cs="宋体"/>
          <w:szCs w:val="22"/>
          <w:highlight w:val="none"/>
          <w:u w:val="single"/>
        </w:rPr>
        <w:t>）；经确认后，甲方应按供应计划要求的质量、品种、规格、型号、数量和供应时间等组织货源并及时交付；需要乙方运输、卸车的，乙方必须及时进行，费用由乙方承担。如质量、品种、规格、型号不符合要求，乙方应在验收时提出，甲方负责处理。</w:t>
      </w:r>
      <w:r>
        <w:rPr>
          <w:rFonts w:hint="eastAsia" w:ascii="宋体" w:hAnsi="宋体" w:cs="宋体"/>
          <w:b/>
          <w:bCs/>
          <w:szCs w:val="22"/>
          <w:highlight w:val="none"/>
          <w:u w:val="single"/>
        </w:rPr>
        <w:t>乙方应谨慎填报材料供应计划，材料多报视为损耗，执行17.4.1条款。因乙方原因导致产生的零星供货，所产生的运费、排产费等由乙方承担</w:t>
      </w:r>
      <w:r>
        <w:rPr>
          <w:rFonts w:hint="eastAsia" w:ascii="宋体" w:hAnsi="宋体" w:cs="宋体"/>
          <w:szCs w:val="22"/>
          <w:highlight w:val="none"/>
          <w:u w:val="single"/>
        </w:rPr>
        <w:t>。</w:t>
      </w:r>
    </w:p>
    <w:p w14:paraId="71F5FC11">
      <w:pPr>
        <w:spacing w:line="360" w:lineRule="auto"/>
        <w:ind w:firstLine="420"/>
        <w:rPr>
          <w:rFonts w:ascii="宋体" w:hAnsi="宋体" w:cs="宋体"/>
          <w:szCs w:val="22"/>
          <w:highlight w:val="none"/>
          <w:u w:val="single"/>
        </w:rPr>
      </w:pPr>
      <w:r>
        <w:rPr>
          <w:rFonts w:hint="eastAsia" w:ascii="宋体" w:hAnsi="宋体" w:cs="宋体"/>
          <w:szCs w:val="22"/>
          <w:highlight w:val="none"/>
          <w:u w:val="single"/>
        </w:rPr>
        <w:t>17.3、乙方应妥善保管、合理使用甲方供应的材料、设备。因保管不善发生丢失、损坏，乙方应赔偿，并承担因此造成的工期延误等发生的一切经济损失。</w:t>
      </w:r>
    </w:p>
    <w:p w14:paraId="6BF6F9CD">
      <w:pPr>
        <w:spacing w:line="360" w:lineRule="auto"/>
        <w:ind w:firstLine="420"/>
        <w:rPr>
          <w:rFonts w:ascii="宋体" w:hAnsi="宋体" w:cs="宋体"/>
          <w:szCs w:val="22"/>
          <w:highlight w:val="none"/>
          <w:u w:val="single"/>
        </w:rPr>
      </w:pPr>
      <w:r>
        <w:rPr>
          <w:rFonts w:hint="eastAsia" w:ascii="宋体" w:hAnsi="宋体" w:cs="宋体"/>
          <w:szCs w:val="22"/>
          <w:highlight w:val="none"/>
          <w:u w:val="single"/>
        </w:rPr>
        <w:t>17.4、货到现场后，乙方接到甲方通知的1小时内，必须指定联系人</w:t>
      </w:r>
      <w:bookmarkStart w:id="206" w:name="乙方联系人"/>
      <w:r>
        <w:rPr>
          <w:rFonts w:hint="eastAsia" w:ascii="宋体" w:hAnsi="宋体" w:cs="宋体"/>
          <w:szCs w:val="22"/>
          <w:highlight w:val="none"/>
          <w:u w:val="single"/>
        </w:rPr>
        <w:t xml:space="preserve">       ，联系方式            </w:t>
      </w:r>
      <w:bookmarkEnd w:id="206"/>
      <w:r>
        <w:rPr>
          <w:rFonts w:hint="eastAsia" w:ascii="宋体" w:hAnsi="宋体" w:cs="宋体"/>
          <w:szCs w:val="22"/>
          <w:highlight w:val="none"/>
          <w:u w:val="single"/>
        </w:rPr>
        <w:t>，按照供货清单清点、开箱检验，合格后由乙方全数接收，与此相关下力费及堆放和保管由劳务员分包人负责。如更换指定联系人，乙方需向甲方提供申请更换的书面申请资料，并得到甲方批准方可执行。乙方应妥善保管从甲方领用的材料、设备，合理使用甲方供应的材料、设备，办理领用手续。如乙方未在规定时间内办理交接手续，由此产生的相关费用（包括但不限于延误费、加班费、运输费、场地使用费等）由乙方承担。</w:t>
      </w:r>
    </w:p>
    <w:p w14:paraId="21582709">
      <w:pPr>
        <w:spacing w:line="360" w:lineRule="auto"/>
        <w:ind w:firstLine="420"/>
        <w:rPr>
          <w:rFonts w:ascii="宋体" w:hAnsi="宋体" w:cs="宋体" w:eastAsiaTheme="minorEastAsia"/>
          <w:color w:val="FF0000"/>
          <w:szCs w:val="22"/>
          <w:highlight w:val="yellow"/>
          <w:u w:val="single"/>
        </w:rPr>
      </w:pPr>
      <w:r>
        <w:rPr>
          <w:rFonts w:hint="eastAsia" w:ascii="宋体" w:hAnsi="宋体" w:cs="宋体"/>
          <w:szCs w:val="22"/>
          <w:highlight w:val="none"/>
          <w:u w:val="single"/>
        </w:rPr>
        <w:t>17.4.1、乙方丢失、损坏、浪费及返工超过约定损耗率的，</w:t>
      </w:r>
      <w:r>
        <w:rPr>
          <w:rFonts w:hint="eastAsia" w:ascii="宋体" w:hAnsi="宋体" w:cs="宋体"/>
          <w:b/>
          <w:bCs/>
          <w:szCs w:val="22"/>
          <w:highlight w:val="none"/>
          <w:u w:val="single"/>
        </w:rPr>
        <w:t>乙方</w:t>
      </w:r>
      <w:r>
        <w:rPr>
          <w:rFonts w:hint="eastAsia" w:eastAsiaTheme="minorEastAsia"/>
          <w:b/>
          <w:bCs/>
          <w:color w:val="000000" w:themeColor="text1"/>
          <w:szCs w:val="21"/>
          <w:highlight w:val="none"/>
          <w:u w:val="single"/>
        </w:rPr>
        <w:t>按照超损耗量按照</w:t>
      </w:r>
      <w:r>
        <w:rPr>
          <w:rFonts w:hint="eastAsia" w:eastAsiaTheme="minorEastAsia"/>
          <w:b/>
          <w:bCs/>
          <w:color w:val="000000" w:themeColor="text1"/>
          <w:szCs w:val="21"/>
          <w:highlight w:val="green"/>
          <w:u w:val="single"/>
        </w:rPr>
        <w:t>附件</w:t>
      </w:r>
      <w:r>
        <w:rPr>
          <w:rFonts w:hint="eastAsia" w:ascii="宋体" w:hAnsi="宋体" w:eastAsia="宋体" w:cs="宋体"/>
          <w:szCs w:val="22"/>
          <w:highlight w:val="none"/>
          <w:u w:val="single"/>
          <w:lang w:eastAsia="zh-CN"/>
        </w:rPr>
        <w:t>（如有）</w:t>
      </w:r>
      <w:r>
        <w:rPr>
          <w:rFonts w:hint="eastAsia" w:eastAsiaTheme="minorEastAsia"/>
          <w:b/>
          <w:bCs/>
          <w:color w:val="000000" w:themeColor="text1"/>
          <w:szCs w:val="21"/>
          <w:highlight w:val="none"/>
          <w:u w:val="single"/>
        </w:rPr>
        <w:t>的扣除标准进行扣除</w:t>
      </w:r>
      <w:r>
        <w:rPr>
          <w:rFonts w:hint="eastAsia" w:ascii="宋体" w:hAnsi="宋体" w:cs="宋体"/>
          <w:szCs w:val="22"/>
          <w:highlight w:val="none"/>
          <w:u w:val="single"/>
        </w:rPr>
        <w:t>，并承担因此造成的一切经济损失。乙方使用的材料按约定的损耗量节约的，甲方将给予一定奖励，具体奖励方式另行约定。</w:t>
      </w:r>
      <w:r>
        <w:rPr>
          <w:rFonts w:hint="eastAsia" w:eastAsiaTheme="minorEastAsia"/>
          <w:b/>
          <w:bCs/>
          <w:color w:val="auto"/>
          <w:szCs w:val="21"/>
          <w:highlight w:val="yellow"/>
          <w:u w:val="single"/>
        </w:rPr>
        <w:t>本工程甲供材为混凝土、防渗土工布</w:t>
      </w:r>
      <w:r>
        <w:rPr>
          <w:rFonts w:hint="eastAsia" w:eastAsiaTheme="minorEastAsia"/>
          <w:b/>
          <w:bCs/>
          <w:color w:val="auto"/>
          <w:szCs w:val="21"/>
          <w:highlight w:val="yellow"/>
          <w:u w:val="single"/>
          <w:lang w:eastAsia="zh-CN"/>
        </w:rPr>
        <w:t>、</w:t>
      </w:r>
      <w:r>
        <w:rPr>
          <w:rFonts w:hint="eastAsia" w:eastAsiaTheme="minorEastAsia"/>
          <w:b/>
          <w:bCs/>
          <w:color w:val="auto"/>
          <w:szCs w:val="21"/>
          <w:highlight w:val="yellow"/>
          <w:u w:val="single"/>
          <w:lang w:val="en-US" w:eastAsia="zh-CN"/>
        </w:rPr>
        <w:t>花岗岩平石</w:t>
      </w:r>
      <w:r>
        <w:rPr>
          <w:rFonts w:hint="eastAsia" w:eastAsiaTheme="minorEastAsia"/>
          <w:b/>
          <w:bCs/>
          <w:color w:val="auto"/>
          <w:szCs w:val="21"/>
          <w:highlight w:val="yellow"/>
          <w:u w:val="single"/>
        </w:rPr>
        <w:t>、</w:t>
      </w:r>
      <w:r>
        <w:rPr>
          <w:rFonts w:hint="eastAsia" w:eastAsiaTheme="minorEastAsia"/>
          <w:b/>
          <w:bCs/>
          <w:color w:val="auto"/>
          <w:szCs w:val="21"/>
          <w:highlight w:val="yellow"/>
          <w:u w:val="single"/>
          <w:lang w:val="en-US" w:eastAsia="zh-CN"/>
        </w:rPr>
        <w:t>花岗岩侧石</w:t>
      </w:r>
      <w:r>
        <w:rPr>
          <w:rFonts w:hint="eastAsia" w:eastAsiaTheme="minorEastAsia"/>
          <w:b/>
          <w:bCs/>
          <w:color w:val="auto"/>
          <w:szCs w:val="21"/>
          <w:highlight w:val="yellow"/>
          <w:u w:val="single"/>
        </w:rPr>
        <w:t>、钢塑土工格栅</w:t>
      </w:r>
      <w:r>
        <w:rPr>
          <w:rFonts w:hint="eastAsia" w:eastAsiaTheme="minorEastAsia"/>
          <w:b/>
          <w:bCs/>
          <w:color w:val="auto"/>
          <w:szCs w:val="21"/>
          <w:highlight w:val="yellow"/>
          <w:u w:val="single"/>
          <w:lang w:eastAsia="zh-CN"/>
        </w:rPr>
        <w:t>、止车柱、钢筋混凝土雨水管、预制收水井、混凝土检查井、实壁PE管、消火栓、路名牌及杆件、版面、隔离护栏</w:t>
      </w:r>
      <w:r>
        <w:rPr>
          <w:rFonts w:hint="eastAsia" w:eastAsiaTheme="minorEastAsia"/>
          <w:b/>
          <w:bCs/>
          <w:color w:val="auto"/>
          <w:szCs w:val="21"/>
          <w:highlight w:val="yellow"/>
          <w:u w:val="single"/>
        </w:rPr>
        <w:t>等</w:t>
      </w:r>
      <w:r>
        <w:rPr>
          <w:rFonts w:hint="eastAsia" w:eastAsiaTheme="minorEastAsia"/>
          <w:b/>
          <w:bCs/>
          <w:color w:val="auto"/>
          <w:szCs w:val="21"/>
          <w:highlight w:val="yellow"/>
          <w:u w:val="single"/>
          <w:lang w:eastAsia="zh-CN"/>
        </w:rPr>
        <w:t>，</w:t>
      </w:r>
      <w:r>
        <w:rPr>
          <w:rFonts w:hint="eastAsia" w:eastAsiaTheme="minorEastAsia"/>
          <w:b/>
          <w:bCs/>
          <w:color w:val="auto"/>
          <w:szCs w:val="21"/>
          <w:highlight w:val="yellow"/>
          <w:u w:val="single"/>
          <w:lang w:val="en-US" w:eastAsia="zh-CN"/>
        </w:rPr>
        <w:t>乙方需无条件配合甲方材料卸车</w:t>
      </w:r>
      <w:r>
        <w:rPr>
          <w:rFonts w:hint="eastAsia" w:eastAsiaTheme="minorEastAsia"/>
          <w:b/>
          <w:bCs/>
          <w:color w:val="auto"/>
          <w:szCs w:val="21"/>
          <w:highlight w:val="yellow"/>
          <w:u w:val="single"/>
        </w:rPr>
        <w:t>，损耗率按定额损耗计取。</w:t>
      </w:r>
    </w:p>
    <w:p w14:paraId="2821158B">
      <w:pPr>
        <w:spacing w:line="360" w:lineRule="auto"/>
        <w:ind w:firstLine="420"/>
        <w:rPr>
          <w:rFonts w:ascii="宋体" w:hAnsi="宋体" w:cs="宋体"/>
          <w:szCs w:val="22"/>
          <w:highlight w:val="none"/>
          <w:u w:val="single"/>
        </w:rPr>
      </w:pPr>
      <w:r>
        <w:rPr>
          <w:rFonts w:hint="eastAsia" w:ascii="宋体" w:hAnsi="宋体" w:cs="宋体"/>
          <w:szCs w:val="22"/>
          <w:highlight w:val="none"/>
          <w:u w:val="single"/>
        </w:rPr>
        <w:t>17.4.2、甲方供应的材料、设备属于甲方所有，只供本合同约定乙方分包范围内的工程使用。乙方不得挪用和擅自处理（包括边角余料）。否则，乙方按照超挪用量和擅自处理量</w:t>
      </w:r>
      <w:r>
        <w:rPr>
          <w:rFonts w:hint="eastAsia" w:eastAsiaTheme="minorEastAsia"/>
          <w:b/>
          <w:bCs/>
          <w:color w:val="000000" w:themeColor="text1"/>
          <w:szCs w:val="21"/>
          <w:highlight w:val="none"/>
          <w:u w:val="single"/>
        </w:rPr>
        <w:t>按照超挪用量和擅自处理量乘以甲方实际采购价的</w:t>
      </w:r>
      <w:r>
        <w:rPr>
          <w:rFonts w:hint="eastAsia" w:eastAsiaTheme="minorEastAsia"/>
          <w:b/>
          <w:bCs/>
          <w:color w:val="000000" w:themeColor="text1"/>
          <w:szCs w:val="21"/>
          <w:highlight w:val="red"/>
          <w:u w:val="single"/>
        </w:rPr>
        <w:t>1.</w:t>
      </w:r>
      <w:r>
        <w:rPr>
          <w:rFonts w:hint="eastAsia" w:eastAsiaTheme="minorEastAsia"/>
          <w:b/>
          <w:bCs/>
          <w:color w:val="000000" w:themeColor="text1"/>
          <w:szCs w:val="21"/>
          <w:highlight w:val="red"/>
          <w:u w:val="single"/>
          <w:lang w:val="en-US" w:eastAsia="zh-CN"/>
        </w:rPr>
        <w:t>5</w:t>
      </w:r>
      <w:r>
        <w:rPr>
          <w:rFonts w:hint="eastAsia" w:eastAsiaTheme="minorEastAsia"/>
          <w:b/>
          <w:bCs/>
          <w:color w:val="000000" w:themeColor="text1"/>
          <w:szCs w:val="21"/>
          <w:highlight w:val="red"/>
          <w:u w:val="single"/>
        </w:rPr>
        <w:t>倍赔偿</w:t>
      </w:r>
      <w:r>
        <w:rPr>
          <w:rFonts w:hint="eastAsia" w:ascii="宋体" w:hAnsi="宋体" w:cs="宋体"/>
          <w:szCs w:val="22"/>
          <w:highlight w:val="none"/>
          <w:u w:val="single"/>
        </w:rPr>
        <w:t>，并承担因此造成的一切损失。</w:t>
      </w:r>
    </w:p>
    <w:p w14:paraId="14B464E1">
      <w:pPr>
        <w:spacing w:line="360" w:lineRule="auto"/>
        <w:ind w:firstLine="420"/>
        <w:rPr>
          <w:rFonts w:ascii="宋体" w:hAnsi="宋体" w:cs="宋体"/>
          <w:szCs w:val="22"/>
          <w:highlight w:val="none"/>
          <w:u w:val="single"/>
        </w:rPr>
      </w:pPr>
      <w:r>
        <w:rPr>
          <w:rFonts w:hint="eastAsia" w:ascii="宋体" w:hAnsi="宋体" w:cs="宋体"/>
          <w:szCs w:val="22"/>
          <w:highlight w:val="none"/>
          <w:u w:val="single"/>
        </w:rPr>
        <w:t>17.5乙方供应的材料、设备</w:t>
      </w:r>
    </w:p>
    <w:p w14:paraId="2FF682D1">
      <w:pPr>
        <w:spacing w:line="360" w:lineRule="auto"/>
        <w:ind w:firstLine="420"/>
        <w:rPr>
          <w:rFonts w:ascii="宋体" w:hAnsi="宋体" w:cs="宋体"/>
          <w:szCs w:val="22"/>
          <w:highlight w:val="none"/>
          <w:u w:val="single"/>
        </w:rPr>
      </w:pPr>
      <w:r>
        <w:rPr>
          <w:rFonts w:hint="eastAsia" w:ascii="宋体" w:hAnsi="宋体" w:cs="宋体"/>
          <w:szCs w:val="22"/>
          <w:highlight w:val="none"/>
          <w:u w:val="single"/>
        </w:rPr>
        <w:t>①乙方采购材料、设备必须符合业主合同规定和设计要求的品种、品牌和等级。</w:t>
      </w:r>
    </w:p>
    <w:p w14:paraId="1847B3D3">
      <w:pPr>
        <w:spacing w:line="360" w:lineRule="auto"/>
        <w:ind w:firstLine="420"/>
        <w:rPr>
          <w:rFonts w:ascii="宋体" w:hAnsi="宋体" w:cs="宋体"/>
          <w:szCs w:val="22"/>
          <w:highlight w:val="none"/>
          <w:u w:val="single"/>
        </w:rPr>
      </w:pPr>
      <w:r>
        <w:rPr>
          <w:rFonts w:hint="eastAsia" w:ascii="宋体" w:hAnsi="宋体" w:cs="宋体"/>
          <w:szCs w:val="22"/>
          <w:highlight w:val="none"/>
          <w:u w:val="single"/>
        </w:rPr>
        <w:t>②乙方采购供应的材料、设备应向甲方提供材质证书及合格证，需做实验的材料及时送检，并出具有效检验证明后，方可将材料用于工程施工，不得将假冒、伪劣材料用于工程，因材料质量出现的一切问题，由乙方承担全部责任。所有费用已包含在合同价款中。</w:t>
      </w:r>
    </w:p>
    <w:p w14:paraId="2A0E3EFF">
      <w:pPr>
        <w:spacing w:line="360" w:lineRule="auto"/>
        <w:ind w:firstLine="420"/>
        <w:rPr>
          <w:rFonts w:ascii="宋体" w:hAnsi="宋体" w:cs="宋体"/>
          <w:szCs w:val="22"/>
          <w:highlight w:val="none"/>
          <w:u w:val="single"/>
        </w:rPr>
      </w:pPr>
      <w:r>
        <w:rPr>
          <w:rFonts w:hint="eastAsia" w:ascii="宋体" w:hAnsi="宋体" w:cs="宋体"/>
          <w:szCs w:val="22"/>
          <w:highlight w:val="none"/>
          <w:u w:val="single"/>
        </w:rPr>
        <w:fldChar w:fldCharType="begin"/>
      </w:r>
      <w:r>
        <w:rPr>
          <w:rFonts w:hint="eastAsia" w:ascii="宋体" w:hAnsi="宋体" w:cs="宋体"/>
          <w:szCs w:val="22"/>
          <w:highlight w:val="none"/>
          <w:u w:val="single"/>
        </w:rPr>
        <w:instrText xml:space="preserve"> = 3 \* GB3 \* MERGEFORMAT </w:instrText>
      </w:r>
      <w:r>
        <w:rPr>
          <w:rFonts w:hint="eastAsia" w:ascii="宋体" w:hAnsi="宋体" w:cs="宋体"/>
          <w:szCs w:val="22"/>
          <w:highlight w:val="none"/>
          <w:u w:val="single"/>
        </w:rPr>
        <w:fldChar w:fldCharType="separate"/>
      </w:r>
      <w:r>
        <w:rPr>
          <w:rFonts w:hint="eastAsia" w:ascii="宋体" w:hAnsi="宋体" w:cs="宋体"/>
          <w:szCs w:val="22"/>
          <w:highlight w:val="none"/>
          <w:u w:val="single"/>
        </w:rPr>
        <w:t>③</w:t>
      </w:r>
      <w:r>
        <w:rPr>
          <w:rFonts w:hint="eastAsia" w:ascii="宋体" w:hAnsi="宋体" w:cs="宋体"/>
          <w:szCs w:val="22"/>
          <w:highlight w:val="none"/>
          <w:u w:val="single"/>
        </w:rPr>
        <w:fldChar w:fldCharType="end"/>
      </w:r>
      <w:r>
        <w:rPr>
          <w:rFonts w:hint="eastAsia" w:ascii="宋体" w:hAnsi="宋体" w:cs="宋体"/>
          <w:szCs w:val="22"/>
          <w:highlight w:val="none"/>
          <w:u w:val="single"/>
        </w:rPr>
        <w:t>乙方使用的自有或租赁的机械设备必须完好、安全设施齐全符合施工现场要求，出现故障时，应及时停机维修，严禁机械设备带病运行。</w:t>
      </w:r>
    </w:p>
    <w:p w14:paraId="3915428A">
      <w:pPr>
        <w:spacing w:line="360" w:lineRule="auto"/>
        <w:ind w:firstLine="420"/>
        <w:rPr>
          <w:rFonts w:ascii="宋体" w:hAnsi="宋体" w:cs="宋体"/>
          <w:szCs w:val="22"/>
          <w:highlight w:val="none"/>
          <w:u w:val="single"/>
        </w:rPr>
      </w:pPr>
      <w:r>
        <w:rPr>
          <w:rFonts w:hint="eastAsia" w:ascii="宋体" w:hAnsi="宋体" w:cs="宋体"/>
          <w:szCs w:val="22"/>
          <w:highlight w:val="none"/>
          <w:u w:val="single"/>
        </w:rPr>
        <w:t>17.6周转材料、施工机具供应</w:t>
      </w:r>
    </w:p>
    <w:p w14:paraId="2BE45E22">
      <w:pPr>
        <w:spacing w:line="360" w:lineRule="auto"/>
        <w:ind w:firstLine="420"/>
        <w:rPr>
          <w:rFonts w:ascii="宋体" w:hAnsi="宋体" w:cs="宋体"/>
          <w:szCs w:val="22"/>
          <w:highlight w:val="none"/>
          <w:u w:val="single"/>
        </w:rPr>
      </w:pPr>
      <w:r>
        <w:rPr>
          <w:rFonts w:hint="eastAsia" w:ascii="宋体" w:hAnsi="宋体" w:cs="宋体"/>
          <w:szCs w:val="22"/>
          <w:highlight w:val="none"/>
          <w:u w:val="single"/>
        </w:rPr>
        <w:t>除甲方提供周转材料、施工机具外，其余供应由乙方承担（</w:t>
      </w:r>
      <w:r>
        <w:rPr>
          <w:rFonts w:hint="eastAsia" w:ascii="宋体" w:hAnsi="宋体" w:cs="宋体"/>
          <w:szCs w:val="22"/>
          <w:highlight w:val="green"/>
          <w:u w:val="single"/>
        </w:rPr>
        <w:t>具体表式见附件</w:t>
      </w:r>
      <w:r>
        <w:rPr>
          <w:rFonts w:hint="eastAsia" w:ascii="宋体" w:hAnsi="宋体" w:eastAsia="宋体" w:cs="宋体"/>
          <w:szCs w:val="22"/>
          <w:highlight w:val="none"/>
          <w:u w:val="single"/>
          <w:lang w:eastAsia="zh-CN"/>
        </w:rPr>
        <w:t>（如有）</w:t>
      </w:r>
      <w:r>
        <w:rPr>
          <w:rFonts w:hint="eastAsia" w:ascii="宋体" w:hAnsi="宋体" w:cs="宋体"/>
          <w:szCs w:val="22"/>
          <w:highlight w:val="none"/>
          <w:u w:val="single"/>
        </w:rPr>
        <w:t>）。</w:t>
      </w:r>
    </w:p>
    <w:p w14:paraId="4471BD78">
      <w:pPr>
        <w:pStyle w:val="4"/>
        <w:spacing w:before="0" w:after="0" w:line="360" w:lineRule="auto"/>
        <w:ind w:firstLine="653"/>
        <w:rPr>
          <w:rFonts w:ascii="宋体" w:hAnsi="宋体" w:cs="宋体"/>
          <w:highlight w:val="none"/>
        </w:rPr>
      </w:pPr>
      <w:r>
        <w:rPr>
          <w:rFonts w:hint="eastAsia" w:ascii="宋体" w:hAnsi="宋体" w:cs="宋体"/>
          <w:highlight w:val="none"/>
        </w:rPr>
        <w:t>18、劳务报酬</w:t>
      </w:r>
    </w:p>
    <w:p w14:paraId="18E91CAE">
      <w:pPr>
        <w:spacing w:line="360" w:lineRule="auto"/>
        <w:ind w:firstLine="420"/>
        <w:rPr>
          <w:rFonts w:ascii="宋体" w:hAnsi="宋体" w:cs="宋体"/>
          <w:b/>
          <w:bCs/>
          <w:szCs w:val="22"/>
          <w:highlight w:val="none"/>
          <w:u w:val="single"/>
        </w:rPr>
      </w:pPr>
      <w:r>
        <w:rPr>
          <w:rFonts w:hint="eastAsia" w:ascii="宋体" w:hAnsi="宋体" w:cs="宋体"/>
          <w:szCs w:val="22"/>
          <w:highlight w:val="none"/>
          <w:u w:val="single"/>
        </w:rPr>
        <w:t>18.1本工程的劳务报酬采用</w:t>
      </w:r>
      <w:r>
        <w:rPr>
          <w:rFonts w:hint="eastAsia" w:ascii="宋体" w:hAnsi="宋体" w:cs="宋体"/>
          <w:b/>
          <w:bCs/>
          <w:szCs w:val="22"/>
          <w:highlight w:val="none"/>
          <w:u w:val="single"/>
        </w:rPr>
        <w:t>不同工作成果的计件单价，按确认的工程量计算。</w:t>
      </w:r>
    </w:p>
    <w:p w14:paraId="098033CA">
      <w:pPr>
        <w:spacing w:line="360" w:lineRule="auto"/>
        <w:ind w:firstLine="420"/>
        <w:rPr>
          <w:rFonts w:ascii="宋体" w:hAnsi="宋体" w:cs="宋体"/>
          <w:b/>
          <w:bCs/>
          <w:szCs w:val="22"/>
          <w:highlight w:val="none"/>
          <w:u w:val="single"/>
        </w:rPr>
      </w:pPr>
      <w:r>
        <w:rPr>
          <w:rFonts w:hint="eastAsia" w:ascii="宋体" w:hAnsi="宋体" w:cs="宋体"/>
          <w:szCs w:val="22"/>
          <w:highlight w:val="none"/>
          <w:u w:val="single"/>
        </w:rPr>
        <w:t>18.2</w:t>
      </w:r>
      <w:r>
        <w:rPr>
          <w:rFonts w:hint="eastAsia" w:ascii="宋体" w:hAnsi="宋体" w:cs="宋体"/>
          <w:b/>
          <w:bCs/>
          <w:szCs w:val="22"/>
          <w:highlight w:val="none"/>
          <w:u w:val="single"/>
        </w:rPr>
        <w:t>计件单价为全费用综合单价，综合单价包括</w:t>
      </w:r>
      <w:r>
        <w:rPr>
          <w:rFonts w:hint="eastAsia" w:ascii="宋体" w:hAnsi="宋体" w:eastAsia="宋体" w:cs="宋体"/>
          <w:b w:val="0"/>
          <w:bCs w:val="0"/>
          <w:szCs w:val="22"/>
          <w:highlight w:val="green"/>
          <w:u w:val="single"/>
          <w:lang w:val="en-US" w:eastAsia="zh-CN"/>
        </w:rPr>
        <w:t>劳务、管理、</w:t>
      </w:r>
      <w:r>
        <w:rPr>
          <w:rFonts w:hint="eastAsia" w:ascii="宋体" w:hAnsi="宋体" w:cs="宋体"/>
          <w:b w:val="0"/>
          <w:bCs w:val="0"/>
          <w:szCs w:val="22"/>
          <w:highlight w:val="green"/>
          <w:u w:val="single"/>
          <w:lang w:val="en-US" w:eastAsia="zh-CN"/>
        </w:rPr>
        <w:t>辅材</w:t>
      </w:r>
      <w:r>
        <w:rPr>
          <w:rFonts w:hint="eastAsia" w:ascii="宋体" w:hAnsi="宋体" w:eastAsia="宋体" w:cs="宋体"/>
          <w:b w:val="0"/>
          <w:bCs w:val="0"/>
          <w:szCs w:val="22"/>
          <w:highlight w:val="green"/>
          <w:u w:val="single"/>
          <w:lang w:val="en-US" w:eastAsia="zh-CN"/>
        </w:rPr>
        <w:t>、设备、采购、运输、装卸、保管、施工、围挡、扬尘处理、安全文明措施、地下管线保护、临时设施、保险、维护、风险、利润、规费、税金、人工费、合同包含的所有风险、责任等以及政策性文件规定的各项应有费用</w:t>
      </w:r>
      <w:r>
        <w:rPr>
          <w:rFonts w:hint="eastAsia" w:ascii="宋体" w:hAnsi="宋体" w:cs="宋体"/>
          <w:b w:val="0"/>
          <w:bCs w:val="0"/>
          <w:szCs w:val="22"/>
          <w:highlight w:val="green"/>
          <w:u w:val="single"/>
          <w:lang w:val="en-US" w:eastAsia="zh-CN"/>
        </w:rPr>
        <w:t>，</w:t>
      </w:r>
      <w:r>
        <w:rPr>
          <w:rFonts w:hint="eastAsia" w:ascii="宋体" w:hAnsi="宋体" w:eastAsia="宋体" w:cs="宋体"/>
          <w:b w:val="0"/>
          <w:bCs w:val="0"/>
          <w:szCs w:val="22"/>
          <w:highlight w:val="none"/>
          <w:u w:val="single"/>
        </w:rPr>
        <w:t>除按照合同约定的调价方式调整单价外，合同单价不因不可抗力事件或其他任何因素而调整</w:t>
      </w:r>
      <w:r>
        <w:rPr>
          <w:rFonts w:hint="eastAsia" w:ascii="宋体" w:hAnsi="宋体" w:cs="宋体"/>
          <w:b/>
          <w:bCs/>
          <w:szCs w:val="22"/>
          <w:highlight w:val="none"/>
          <w:u w:val="single"/>
        </w:rPr>
        <w:t>。</w:t>
      </w:r>
    </w:p>
    <w:p w14:paraId="37116AAD">
      <w:pPr>
        <w:spacing w:line="360" w:lineRule="auto"/>
        <w:ind w:firstLine="420"/>
        <w:rPr>
          <w:rFonts w:ascii="宋体" w:hAnsi="宋体" w:cs="宋体"/>
          <w:szCs w:val="22"/>
          <w:highlight w:val="none"/>
          <w:u w:val="single"/>
        </w:rPr>
      </w:pPr>
      <w:r>
        <w:rPr>
          <w:rFonts w:hint="eastAsia" w:ascii="宋体" w:hAnsi="宋体" w:cs="宋体"/>
          <w:szCs w:val="22"/>
          <w:highlight w:val="none"/>
          <w:u w:val="single"/>
        </w:rPr>
        <w:t>18.3综合单价包含的风险范围：</w:t>
      </w:r>
    </w:p>
    <w:p w14:paraId="73B698CF">
      <w:pPr>
        <w:spacing w:line="360" w:lineRule="auto"/>
        <w:ind w:firstLine="420"/>
        <w:rPr>
          <w:rFonts w:ascii="宋体" w:hAnsi="宋体" w:cs="宋体"/>
          <w:szCs w:val="22"/>
          <w:highlight w:val="none"/>
          <w:u w:val="single"/>
        </w:rPr>
      </w:pPr>
      <w:r>
        <w:rPr>
          <w:rFonts w:hint="eastAsia" w:ascii="宋体" w:hAnsi="宋体" w:cs="宋体"/>
          <w:szCs w:val="22"/>
          <w:highlight w:val="none"/>
          <w:u w:val="single"/>
        </w:rPr>
        <w:t>18.3.1乙方风险：</w:t>
      </w:r>
      <w:r>
        <w:rPr>
          <w:rFonts w:hint="eastAsia" w:ascii="宋体" w:hAnsi="宋体" w:cs="宋体"/>
          <w:b/>
          <w:bCs/>
          <w:szCs w:val="22"/>
          <w:highlight w:val="none"/>
          <w:u w:val="single"/>
        </w:rPr>
        <w:t>1.各类人工、材料、机械的市场风险；2.为完成本工程所承担的施工期间除不可抗力、甲方风险以外的其他一切风险。3.实行政府定价管理的水、电、燃油、燃气材料价格调整。4.省级或行业建设主管部门发布的人工费调整</w:t>
      </w:r>
      <w:r>
        <w:rPr>
          <w:rFonts w:hint="eastAsia" w:ascii="宋体" w:hAnsi="宋体" w:cs="宋体"/>
          <w:szCs w:val="22"/>
          <w:highlight w:val="none"/>
          <w:u w:val="single"/>
        </w:rPr>
        <w:t>。</w:t>
      </w:r>
    </w:p>
    <w:p w14:paraId="5CB993DD">
      <w:pPr>
        <w:spacing w:line="360" w:lineRule="auto"/>
        <w:ind w:firstLine="420"/>
        <w:rPr>
          <w:rFonts w:ascii="宋体" w:hAnsi="宋体" w:cs="宋体"/>
          <w:szCs w:val="22"/>
          <w:highlight w:val="none"/>
          <w:u w:val="single"/>
        </w:rPr>
      </w:pPr>
      <w:r>
        <w:rPr>
          <w:rFonts w:hint="eastAsia" w:ascii="宋体" w:hAnsi="宋体" w:cs="宋体"/>
          <w:szCs w:val="22"/>
          <w:highlight w:val="none"/>
          <w:u w:val="single"/>
        </w:rPr>
        <w:t>18.3.2甲方风险：</w:t>
      </w:r>
      <w:r>
        <w:rPr>
          <w:rFonts w:hint="eastAsia" w:ascii="宋体" w:hAnsi="宋体" w:cs="宋体"/>
          <w:b/>
          <w:bCs/>
          <w:szCs w:val="22"/>
          <w:highlight w:val="none"/>
          <w:u w:val="single"/>
        </w:rPr>
        <w:t>国家法律、法规、规章和政策发生变化</w:t>
      </w:r>
      <w:r>
        <w:rPr>
          <w:rFonts w:hint="eastAsia" w:ascii="宋体" w:hAnsi="宋体" w:cs="宋体"/>
          <w:szCs w:val="22"/>
          <w:highlight w:val="none"/>
          <w:u w:val="single"/>
        </w:rPr>
        <w:t>；</w:t>
      </w:r>
    </w:p>
    <w:p w14:paraId="6698EC1F">
      <w:pPr>
        <w:spacing w:line="360" w:lineRule="auto"/>
        <w:ind w:firstLine="420"/>
        <w:rPr>
          <w:rFonts w:ascii="宋体" w:hAnsi="宋体" w:cs="宋体"/>
          <w:b/>
          <w:bCs/>
          <w:szCs w:val="22"/>
          <w:highlight w:val="none"/>
          <w:u w:val="single"/>
        </w:rPr>
      </w:pPr>
      <w:r>
        <w:rPr>
          <w:rFonts w:hint="eastAsia" w:ascii="宋体" w:hAnsi="宋体" w:cs="宋体"/>
          <w:szCs w:val="22"/>
          <w:highlight w:val="none"/>
          <w:u w:val="single"/>
        </w:rPr>
        <w:t>18.3.3风险费用的计算方法：</w:t>
      </w:r>
      <w:r>
        <w:rPr>
          <w:rFonts w:hint="eastAsia" w:ascii="宋体" w:hAnsi="宋体" w:cs="宋体"/>
          <w:b/>
          <w:bCs/>
          <w:szCs w:val="22"/>
          <w:highlight w:val="none"/>
          <w:u w:val="single"/>
        </w:rPr>
        <w:t>乙方投标时应自行充分考虑风险，除不可抗力及甲方风险外，今后不做调整。</w:t>
      </w:r>
    </w:p>
    <w:p w14:paraId="7CCB9CBD">
      <w:pPr>
        <w:spacing w:line="360" w:lineRule="auto"/>
        <w:ind w:firstLine="420"/>
        <w:rPr>
          <w:rFonts w:ascii="宋体" w:hAnsi="宋体" w:cs="宋体"/>
          <w:szCs w:val="22"/>
          <w:highlight w:val="none"/>
          <w:u w:val="single"/>
        </w:rPr>
      </w:pPr>
      <w:r>
        <w:rPr>
          <w:rFonts w:hint="eastAsia" w:ascii="宋体" w:hAnsi="宋体" w:cs="宋体"/>
          <w:szCs w:val="22"/>
          <w:highlight w:val="none"/>
          <w:u w:val="single"/>
        </w:rPr>
        <w:t>18.3.4风险范围以外合同价格的调整方法：参见本合同第2</w:t>
      </w:r>
      <w:r>
        <w:rPr>
          <w:rFonts w:hint="eastAsia" w:ascii="宋体" w:hAnsi="宋体" w:cs="宋体"/>
          <w:szCs w:val="22"/>
          <w:highlight w:val="none"/>
          <w:u w:val="single"/>
          <w:lang w:val="en-US" w:eastAsia="zh-CN"/>
        </w:rPr>
        <w:t>2</w:t>
      </w:r>
      <w:r>
        <w:rPr>
          <w:rFonts w:hint="eastAsia" w:ascii="宋体" w:hAnsi="宋体" w:cs="宋体"/>
          <w:szCs w:val="22"/>
          <w:highlight w:val="none"/>
          <w:u w:val="single"/>
        </w:rPr>
        <w:t>.5条的相关约定。</w:t>
      </w:r>
    </w:p>
    <w:p w14:paraId="3E89901D">
      <w:pPr>
        <w:spacing w:line="360" w:lineRule="auto"/>
        <w:ind w:firstLine="420"/>
        <w:rPr>
          <w:rFonts w:ascii="宋体" w:hAnsi="宋体" w:cs="宋体"/>
          <w:szCs w:val="22"/>
          <w:highlight w:val="none"/>
          <w:u w:val="single"/>
        </w:rPr>
      </w:pPr>
      <w:r>
        <w:rPr>
          <w:rFonts w:hint="eastAsia" w:ascii="宋体" w:hAnsi="宋体" w:cs="宋体"/>
          <w:szCs w:val="22"/>
          <w:highlight w:val="none"/>
          <w:u w:val="single"/>
        </w:rPr>
        <w:t>18.4市场价格波动是否调整合同价格的约定：</w:t>
      </w:r>
      <w:r>
        <w:rPr>
          <w:rFonts w:hint="eastAsia" w:ascii="宋体" w:hAnsi="宋体" w:cs="宋体"/>
          <w:b/>
          <w:bCs/>
          <w:szCs w:val="22"/>
          <w:highlight w:val="none"/>
          <w:u w:val="single"/>
        </w:rPr>
        <w:t>不调整</w:t>
      </w:r>
      <w:r>
        <w:rPr>
          <w:rFonts w:hint="eastAsia" w:ascii="宋体" w:hAnsi="宋体" w:cs="宋体"/>
          <w:szCs w:val="22"/>
          <w:highlight w:val="none"/>
          <w:u w:val="single"/>
        </w:rPr>
        <w:t>。</w:t>
      </w:r>
    </w:p>
    <w:p w14:paraId="390280E5">
      <w:pPr>
        <w:pStyle w:val="4"/>
        <w:spacing w:before="0" w:after="0" w:line="360" w:lineRule="auto"/>
        <w:ind w:firstLine="653"/>
        <w:rPr>
          <w:rFonts w:ascii="宋体" w:hAnsi="宋体" w:cs="宋体"/>
          <w:highlight w:val="none"/>
        </w:rPr>
      </w:pPr>
      <w:r>
        <w:rPr>
          <w:rFonts w:hint="eastAsia" w:ascii="宋体" w:hAnsi="宋体" w:cs="宋体"/>
          <w:highlight w:val="none"/>
        </w:rPr>
        <w:t>19、工程量的确认</w:t>
      </w:r>
    </w:p>
    <w:p w14:paraId="6D344127">
      <w:pPr>
        <w:spacing w:line="360" w:lineRule="auto"/>
        <w:ind w:firstLine="420"/>
        <w:rPr>
          <w:rFonts w:ascii="宋体" w:hAnsi="宋体" w:cs="宋体"/>
          <w:szCs w:val="22"/>
          <w:highlight w:val="none"/>
        </w:rPr>
      </w:pPr>
      <w:r>
        <w:rPr>
          <w:rFonts w:hint="eastAsia" w:ascii="宋体" w:hAnsi="宋体" w:cs="宋体"/>
          <w:szCs w:val="22"/>
          <w:highlight w:val="none"/>
        </w:rPr>
        <w:t>19.1 计量原则</w:t>
      </w:r>
    </w:p>
    <w:p w14:paraId="39F41147">
      <w:pPr>
        <w:spacing w:line="360" w:lineRule="auto"/>
        <w:ind w:firstLine="420"/>
        <w:rPr>
          <w:rFonts w:ascii="宋体" w:hAnsi="宋体" w:cs="宋体"/>
          <w:szCs w:val="22"/>
          <w:highlight w:val="none"/>
        </w:rPr>
      </w:pPr>
      <w:r>
        <w:rPr>
          <w:rFonts w:hint="eastAsia" w:ascii="宋体" w:hAnsi="宋体" w:cs="宋体"/>
          <w:szCs w:val="22"/>
          <w:highlight w:val="none"/>
        </w:rPr>
        <w:t>工程量计算规则：</w:t>
      </w:r>
      <w:r>
        <w:rPr>
          <w:rFonts w:hint="eastAsia" w:ascii="宋体" w:hAnsi="宋体" w:cs="宋体"/>
          <w:szCs w:val="22"/>
          <w:highlight w:val="none"/>
          <w:u w:val="single"/>
        </w:rPr>
        <w:t>工程量计算规则执行国家标准《建设报价清单计价规范》(GB50500-2013)、现行计价定额及相关图集；乙方实际完成的工程量按约定的工程量计算规则和有合同约束力的图纸进行计量。对乙方未经甲方认可，超出设计图纸范围和因乙方原因造成返工的工程量，甲方不予计量。</w:t>
      </w:r>
    </w:p>
    <w:p w14:paraId="4E0F967B">
      <w:pPr>
        <w:spacing w:line="360" w:lineRule="auto"/>
        <w:ind w:firstLine="420"/>
        <w:rPr>
          <w:rFonts w:ascii="宋体" w:hAnsi="宋体" w:cs="宋体"/>
          <w:szCs w:val="22"/>
          <w:highlight w:val="none"/>
        </w:rPr>
      </w:pPr>
      <w:r>
        <w:rPr>
          <w:rFonts w:hint="eastAsia" w:ascii="宋体" w:hAnsi="宋体" w:cs="宋体"/>
          <w:szCs w:val="22"/>
          <w:highlight w:val="none"/>
        </w:rPr>
        <w:t>19.2 计量周期</w:t>
      </w:r>
    </w:p>
    <w:p w14:paraId="44FC8124">
      <w:pPr>
        <w:spacing w:line="360" w:lineRule="auto"/>
        <w:ind w:firstLine="420"/>
        <w:rPr>
          <w:rFonts w:ascii="宋体" w:hAnsi="宋体" w:cs="宋体"/>
          <w:szCs w:val="22"/>
          <w:highlight w:val="none"/>
        </w:rPr>
      </w:pPr>
      <w:r>
        <w:rPr>
          <w:rFonts w:hint="eastAsia" w:ascii="宋体" w:hAnsi="宋体" w:cs="宋体"/>
          <w:szCs w:val="22"/>
          <w:highlight w:val="none"/>
        </w:rPr>
        <w:t>关于计量周期的约定：</w:t>
      </w:r>
      <w:r>
        <w:rPr>
          <w:rFonts w:hint="eastAsia" w:ascii="宋体" w:hAnsi="宋体" w:cs="宋体"/>
          <w:szCs w:val="22"/>
          <w:highlight w:val="none"/>
          <w:u w:val="single"/>
        </w:rPr>
        <w:t>乙方应按月及时编报分部分项工程量，工程竣工后乙方应组织相关工程技术管理人员编制工程结算书</w:t>
      </w:r>
      <w:r>
        <w:rPr>
          <w:rFonts w:hint="eastAsia" w:ascii="宋体" w:hAnsi="宋体" w:cs="宋体"/>
          <w:szCs w:val="22"/>
          <w:highlight w:val="none"/>
          <w:u w:val="single"/>
          <w:lang w:eastAsia="zh-CN"/>
        </w:rPr>
        <w:t>，</w:t>
      </w:r>
      <w:r>
        <w:rPr>
          <w:rFonts w:hint="eastAsia" w:ascii="宋体" w:hAnsi="宋体" w:cs="宋体"/>
          <w:szCs w:val="22"/>
          <w:highlight w:val="green"/>
          <w:u w:val="single"/>
          <w:lang w:eastAsia="zh-CN"/>
        </w:rPr>
        <w:t>并在工程竣工后 90 天内</w:t>
      </w:r>
      <w:r>
        <w:rPr>
          <w:rFonts w:hint="eastAsia" w:ascii="宋体" w:hAnsi="宋体" w:cs="宋体"/>
          <w:szCs w:val="22"/>
          <w:highlight w:val="green"/>
          <w:u w:val="single"/>
          <w:lang w:val="en-US" w:eastAsia="zh-CN"/>
        </w:rPr>
        <w:t>上报</w:t>
      </w:r>
      <w:r>
        <w:rPr>
          <w:rFonts w:hint="eastAsia" w:ascii="宋体" w:hAnsi="宋体" w:cs="宋体"/>
          <w:szCs w:val="22"/>
          <w:highlight w:val="green"/>
          <w:u w:val="single"/>
          <w:lang w:eastAsia="zh-CN"/>
        </w:rPr>
        <w:t>竣工结算材料；若承包人未按要求完成该部分工作，视为违约</w:t>
      </w:r>
      <w:r>
        <w:rPr>
          <w:rFonts w:hint="eastAsia" w:ascii="宋体" w:hAnsi="宋体" w:cs="宋体"/>
          <w:szCs w:val="22"/>
          <w:highlight w:val="none"/>
        </w:rPr>
        <w:t>。</w:t>
      </w:r>
    </w:p>
    <w:p w14:paraId="451997E6">
      <w:pPr>
        <w:spacing w:line="360" w:lineRule="auto"/>
        <w:ind w:firstLine="420"/>
        <w:rPr>
          <w:rFonts w:ascii="宋体" w:hAnsi="宋体" w:cs="宋体"/>
          <w:szCs w:val="22"/>
          <w:highlight w:val="none"/>
        </w:rPr>
      </w:pPr>
      <w:r>
        <w:rPr>
          <w:rFonts w:hint="eastAsia" w:ascii="宋体" w:hAnsi="宋体" w:cs="宋体"/>
          <w:szCs w:val="22"/>
          <w:highlight w:val="none"/>
        </w:rPr>
        <w:t>19.3 单价合同的计量</w:t>
      </w:r>
    </w:p>
    <w:p w14:paraId="51BAB4BE">
      <w:pPr>
        <w:spacing w:line="360" w:lineRule="auto"/>
        <w:ind w:firstLine="420"/>
        <w:rPr>
          <w:rFonts w:ascii="宋体" w:hAnsi="宋体" w:cs="宋体"/>
          <w:szCs w:val="22"/>
          <w:highlight w:val="none"/>
        </w:rPr>
      </w:pPr>
      <w:r>
        <w:rPr>
          <w:rFonts w:hint="eastAsia" w:ascii="宋体" w:hAnsi="宋体" w:cs="宋体"/>
          <w:szCs w:val="22"/>
          <w:highlight w:val="none"/>
        </w:rPr>
        <w:t>关于单价合同计量的约定：</w:t>
      </w:r>
      <w:r>
        <w:rPr>
          <w:rFonts w:hint="eastAsia" w:ascii="宋体" w:hAnsi="宋体" w:cs="宋体"/>
          <w:b/>
          <w:bCs/>
          <w:szCs w:val="22"/>
          <w:highlight w:val="none"/>
          <w:u w:val="single"/>
        </w:rPr>
        <w:t>工程量按实计量</w:t>
      </w:r>
      <w:r>
        <w:rPr>
          <w:rFonts w:hint="eastAsia" w:ascii="宋体" w:hAnsi="宋体" w:cs="宋体"/>
          <w:szCs w:val="22"/>
          <w:highlight w:val="none"/>
        </w:rPr>
        <w:t>。</w:t>
      </w:r>
    </w:p>
    <w:p w14:paraId="18FB7B0F">
      <w:pPr>
        <w:spacing w:line="360" w:lineRule="auto"/>
        <w:ind w:firstLine="420"/>
        <w:rPr>
          <w:rFonts w:ascii="宋体" w:hAnsi="宋体" w:cs="宋体"/>
          <w:color w:val="000000"/>
          <w:szCs w:val="21"/>
          <w:highlight w:val="none"/>
        </w:rPr>
      </w:pPr>
      <w:r>
        <w:rPr>
          <w:rFonts w:hint="eastAsia" w:ascii="宋体" w:hAnsi="宋体" w:cs="宋体"/>
          <w:szCs w:val="22"/>
          <w:highlight w:val="none"/>
        </w:rPr>
        <w:t>19.4</w:t>
      </w:r>
      <w:r>
        <w:rPr>
          <w:rFonts w:hint="eastAsia" w:ascii="宋体" w:hAnsi="宋体" w:cs="宋体"/>
          <w:color w:val="000000"/>
          <w:szCs w:val="21"/>
          <w:highlight w:val="none"/>
          <w:lang w:bidi="ar"/>
        </w:rPr>
        <w:t>报价清单错误的修正</w:t>
      </w:r>
    </w:p>
    <w:p w14:paraId="201E96E1">
      <w:pPr>
        <w:spacing w:line="360" w:lineRule="auto"/>
        <w:ind w:firstLine="420"/>
        <w:rPr>
          <w:rFonts w:ascii="宋体" w:hAnsi="宋体" w:cs="宋体"/>
          <w:color w:val="000000"/>
          <w:szCs w:val="21"/>
          <w:highlight w:val="none"/>
          <w:lang w:bidi="ar"/>
        </w:rPr>
      </w:pPr>
      <w:r>
        <w:rPr>
          <w:rFonts w:hint="eastAsia" w:ascii="宋体" w:hAnsi="宋体" w:cs="宋体"/>
          <w:color w:val="000000"/>
          <w:szCs w:val="21"/>
          <w:highlight w:val="none"/>
          <w:lang w:bidi="ar"/>
        </w:rPr>
        <w:t>出现报价清单错误时，是否调整合同价格：</w:t>
      </w:r>
    </w:p>
    <w:p w14:paraId="705FBDB9">
      <w:pPr>
        <w:spacing w:line="360" w:lineRule="auto"/>
        <w:ind w:firstLine="428"/>
        <w:rPr>
          <w:rFonts w:ascii="宋体" w:hAnsi="宋体" w:cs="宋体"/>
          <w:color w:val="000000"/>
          <w:kern w:val="0"/>
          <w:szCs w:val="21"/>
          <w:highlight w:val="yellow"/>
          <w:lang w:bidi="ar"/>
        </w:rPr>
      </w:pPr>
      <w:r>
        <w:rPr>
          <w:rFonts w:hint="eastAsia" w:ascii="宋体" w:hAnsi="宋体" w:cs="宋体"/>
          <w:b/>
          <w:bCs/>
          <w:color w:val="000000"/>
          <w:szCs w:val="21"/>
          <w:highlight w:val="yellow"/>
          <w:u w:val="single"/>
          <w:lang w:bidi="ar"/>
        </w:rPr>
        <w:sym w:font="Wingdings 2" w:char="0052"/>
      </w:r>
      <w:r>
        <w:rPr>
          <w:rFonts w:hint="eastAsia" w:ascii="宋体" w:hAnsi="宋体" w:cs="宋体"/>
          <w:b/>
          <w:bCs/>
          <w:color w:val="000000"/>
          <w:szCs w:val="21"/>
          <w:highlight w:val="yellow"/>
          <w:u w:val="single"/>
          <w:lang w:bidi="ar"/>
        </w:rPr>
        <w:t>不调整</w:t>
      </w:r>
      <w:r>
        <w:rPr>
          <w:rFonts w:hint="eastAsia" w:ascii="宋体" w:hAnsi="宋体" w:cs="宋体"/>
          <w:color w:val="000000"/>
          <w:kern w:val="0"/>
          <w:szCs w:val="21"/>
          <w:highlight w:val="yellow"/>
          <w:lang w:bidi="ar"/>
        </w:rPr>
        <w:t>。</w:t>
      </w:r>
    </w:p>
    <w:p w14:paraId="08529C9A">
      <w:pPr>
        <w:spacing w:line="360" w:lineRule="auto"/>
        <w:ind w:firstLine="428"/>
        <w:rPr>
          <w:rFonts w:ascii="宋体" w:hAnsi="宋体" w:cs="宋体"/>
          <w:b/>
          <w:bCs/>
          <w:color w:val="000000"/>
          <w:szCs w:val="21"/>
          <w:highlight w:val="yellow"/>
          <w:u w:val="single"/>
          <w:lang w:bidi="ar"/>
        </w:rPr>
      </w:pPr>
      <w:bookmarkStart w:id="207" w:name="报价清单错误修正2"/>
      <w:r>
        <w:rPr>
          <w:rFonts w:hint="eastAsia" w:ascii="宋体" w:hAnsi="宋体" w:cs="宋体"/>
          <w:b/>
          <w:bCs/>
          <w:color w:val="000000"/>
          <w:szCs w:val="21"/>
          <w:highlight w:val="yellow"/>
          <w:u w:val="single"/>
          <w:lang w:bidi="ar"/>
        </w:rPr>
        <w:sym w:font="Wingdings 2" w:char="00A3"/>
      </w:r>
      <w:bookmarkEnd w:id="207"/>
      <w:r>
        <w:rPr>
          <w:rFonts w:hint="eastAsia" w:ascii="宋体" w:hAnsi="宋体" w:cs="宋体"/>
          <w:b/>
          <w:bCs/>
          <w:color w:val="000000"/>
          <w:szCs w:val="21"/>
          <w:highlight w:val="yellow"/>
          <w:u w:val="single"/>
          <w:lang w:bidi="ar"/>
        </w:rPr>
        <w:t xml:space="preserve">调整全费用综合单价，允许调整合同价格的工程量偏差范围： </w:t>
      </w:r>
    </w:p>
    <w:p w14:paraId="1CE4FFF4">
      <w:pPr>
        <w:spacing w:line="360" w:lineRule="auto"/>
        <w:ind w:firstLine="420"/>
        <w:rPr>
          <w:rFonts w:ascii="宋体" w:hAnsi="宋体" w:cs="宋体"/>
          <w:color w:val="000000"/>
          <w:szCs w:val="21"/>
          <w:highlight w:val="none"/>
          <w:u w:val="single"/>
          <w:lang w:bidi="ar"/>
        </w:rPr>
      </w:pPr>
      <w:r>
        <w:rPr>
          <w:rFonts w:hint="eastAsia" w:ascii="宋体" w:hAnsi="宋体" w:cs="宋体"/>
          <w:color w:val="000000"/>
          <w:szCs w:val="21"/>
          <w:highlight w:val="none"/>
          <w:u w:val="single"/>
          <w:lang w:bidi="ar"/>
        </w:rPr>
        <w:t>1、采购文件中的工程量清单标明的工程量是乙方投标报价的共同基础，竣工结算的工程量按发承包双方在合同中约定应予计量且实际完成工程量确定。工程计量时若发现清单中漏项、工程量计算偏差，以及工程变更引起工程量的增减，应按乙方在履行合同义务中实际完成量进行及时计量。</w:t>
      </w:r>
    </w:p>
    <w:p w14:paraId="30D3DCE2">
      <w:pPr>
        <w:spacing w:line="360" w:lineRule="auto"/>
        <w:ind w:firstLine="420"/>
        <w:rPr>
          <w:rFonts w:ascii="宋体" w:hAnsi="宋体" w:cs="宋体"/>
          <w:color w:val="000000"/>
          <w:szCs w:val="21"/>
          <w:highlight w:val="none"/>
          <w:u w:val="single"/>
          <w:lang w:bidi="ar"/>
        </w:rPr>
      </w:pPr>
      <w:r>
        <w:rPr>
          <w:rFonts w:hint="eastAsia" w:ascii="宋体" w:hAnsi="宋体" w:cs="宋体"/>
          <w:color w:val="000000"/>
          <w:szCs w:val="21"/>
          <w:highlight w:val="none"/>
          <w:u w:val="single"/>
          <w:lang w:bidi="ar"/>
        </w:rPr>
        <w:t>2、若施工中出现施工图纸（含设计变更）与工程量清单项目特征描述不符，应及时上报甲方，按照甲方确认的最终方案进行施工。</w:t>
      </w:r>
    </w:p>
    <w:p w14:paraId="01537DBE">
      <w:pPr>
        <w:spacing w:line="360" w:lineRule="auto"/>
        <w:ind w:firstLine="420"/>
        <w:rPr>
          <w:rFonts w:ascii="宋体" w:hAnsi="宋体" w:cs="宋体"/>
          <w:color w:val="000000"/>
          <w:szCs w:val="21"/>
          <w:highlight w:val="none"/>
          <w:u w:val="single"/>
          <w:lang w:bidi="ar"/>
        </w:rPr>
      </w:pPr>
      <w:r>
        <w:rPr>
          <w:rFonts w:hint="eastAsia" w:ascii="宋体" w:hAnsi="宋体" w:cs="宋体"/>
          <w:color w:val="000000"/>
          <w:szCs w:val="21"/>
          <w:highlight w:val="none"/>
          <w:u w:val="single"/>
          <w:lang w:bidi="ar"/>
        </w:rPr>
        <w:t>3、因分部分项工程量清单漏项、项目特征不符或非乙方原因的工程变更，造成增加新的工程量清单项目，其对应的全费用综合单价按下列方法确定：</w:t>
      </w:r>
    </w:p>
    <w:p w14:paraId="6FA88B5A">
      <w:pPr>
        <w:spacing w:line="360" w:lineRule="auto"/>
        <w:ind w:firstLine="420"/>
        <w:rPr>
          <w:rFonts w:ascii="宋体" w:hAnsi="宋体" w:cs="宋体"/>
          <w:color w:val="000000"/>
          <w:szCs w:val="21"/>
          <w:highlight w:val="none"/>
          <w:u w:val="single"/>
          <w:lang w:bidi="ar"/>
        </w:rPr>
      </w:pPr>
      <w:r>
        <w:rPr>
          <w:rFonts w:hint="eastAsia" w:ascii="宋体" w:hAnsi="宋体" w:cs="宋体"/>
          <w:color w:val="000000"/>
          <w:szCs w:val="21"/>
          <w:highlight w:val="none"/>
          <w:u w:val="single"/>
          <w:lang w:bidi="ar"/>
        </w:rPr>
        <w:t>（1）已标价工程量清单中有适用于工程变更项目的，应采用该项目的单价；</w:t>
      </w:r>
    </w:p>
    <w:p w14:paraId="741A38D6">
      <w:pPr>
        <w:spacing w:line="360" w:lineRule="auto"/>
        <w:ind w:firstLine="420"/>
        <w:rPr>
          <w:rFonts w:ascii="宋体" w:hAnsi="宋体" w:cs="宋体"/>
          <w:color w:val="000000"/>
          <w:szCs w:val="21"/>
          <w:highlight w:val="none"/>
          <w:u w:val="single"/>
          <w:lang w:bidi="ar"/>
        </w:rPr>
      </w:pPr>
      <w:r>
        <w:rPr>
          <w:rFonts w:hint="eastAsia" w:ascii="宋体" w:hAnsi="宋体" w:cs="宋体"/>
          <w:color w:val="000000"/>
          <w:szCs w:val="21"/>
          <w:highlight w:val="none"/>
          <w:u w:val="single"/>
          <w:lang w:bidi="ar"/>
        </w:rPr>
        <w:t>（2）已标价工程量清单中没有适用但有类似于工程变更项目的，可在合理范围内参照类似项目的单价；</w:t>
      </w:r>
    </w:p>
    <w:p w14:paraId="696379F0">
      <w:pPr>
        <w:spacing w:line="360" w:lineRule="auto"/>
        <w:ind w:firstLine="420"/>
        <w:rPr>
          <w:rFonts w:ascii="宋体" w:hAnsi="宋体" w:cs="宋体"/>
          <w:color w:val="000000"/>
          <w:szCs w:val="21"/>
          <w:highlight w:val="none"/>
          <w:u w:val="single"/>
          <w:lang w:bidi="ar"/>
        </w:rPr>
      </w:pPr>
      <w:r>
        <w:rPr>
          <w:rFonts w:hint="eastAsia" w:ascii="宋体" w:hAnsi="宋体" w:cs="宋体"/>
          <w:color w:val="000000"/>
          <w:szCs w:val="21"/>
          <w:highlight w:val="none"/>
          <w:u w:val="single"/>
          <w:lang w:bidi="ar"/>
        </w:rPr>
        <w:t>（3）已标价工程量清单中没有适用也没有类似于变更工程项目的，应由乙方根据变更工程资料、计量规则和计价办法、工程造价管理机构发布的信息价格和乙方报价浮动率提出变更工程项目的单价，并应报甲方确认后调整，乙方报价浮动率按照以下公式计算：</w:t>
      </w:r>
      <w:r>
        <w:rPr>
          <w:rFonts w:hint="eastAsia" w:ascii="宋体" w:hAnsi="宋体" w:cs="宋体"/>
          <w:color w:val="000000"/>
          <w:szCs w:val="21"/>
          <w:highlight w:val="none"/>
          <w:u w:val="single"/>
          <w:lang w:val="en-US" w:eastAsia="zh-CN" w:bidi="ar"/>
        </w:rPr>
        <w:t xml:space="preserve">      /      </w:t>
      </w:r>
      <w:r>
        <w:rPr>
          <w:rFonts w:hint="eastAsia" w:ascii="宋体" w:hAnsi="宋体" w:cs="宋体"/>
          <w:color w:val="000000"/>
          <w:szCs w:val="21"/>
          <w:highlight w:val="none"/>
          <w:u w:val="single"/>
          <w:lang w:bidi="ar"/>
        </w:rPr>
        <w:t>；</w:t>
      </w:r>
    </w:p>
    <w:p w14:paraId="40F1764F">
      <w:pPr>
        <w:spacing w:line="360" w:lineRule="auto"/>
        <w:ind w:firstLine="420"/>
        <w:rPr>
          <w:rFonts w:ascii="宋体" w:hAnsi="宋体" w:cs="宋体"/>
          <w:color w:val="000000"/>
          <w:szCs w:val="21"/>
          <w:highlight w:val="none"/>
          <w:u w:val="single"/>
          <w:lang w:bidi="ar"/>
        </w:rPr>
      </w:pPr>
      <w:r>
        <w:rPr>
          <w:rFonts w:hint="eastAsia" w:ascii="宋体" w:hAnsi="宋体" w:cs="宋体"/>
          <w:color w:val="000000"/>
          <w:szCs w:val="21"/>
          <w:highlight w:val="none"/>
          <w:u w:val="single"/>
          <w:lang w:bidi="ar"/>
        </w:rPr>
        <w:t>（4）已标价工程量清单中没有适用也没有类似于变更工程项目的，且工程造管理机构发布信息价缺价的，应有乙方根据变更工程资料、计量规则、计价办法和通过市场调查等取得合法依据的市场价格提出变更工程项目的单价，并应报甲方确认后调整，原则上不得高于建设单位对甲方确认的价格。</w:t>
      </w:r>
    </w:p>
    <w:p w14:paraId="1C9BA8F0">
      <w:pPr>
        <w:spacing w:line="360" w:lineRule="auto"/>
        <w:ind w:firstLine="420"/>
        <w:rPr>
          <w:rFonts w:ascii="宋体" w:hAnsi="宋体" w:cs="宋体"/>
          <w:color w:val="000000"/>
          <w:szCs w:val="21"/>
          <w:highlight w:val="none"/>
          <w:u w:val="single"/>
          <w:lang w:bidi="ar"/>
        </w:rPr>
      </w:pPr>
      <w:r>
        <w:rPr>
          <w:rFonts w:hint="eastAsia" w:ascii="宋体" w:hAnsi="宋体" w:cs="宋体"/>
          <w:color w:val="000000"/>
          <w:szCs w:val="21"/>
          <w:highlight w:val="none"/>
          <w:u w:val="single"/>
          <w:lang w:bidi="ar"/>
        </w:rPr>
        <w:t>4、乙方应根据本工程实际、乙方的施工组织设计及其自身情况，一次性的报出本工程措施费和其他项目费。对于甲方所列的措施项目，乙方可根据工程实际与施工组织设计进行增补，但不应更改甲方已列措施项目。结算时，除工程变更引起施工方案改变外，乙方不得以采购工程措施项目清单缺项为由要求新增措施项目。工程变更引起施工方案改变并使措施项目发生变化时，乙方提出调整措施项目费的，应事先将拟实施的方案提交甲方确认，并应详细说明与原方案措施项目相比的变化情况。拟实施的方案经发承包双方确认后执行，并应按照下列规定调整措施项目费：</w:t>
      </w:r>
    </w:p>
    <w:p w14:paraId="23A241FF">
      <w:pPr>
        <w:spacing w:line="360" w:lineRule="auto"/>
        <w:ind w:firstLine="420"/>
        <w:rPr>
          <w:rFonts w:ascii="宋体" w:hAnsi="宋体" w:cs="宋体"/>
          <w:color w:val="000000"/>
          <w:szCs w:val="21"/>
          <w:highlight w:val="none"/>
          <w:u w:val="single"/>
          <w:lang w:bidi="ar"/>
        </w:rPr>
      </w:pPr>
      <w:r>
        <w:rPr>
          <w:rFonts w:hint="eastAsia" w:ascii="宋体" w:hAnsi="宋体" w:cs="宋体"/>
          <w:color w:val="000000"/>
          <w:szCs w:val="21"/>
          <w:highlight w:val="none"/>
          <w:u w:val="single"/>
          <w:lang w:bidi="ar"/>
        </w:rPr>
        <w:t>（1）安全文明施工费：乙方应主动协助甲方办理甲方对建设单位的安全文明施工费考评事宜，如甲方已获得对建设单位的安全文明措施费测定表，则按照甲方与建设单位间的考评费率比例（考评费率/建设单位采购费率）*（分包投标费率）等比例计取分包工程的安全文明施工费率。如甲方未能获得对建设单位的安全文明措施费测定表，则工程不得计取安全文明施工费，且如因施工现场不达标等原因导致申请不到此费用，则在乙方结算款中相应扣除。</w:t>
      </w:r>
    </w:p>
    <w:p w14:paraId="2AC16A8B">
      <w:pPr>
        <w:spacing w:line="360" w:lineRule="auto"/>
        <w:ind w:firstLine="420"/>
        <w:rPr>
          <w:rFonts w:ascii="宋体" w:hAnsi="宋体" w:cs="宋体"/>
          <w:color w:val="000000"/>
          <w:szCs w:val="21"/>
          <w:highlight w:val="none"/>
          <w:u w:val="single"/>
          <w:lang w:bidi="ar"/>
        </w:rPr>
      </w:pPr>
      <w:r>
        <w:rPr>
          <w:rFonts w:hint="eastAsia" w:ascii="宋体" w:hAnsi="宋体" w:cs="宋体"/>
          <w:color w:val="000000"/>
          <w:szCs w:val="21"/>
          <w:highlight w:val="none"/>
          <w:u w:val="single"/>
          <w:lang w:bidi="ar"/>
        </w:rPr>
        <w:t>如出现以下情况之一的，乙方结算时不得计取安全文明措施费：</w:t>
      </w:r>
    </w:p>
    <w:p w14:paraId="50C39998">
      <w:pPr>
        <w:spacing w:line="360" w:lineRule="auto"/>
        <w:ind w:firstLine="420"/>
        <w:rPr>
          <w:rFonts w:ascii="宋体" w:hAnsi="宋体" w:cs="宋体"/>
          <w:color w:val="000000"/>
          <w:szCs w:val="21"/>
          <w:highlight w:val="none"/>
          <w:u w:val="single"/>
          <w:lang w:bidi="ar"/>
        </w:rPr>
      </w:pPr>
      <w:r>
        <w:rPr>
          <w:rFonts w:hint="eastAsia" w:ascii="宋体" w:hAnsi="宋体" w:cs="宋体"/>
          <w:color w:val="000000"/>
          <w:szCs w:val="21"/>
          <w:highlight w:val="none"/>
          <w:u w:val="single"/>
          <w:lang w:bidi="ar"/>
        </w:rPr>
        <w:t>①甲方未能获得对建设单位的安全文明措施费测定表；</w:t>
      </w:r>
    </w:p>
    <w:p w14:paraId="07090C16">
      <w:pPr>
        <w:spacing w:line="360" w:lineRule="auto"/>
        <w:ind w:firstLine="420"/>
        <w:rPr>
          <w:rFonts w:ascii="宋体" w:hAnsi="宋体" w:cs="宋体"/>
          <w:color w:val="000000"/>
          <w:szCs w:val="21"/>
          <w:highlight w:val="none"/>
          <w:u w:val="single"/>
          <w:lang w:bidi="ar"/>
        </w:rPr>
      </w:pPr>
      <w:r>
        <w:rPr>
          <w:rFonts w:hint="eastAsia" w:ascii="宋体" w:hAnsi="宋体" w:cs="宋体"/>
          <w:color w:val="000000"/>
          <w:szCs w:val="21"/>
          <w:highlight w:val="none"/>
          <w:u w:val="single"/>
          <w:lang w:bidi="ar"/>
        </w:rPr>
        <w:t>②在甲方获得对建设单位安全文明措施费测定表过程中，乙方未能尽到主动协助办理的义务；</w:t>
      </w:r>
    </w:p>
    <w:p w14:paraId="4597E93D">
      <w:pPr>
        <w:spacing w:line="360" w:lineRule="auto"/>
        <w:ind w:firstLine="420"/>
        <w:rPr>
          <w:rFonts w:ascii="宋体" w:hAnsi="宋体" w:cs="宋体"/>
          <w:color w:val="000000"/>
          <w:szCs w:val="21"/>
          <w:highlight w:val="none"/>
          <w:u w:val="single"/>
          <w:lang w:bidi="ar"/>
        </w:rPr>
      </w:pPr>
      <w:r>
        <w:rPr>
          <w:rFonts w:hint="eastAsia" w:ascii="宋体" w:hAnsi="宋体" w:cs="宋体"/>
          <w:color w:val="000000"/>
          <w:szCs w:val="21"/>
          <w:highlight w:val="none"/>
          <w:u w:val="single"/>
          <w:lang w:bidi="ar"/>
        </w:rPr>
        <w:t>（2）采用单价计算的措施项目费，按照实际发生变化措施项目，按照上述第1.13项中第3条中第（1）、（2）（3）、（4）款确定单价，工程量按实计算；</w:t>
      </w:r>
    </w:p>
    <w:p w14:paraId="1B811FC5">
      <w:pPr>
        <w:spacing w:line="360" w:lineRule="auto"/>
        <w:ind w:firstLine="420"/>
        <w:rPr>
          <w:rFonts w:ascii="宋体" w:hAnsi="宋体" w:cs="宋体"/>
          <w:color w:val="000000"/>
          <w:szCs w:val="21"/>
          <w:highlight w:val="none"/>
          <w:u w:val="single"/>
          <w:lang w:bidi="ar"/>
        </w:rPr>
      </w:pPr>
      <w:r>
        <w:rPr>
          <w:rFonts w:hint="eastAsia" w:ascii="宋体" w:hAnsi="宋体" w:cs="宋体"/>
          <w:color w:val="000000"/>
          <w:szCs w:val="21"/>
          <w:highlight w:val="none"/>
          <w:u w:val="single"/>
          <w:lang w:bidi="ar"/>
        </w:rPr>
        <w:t>（3）按总价计算的措施项目费，以项为单位的包干使用。</w:t>
      </w:r>
    </w:p>
    <w:p w14:paraId="1B4EBDA4">
      <w:pPr>
        <w:spacing w:line="360" w:lineRule="auto"/>
        <w:ind w:firstLine="420"/>
        <w:rPr>
          <w:rFonts w:ascii="宋体" w:hAnsi="宋体" w:cs="宋体"/>
          <w:color w:val="000000"/>
          <w:szCs w:val="21"/>
          <w:highlight w:val="none"/>
          <w:u w:val="single"/>
          <w:lang w:bidi="ar"/>
        </w:rPr>
      </w:pPr>
      <w:r>
        <w:rPr>
          <w:rFonts w:hint="eastAsia" w:ascii="宋体" w:hAnsi="宋体" w:cs="宋体"/>
          <w:color w:val="000000"/>
          <w:szCs w:val="21"/>
          <w:highlight w:val="none"/>
          <w:u w:val="single"/>
          <w:lang w:bidi="ar"/>
        </w:rPr>
        <w:t>（4）采用费率计算的措施项目费，以原计算基数按实调整。</w:t>
      </w:r>
    </w:p>
    <w:p w14:paraId="282E3F7E">
      <w:pPr>
        <w:spacing w:line="360" w:lineRule="auto"/>
        <w:ind w:firstLine="420"/>
        <w:rPr>
          <w:rFonts w:ascii="宋体" w:hAnsi="宋体" w:cs="宋体"/>
          <w:color w:val="000000"/>
          <w:szCs w:val="21"/>
          <w:highlight w:val="none"/>
          <w:u w:val="single"/>
          <w:lang w:bidi="ar"/>
        </w:rPr>
      </w:pPr>
      <w:r>
        <w:rPr>
          <w:rFonts w:hint="eastAsia" w:ascii="宋体" w:hAnsi="宋体" w:cs="宋体"/>
          <w:color w:val="000000"/>
          <w:szCs w:val="21"/>
          <w:highlight w:val="none"/>
          <w:u w:val="single"/>
          <w:lang w:bidi="ar"/>
        </w:rPr>
        <w:t>如果乙方未事先将拟实施方案提交给甲方确认，则应视为工程变更不引起措施项目费的调整或乙方放弃调整措施项目费的权利；</w:t>
      </w:r>
    </w:p>
    <w:p w14:paraId="777A1D46">
      <w:pPr>
        <w:spacing w:line="360" w:lineRule="auto"/>
        <w:ind w:firstLine="420"/>
        <w:rPr>
          <w:rFonts w:cs="宋体"/>
          <w:highlight w:val="none"/>
        </w:rPr>
      </w:pPr>
      <w:r>
        <w:rPr>
          <w:rFonts w:hint="eastAsia" w:ascii="宋体" w:hAnsi="宋体" w:cs="宋体"/>
          <w:color w:val="000000"/>
          <w:kern w:val="0"/>
          <w:szCs w:val="21"/>
          <w:highlight w:val="none"/>
          <w:lang w:bidi="ar"/>
        </w:rPr>
        <w:t>19.5</w:t>
      </w:r>
      <w:r>
        <w:rPr>
          <w:rFonts w:hint="eastAsia" w:cs="宋体"/>
          <w:highlight w:val="none"/>
        </w:rPr>
        <w:t>如在结算时发现已标价工程量清单中存在不平衡报价或工程量清单综合单价错误的项目，按以下方式处理：</w:t>
      </w:r>
    </w:p>
    <w:p w14:paraId="0ECBC305">
      <w:pPr>
        <w:spacing w:line="360" w:lineRule="auto"/>
        <w:ind w:firstLine="420"/>
        <w:rPr>
          <w:rFonts w:cs="宋体"/>
          <w:highlight w:val="none"/>
          <w:u w:val="single"/>
        </w:rPr>
      </w:pPr>
      <w:bookmarkStart w:id="208" w:name="不平衡报价1"/>
      <w:r>
        <w:rPr>
          <w:rFonts w:hint="eastAsia" w:cs="宋体"/>
          <w:highlight w:val="none"/>
          <w:u w:val="single"/>
        </w:rPr>
        <w:sym w:font="Wingdings 2" w:char="00A3"/>
      </w:r>
      <w:bookmarkEnd w:id="208"/>
      <w:r>
        <w:rPr>
          <w:rFonts w:hint="eastAsia" w:cs="宋体"/>
          <w:highlight w:val="none"/>
          <w:u w:val="single"/>
        </w:rPr>
        <w:t>方式一：对于工程量增加的较大的不平衡报价或工程量清单综合单价错误的项目，审计可对增加工程量部分综合单价进行调整，综合单价重新按照计价表组价，其人工、材料、机械的消耗量按江苏省现行计价表执行，材料单价按已标价工程量清单中相同或类似的正常投标价格，没有相同或类似的，按市场价并需经招标人确认，管理费率、利润率按已标价工程量清单中最低费率报价项目的费率计取。</w:t>
      </w:r>
    </w:p>
    <w:p w14:paraId="15E05CDC">
      <w:pPr>
        <w:spacing w:line="360" w:lineRule="auto"/>
        <w:ind w:firstLine="420"/>
        <w:rPr>
          <w:rFonts w:ascii="宋体" w:hAnsi="宋体" w:cs="宋体"/>
          <w:color w:val="000000"/>
          <w:szCs w:val="21"/>
          <w:highlight w:val="none"/>
          <w:u w:val="single"/>
          <w:lang w:bidi="ar"/>
        </w:rPr>
      </w:pPr>
      <w:bookmarkStart w:id="209" w:name="不平衡报价2"/>
      <w:r>
        <w:rPr>
          <w:rFonts w:hint="eastAsia" w:cs="宋体"/>
          <w:highlight w:val="none"/>
          <w:u w:val="single"/>
        </w:rPr>
        <w:sym w:font="Wingdings 2" w:char="00A3"/>
      </w:r>
      <w:bookmarkEnd w:id="209"/>
      <w:r>
        <w:rPr>
          <w:rFonts w:hint="eastAsia" w:cs="宋体"/>
          <w:highlight w:val="none"/>
          <w:u w:val="single"/>
        </w:rPr>
        <w:t>方式二：</w:t>
      </w:r>
      <w:r>
        <w:rPr>
          <w:rFonts w:hint="eastAsia" w:ascii="宋体" w:hAnsi="宋体" w:cs="宋体"/>
          <w:color w:val="000000"/>
          <w:szCs w:val="21"/>
          <w:highlight w:val="none"/>
          <w:u w:val="single"/>
          <w:lang w:bidi="ar"/>
        </w:rPr>
        <w:t>在工程计量以及结算审计过程中，甲方有权对合同价进行不平衡报价审核，如某项清单报价超出甲方认定的乙方正常报价水平，甲方有权视其为不平衡报价，并对该项不平衡报价进行调整。重新调整报价优先参照已标价工程量清单中相同或类似的正常投标价格，如没有相同或类似的正常投标价格，则根据施工期现行江苏省计价定额及工程造价管理机构发布的信息价编制相应的全费用综合单价，并计取报价下浮率L，L=（1-中标价/采购控制价）×100%+14%。</w:t>
      </w:r>
    </w:p>
    <w:p w14:paraId="16767A45">
      <w:pPr>
        <w:spacing w:line="360" w:lineRule="auto"/>
        <w:ind w:firstLine="420"/>
        <w:rPr>
          <w:rFonts w:ascii="宋体" w:hAnsi="宋体" w:cs="宋体"/>
          <w:color w:val="000000"/>
          <w:szCs w:val="21"/>
          <w:highlight w:val="none"/>
          <w:u w:val="single"/>
          <w:lang w:bidi="ar"/>
        </w:rPr>
      </w:pPr>
      <w:r>
        <w:rPr>
          <w:rFonts w:hint="eastAsia" w:ascii="宋体" w:hAnsi="宋体" w:cs="宋体"/>
          <w:color w:val="000000"/>
          <w:szCs w:val="21"/>
          <w:highlight w:val="none"/>
          <w:u w:val="single"/>
          <w:lang w:bidi="ar"/>
        </w:rPr>
        <w:sym w:font="Wingdings 2" w:char="0052"/>
      </w:r>
      <w:r>
        <w:rPr>
          <w:rFonts w:hint="eastAsia" w:cs="宋体"/>
          <w:highlight w:val="none"/>
          <w:u w:val="single"/>
        </w:rPr>
        <w:t>方式三：</w:t>
      </w:r>
      <w:r>
        <w:rPr>
          <w:rFonts w:hint="eastAsia" w:ascii="宋体" w:hAnsi="宋体" w:cs="宋体"/>
          <w:color w:val="000000"/>
          <w:szCs w:val="21"/>
          <w:highlight w:val="none"/>
          <w:u w:val="single"/>
          <w:lang w:bidi="ar"/>
        </w:rPr>
        <w:t>对于过高价项目，将按照工程承包人认可的合理价格调整；对于过低价项目，按竞标价执行。</w:t>
      </w:r>
    </w:p>
    <w:p w14:paraId="3253B9D3">
      <w:pPr>
        <w:pStyle w:val="4"/>
        <w:spacing w:before="0" w:after="0" w:line="360" w:lineRule="auto"/>
        <w:ind w:firstLine="653"/>
        <w:rPr>
          <w:rFonts w:ascii="宋体" w:hAnsi="宋体" w:cs="宋体"/>
          <w:highlight w:val="none"/>
        </w:rPr>
      </w:pPr>
      <w:r>
        <w:rPr>
          <w:rFonts w:hint="eastAsia" w:ascii="宋体" w:hAnsi="宋体" w:cs="宋体"/>
          <w:highlight w:val="none"/>
        </w:rPr>
        <w:t>20、劳务报酬的中间支付</w:t>
      </w:r>
    </w:p>
    <w:p w14:paraId="16C6FC81">
      <w:pPr>
        <w:spacing w:line="360" w:lineRule="auto"/>
        <w:ind w:firstLine="420"/>
        <w:rPr>
          <w:rFonts w:ascii="宋体" w:hAnsi="宋体" w:cs="宋体"/>
          <w:szCs w:val="22"/>
          <w:highlight w:val="none"/>
        </w:rPr>
      </w:pPr>
      <w:r>
        <w:rPr>
          <w:rFonts w:hint="eastAsia" w:ascii="宋体" w:hAnsi="宋体" w:cs="宋体"/>
          <w:szCs w:val="22"/>
          <w:highlight w:val="none"/>
        </w:rPr>
        <w:t>20.1  付款周期：</w:t>
      </w:r>
    </w:p>
    <w:p w14:paraId="110A3ED7">
      <w:pPr>
        <w:spacing w:line="360" w:lineRule="auto"/>
        <w:ind w:firstLine="420"/>
        <w:rPr>
          <w:rFonts w:ascii="宋体" w:hAnsi="宋体" w:cs="宋体"/>
          <w:szCs w:val="22"/>
          <w:highlight w:val="red"/>
          <w:u w:val="single"/>
        </w:rPr>
      </w:pPr>
      <w:r>
        <w:rPr>
          <w:rFonts w:hint="eastAsia" w:ascii="宋体" w:hAnsi="宋体" w:cs="宋体"/>
          <w:szCs w:val="22"/>
          <w:highlight w:val="red"/>
          <w:u w:val="single"/>
        </w:rPr>
        <w:t>20.1.1</w:t>
      </w:r>
      <w:r>
        <w:rPr>
          <w:rFonts w:hint="eastAsia" w:ascii="宋体" w:hAnsi="宋体" w:cs="宋体"/>
          <w:b/>
          <w:bCs/>
          <w:szCs w:val="22"/>
          <w:highlight w:val="red"/>
          <w:u w:val="single"/>
        </w:rPr>
        <w:t>无预付款，合同完工后付至合同内已完工程价款的 85%，验收合格一年后付至结算审计金额的 97%（如审计完成，则付至合同内已完工程价款的 97%），质保期满一年后付至最终审计金额的 100%。。付款前乙方需开具符合税法的税率为</w:t>
      </w:r>
      <w:r>
        <w:rPr>
          <w:rFonts w:hint="eastAsia" w:ascii="宋体" w:hAnsi="宋体" w:cs="宋体"/>
          <w:b/>
          <w:bCs/>
          <w:szCs w:val="22"/>
          <w:highlight w:val="red"/>
          <w:u w:val="single"/>
          <w:lang w:val="en-US" w:eastAsia="zh-CN"/>
        </w:rPr>
        <w:t xml:space="preserve"> 9 </w:t>
      </w:r>
      <w:r>
        <w:rPr>
          <w:rFonts w:hint="eastAsia" w:ascii="宋体" w:hAnsi="宋体" w:cs="宋体"/>
          <w:b/>
          <w:bCs/>
          <w:szCs w:val="22"/>
          <w:highlight w:val="red"/>
          <w:u w:val="single"/>
        </w:rPr>
        <w:t>%的等额增值税专用发票，否则迟延付款责任由乙方自行承担。</w:t>
      </w:r>
    </w:p>
    <w:p w14:paraId="66A32792">
      <w:pPr>
        <w:spacing w:line="360" w:lineRule="auto"/>
        <w:ind w:firstLine="428"/>
        <w:rPr>
          <w:rFonts w:ascii="宋体" w:hAnsi="宋体" w:cs="宋体"/>
          <w:szCs w:val="22"/>
          <w:highlight w:val="none"/>
          <w:u w:val="single"/>
        </w:rPr>
      </w:pPr>
      <w:r>
        <w:rPr>
          <w:rFonts w:hint="eastAsia" w:ascii="宋体" w:hAnsi="宋体" w:cs="宋体"/>
          <w:b/>
          <w:bCs/>
          <w:szCs w:val="22"/>
          <w:highlight w:val="none"/>
          <w:u w:val="single"/>
        </w:rPr>
        <w:t>因乙方提供账号错误导致甲方资金无法支付且被占用无法退回的，我方有权扣除被占用期间利息。乙方给予甲方必要的工程款支付期限，以便甲方办理支付申请手续。乙方不得因甲方延期支付进度款而停工，延期支付进度款不计算利息</w:t>
      </w:r>
      <w:r>
        <w:rPr>
          <w:rFonts w:hint="eastAsia" w:ascii="宋体" w:hAnsi="宋体" w:cs="宋体"/>
          <w:szCs w:val="22"/>
          <w:highlight w:val="none"/>
          <w:u w:val="single"/>
        </w:rPr>
        <w:t>。</w:t>
      </w:r>
    </w:p>
    <w:p w14:paraId="1EEDE383">
      <w:pPr>
        <w:spacing w:line="360" w:lineRule="auto"/>
        <w:ind w:firstLine="428"/>
        <w:rPr>
          <w:rFonts w:ascii="宋体" w:hAnsi="宋体" w:cs="宋体"/>
          <w:b/>
          <w:bCs/>
          <w:szCs w:val="22"/>
          <w:highlight w:val="none"/>
          <w:u w:val="single"/>
        </w:rPr>
      </w:pPr>
      <w:r>
        <w:rPr>
          <w:rFonts w:hint="eastAsia" w:ascii="宋体" w:hAnsi="宋体" w:cs="宋体"/>
          <w:b/>
          <w:bCs/>
          <w:szCs w:val="22"/>
          <w:highlight w:val="none"/>
          <w:u w:val="single"/>
        </w:rPr>
        <w:t>支付方式：现金或银行承兑汇票</w:t>
      </w:r>
    </w:p>
    <w:p w14:paraId="2752F593">
      <w:pPr>
        <w:spacing w:line="360" w:lineRule="auto"/>
        <w:ind w:firstLine="420"/>
        <w:rPr>
          <w:rFonts w:ascii="宋体" w:hAnsi="宋体" w:cs="宋体"/>
          <w:szCs w:val="22"/>
          <w:highlight w:val="none"/>
          <w:u w:val="single"/>
        </w:rPr>
      </w:pPr>
      <w:r>
        <w:rPr>
          <w:rFonts w:hint="eastAsia" w:ascii="宋体" w:hAnsi="宋体" w:cs="宋体"/>
          <w:szCs w:val="22"/>
          <w:highlight w:val="none"/>
          <w:u w:val="single"/>
        </w:rPr>
        <w:t>20.1.2劳承包人每次支付工程款前，分包人必须开具合法的正式等额增值税专用发票（税率为</w:t>
      </w:r>
      <w:r>
        <w:rPr>
          <w:rFonts w:hint="eastAsia" w:ascii="宋体" w:hAnsi="宋体" w:cs="宋体"/>
          <w:szCs w:val="22"/>
          <w:highlight w:val="none"/>
          <w:u w:val="single"/>
          <w:lang w:val="en-US" w:eastAsia="zh-CN"/>
        </w:rPr>
        <w:t xml:space="preserve"> 9 </w:t>
      </w:r>
      <w:r>
        <w:rPr>
          <w:rFonts w:hint="eastAsia" w:ascii="宋体" w:hAnsi="宋体" w:cs="宋体"/>
          <w:szCs w:val="22"/>
          <w:highlight w:val="none"/>
          <w:u w:val="single"/>
        </w:rPr>
        <w:t>%），承包人收到发票后付款。若分包人未按合同约定及时提供发票，承包人有权拒绝付款的，延迟付款责任由分包人自行承担。</w:t>
      </w:r>
    </w:p>
    <w:p w14:paraId="4E9E1A79">
      <w:pPr>
        <w:spacing w:line="360" w:lineRule="auto"/>
        <w:ind w:firstLine="428"/>
        <w:rPr>
          <w:rFonts w:ascii="宋体" w:hAnsi="宋体" w:cs="宋体"/>
          <w:b/>
          <w:bCs/>
          <w:szCs w:val="22"/>
          <w:highlight w:val="none"/>
          <w:u w:val="single"/>
        </w:rPr>
      </w:pPr>
      <w:r>
        <w:rPr>
          <w:rFonts w:hint="eastAsia" w:ascii="宋体" w:hAnsi="宋体" w:cs="宋体"/>
          <w:b/>
          <w:bCs/>
          <w:szCs w:val="22"/>
          <w:highlight w:val="none"/>
          <w:u w:val="single"/>
        </w:rPr>
        <w:t>20.1.3甲方在支付工程款时，应扣除累计已支付的农民工工资，剩余部分作为本次应付工程款。</w:t>
      </w:r>
    </w:p>
    <w:p w14:paraId="6E911730">
      <w:pPr>
        <w:spacing w:line="360" w:lineRule="auto"/>
        <w:ind w:firstLine="420"/>
        <w:rPr>
          <w:rFonts w:ascii="宋体" w:hAnsi="宋体" w:cs="宋体"/>
          <w:szCs w:val="22"/>
          <w:highlight w:val="none"/>
        </w:rPr>
      </w:pPr>
      <w:r>
        <w:rPr>
          <w:rFonts w:hint="eastAsia" w:ascii="宋体" w:hAnsi="宋体" w:cs="宋体"/>
          <w:szCs w:val="22"/>
          <w:highlight w:val="none"/>
        </w:rPr>
        <w:t>20.2进度付款申请单的编制</w:t>
      </w:r>
    </w:p>
    <w:p w14:paraId="5F2EE985">
      <w:pPr>
        <w:spacing w:line="360" w:lineRule="auto"/>
        <w:ind w:firstLine="420"/>
        <w:rPr>
          <w:rFonts w:ascii="宋体" w:hAnsi="宋体" w:cs="宋体"/>
          <w:szCs w:val="22"/>
          <w:highlight w:val="none"/>
        </w:rPr>
      </w:pPr>
      <w:r>
        <w:rPr>
          <w:rFonts w:hint="eastAsia" w:ascii="宋体" w:hAnsi="宋体" w:cs="宋体"/>
          <w:szCs w:val="22"/>
          <w:highlight w:val="none"/>
        </w:rPr>
        <w:t>关于进度付款申请单编制的约定：</w:t>
      </w:r>
      <w:r>
        <w:rPr>
          <w:rFonts w:hint="eastAsia" w:ascii="宋体" w:hAnsi="宋体" w:cs="宋体"/>
          <w:szCs w:val="22"/>
          <w:highlight w:val="none"/>
          <w:u w:val="single"/>
        </w:rPr>
        <w:t>按甲方规定的工作流程及要求执行</w:t>
      </w:r>
      <w:r>
        <w:rPr>
          <w:rFonts w:hint="eastAsia" w:ascii="宋体" w:hAnsi="宋体" w:cs="宋体"/>
          <w:szCs w:val="22"/>
          <w:highlight w:val="none"/>
        </w:rPr>
        <w:t>。</w:t>
      </w:r>
    </w:p>
    <w:p w14:paraId="7C26414C">
      <w:pPr>
        <w:spacing w:line="360" w:lineRule="auto"/>
        <w:ind w:firstLine="420"/>
        <w:rPr>
          <w:rFonts w:ascii="宋体" w:hAnsi="宋体" w:cs="宋体"/>
          <w:szCs w:val="22"/>
          <w:highlight w:val="none"/>
        </w:rPr>
      </w:pPr>
      <w:r>
        <w:rPr>
          <w:rFonts w:hint="eastAsia" w:ascii="宋体" w:hAnsi="宋体" w:cs="宋体"/>
          <w:szCs w:val="22"/>
          <w:highlight w:val="none"/>
        </w:rPr>
        <w:t>20.3 进度付款申请单的提交</w:t>
      </w:r>
    </w:p>
    <w:p w14:paraId="3FAA5C79">
      <w:pPr>
        <w:spacing w:line="360" w:lineRule="auto"/>
        <w:ind w:firstLine="420"/>
        <w:rPr>
          <w:rFonts w:ascii="宋体" w:hAnsi="宋体" w:cs="宋体"/>
          <w:szCs w:val="22"/>
          <w:highlight w:val="none"/>
        </w:rPr>
      </w:pPr>
      <w:r>
        <w:rPr>
          <w:rFonts w:hint="eastAsia" w:ascii="宋体" w:hAnsi="宋体" w:cs="宋体"/>
          <w:szCs w:val="22"/>
          <w:highlight w:val="none"/>
        </w:rPr>
        <w:t>（1）单价合同进度付款申请单提交的约定：</w:t>
      </w:r>
      <w:r>
        <w:rPr>
          <w:rFonts w:hint="eastAsia" w:ascii="宋体" w:hAnsi="宋体" w:cs="宋体"/>
          <w:szCs w:val="22"/>
          <w:highlight w:val="none"/>
          <w:u w:val="single"/>
        </w:rPr>
        <w:t>乙方应按当周实际进度在每周六前向监理工程师报送周度已完工且验收合格工程的工程款支付报审表及相关资料</w:t>
      </w:r>
      <w:r>
        <w:rPr>
          <w:rFonts w:hint="eastAsia" w:ascii="宋体" w:hAnsi="宋体" w:cs="宋体"/>
          <w:szCs w:val="22"/>
          <w:highlight w:val="none"/>
        </w:rPr>
        <w:t>。</w:t>
      </w:r>
    </w:p>
    <w:p w14:paraId="51D35D62">
      <w:pPr>
        <w:spacing w:line="360" w:lineRule="auto"/>
        <w:ind w:firstLine="420"/>
        <w:rPr>
          <w:rFonts w:ascii="宋体" w:hAnsi="宋体" w:cs="宋体"/>
          <w:szCs w:val="22"/>
          <w:highlight w:val="none"/>
        </w:rPr>
      </w:pPr>
      <w:r>
        <w:rPr>
          <w:rFonts w:hint="eastAsia" w:ascii="宋体" w:hAnsi="宋体" w:cs="宋体"/>
          <w:szCs w:val="22"/>
          <w:highlight w:val="none"/>
        </w:rPr>
        <w:t>20.4 进度款审核和支付</w:t>
      </w:r>
    </w:p>
    <w:p w14:paraId="7E7702DD">
      <w:pPr>
        <w:spacing w:line="360" w:lineRule="auto"/>
        <w:ind w:firstLine="420"/>
        <w:rPr>
          <w:rFonts w:ascii="宋体" w:hAnsi="宋体" w:cs="宋体"/>
          <w:szCs w:val="22"/>
          <w:highlight w:val="none"/>
        </w:rPr>
      </w:pPr>
      <w:r>
        <w:rPr>
          <w:rFonts w:hint="eastAsia" w:ascii="宋体" w:hAnsi="宋体" w:cs="宋体"/>
          <w:szCs w:val="22"/>
          <w:highlight w:val="none"/>
        </w:rPr>
        <w:t>（1）甲方完成审批并签发进度款支付证书的期限：</w:t>
      </w:r>
      <w:r>
        <w:rPr>
          <w:rFonts w:hint="eastAsia" w:ascii="宋体" w:hAnsi="宋体" w:cs="宋体"/>
          <w:szCs w:val="22"/>
          <w:highlight w:val="none"/>
          <w:u w:val="single"/>
        </w:rPr>
        <w:t>在收到乙方报送的进度付款申请单及相关资料后7日内。</w:t>
      </w:r>
    </w:p>
    <w:p w14:paraId="18116843">
      <w:pPr>
        <w:spacing w:line="360" w:lineRule="auto"/>
        <w:ind w:firstLine="420"/>
        <w:rPr>
          <w:rFonts w:ascii="宋体" w:hAnsi="宋体" w:cs="宋体"/>
          <w:szCs w:val="22"/>
          <w:highlight w:val="none"/>
        </w:rPr>
      </w:pPr>
      <w:r>
        <w:rPr>
          <w:rFonts w:hint="eastAsia" w:ascii="宋体" w:hAnsi="宋体" w:cs="宋体"/>
          <w:szCs w:val="22"/>
          <w:highlight w:val="none"/>
        </w:rPr>
        <w:t>（2）甲方支付进度款的期限：</w:t>
      </w:r>
      <w:r>
        <w:rPr>
          <w:rFonts w:hint="eastAsia" w:ascii="宋体" w:hAnsi="宋体" w:cs="宋体"/>
          <w:szCs w:val="22"/>
          <w:highlight w:val="none"/>
          <w:u w:val="single"/>
        </w:rPr>
        <w:t>按资金到位情况拨付</w:t>
      </w:r>
      <w:r>
        <w:rPr>
          <w:rFonts w:hint="eastAsia" w:ascii="宋体" w:hAnsi="宋体" w:cs="宋体"/>
          <w:szCs w:val="22"/>
          <w:highlight w:val="none"/>
        </w:rPr>
        <w:t>。</w:t>
      </w:r>
    </w:p>
    <w:p w14:paraId="119F0738">
      <w:pPr>
        <w:spacing w:line="360" w:lineRule="auto"/>
        <w:ind w:firstLine="420"/>
        <w:rPr>
          <w:rFonts w:ascii="宋体" w:hAnsi="宋体" w:cs="宋体"/>
          <w:szCs w:val="22"/>
          <w:highlight w:val="none"/>
        </w:rPr>
      </w:pPr>
      <w:r>
        <w:rPr>
          <w:rFonts w:hint="eastAsia" w:ascii="宋体" w:hAnsi="宋体" w:cs="宋体"/>
          <w:szCs w:val="22"/>
          <w:highlight w:val="none"/>
        </w:rPr>
        <w:t>甲方逾期支付进度款的违约金的计算方式：</w:t>
      </w:r>
      <w:r>
        <w:rPr>
          <w:rFonts w:hint="eastAsia" w:ascii="宋体" w:hAnsi="宋体" w:cs="宋体"/>
          <w:szCs w:val="22"/>
          <w:highlight w:val="none"/>
          <w:u w:val="single"/>
        </w:rPr>
        <w:t>双方协商延期支付时间，不计取违约金</w:t>
      </w:r>
      <w:r>
        <w:rPr>
          <w:rFonts w:hint="eastAsia" w:ascii="宋体" w:hAnsi="宋体" w:cs="宋体"/>
          <w:szCs w:val="22"/>
          <w:highlight w:val="none"/>
        </w:rPr>
        <w:t>。</w:t>
      </w:r>
    </w:p>
    <w:p w14:paraId="76E85070">
      <w:pPr>
        <w:pStyle w:val="4"/>
        <w:spacing w:before="0" w:after="0" w:line="360" w:lineRule="auto"/>
        <w:ind w:firstLine="653"/>
        <w:rPr>
          <w:rFonts w:ascii="宋体" w:hAnsi="宋体" w:cs="宋体"/>
          <w:highlight w:val="none"/>
        </w:rPr>
      </w:pPr>
      <w:r>
        <w:rPr>
          <w:rFonts w:hint="eastAsia" w:ascii="宋体" w:hAnsi="宋体" w:cs="宋体"/>
          <w:highlight w:val="none"/>
        </w:rPr>
        <w:t>21、施工机具、周转材料供应</w:t>
      </w:r>
    </w:p>
    <w:p w14:paraId="02EA432E">
      <w:pPr>
        <w:spacing w:line="360" w:lineRule="auto"/>
        <w:ind w:firstLine="420"/>
        <w:rPr>
          <w:rFonts w:ascii="宋体" w:hAnsi="宋体" w:cs="宋体"/>
          <w:highlight w:val="none"/>
        </w:rPr>
      </w:pPr>
      <w:r>
        <w:rPr>
          <w:rFonts w:hint="eastAsia" w:ascii="宋体" w:hAnsi="宋体" w:cs="宋体"/>
          <w:highlight w:val="none"/>
        </w:rPr>
        <w:t>21.1、甲方提供给乙方劳务作业使用的机具、设备，性能应满足施工的要求，及时运入场地，安装调试完毕，运行良好后交付乙方使用。周转材料、低值易耗材料（由甲方依据本合同委托乙方采购的除外）应按时运入现场交付乙方，保证施工需要。如需要乙方运输、卸车、安拆调试时，费用由乙方承担。</w:t>
      </w:r>
    </w:p>
    <w:p w14:paraId="43EB0E79">
      <w:pPr>
        <w:spacing w:line="360" w:lineRule="auto"/>
        <w:ind w:firstLine="420"/>
        <w:rPr>
          <w:rFonts w:ascii="宋体" w:hAnsi="宋体" w:cs="宋体"/>
          <w:highlight w:val="none"/>
        </w:rPr>
      </w:pPr>
      <w:r>
        <w:rPr>
          <w:rFonts w:hint="eastAsia" w:ascii="宋体" w:hAnsi="宋体" w:cs="宋体"/>
          <w:highlight w:val="none"/>
        </w:rPr>
        <w:t>21.2、甲方应提供施工使用的机具、设备一览表见</w:t>
      </w:r>
      <w:r>
        <w:rPr>
          <w:rFonts w:hint="eastAsia" w:ascii="宋体" w:hAnsi="宋体" w:cs="宋体"/>
          <w:highlight w:val="green"/>
        </w:rPr>
        <w:t>附件</w:t>
      </w:r>
      <w:r>
        <w:rPr>
          <w:rFonts w:hint="eastAsia" w:ascii="宋体" w:hAnsi="宋体" w:cs="宋体"/>
          <w:highlight w:val="green"/>
          <w:lang w:eastAsia="zh-CN"/>
        </w:rPr>
        <w:t>（</w:t>
      </w:r>
      <w:r>
        <w:rPr>
          <w:rFonts w:hint="eastAsia" w:ascii="宋体" w:hAnsi="宋体" w:cs="宋体"/>
          <w:highlight w:val="green"/>
          <w:lang w:val="en-US" w:eastAsia="zh-CN"/>
        </w:rPr>
        <w:t>如有</w:t>
      </w:r>
      <w:r>
        <w:rPr>
          <w:rFonts w:hint="eastAsia" w:ascii="宋体" w:hAnsi="宋体" w:cs="宋体"/>
          <w:highlight w:val="green"/>
          <w:lang w:eastAsia="zh-CN"/>
        </w:rPr>
        <w:t>）</w:t>
      </w:r>
      <w:r>
        <w:rPr>
          <w:rFonts w:hint="eastAsia" w:ascii="宋体" w:hAnsi="宋体" w:cs="宋体"/>
          <w:highlight w:val="none"/>
        </w:rPr>
        <w:t>。</w:t>
      </w:r>
    </w:p>
    <w:p w14:paraId="4311B76A">
      <w:pPr>
        <w:spacing w:line="360" w:lineRule="auto"/>
        <w:ind w:firstLine="420"/>
        <w:rPr>
          <w:rFonts w:ascii="宋体" w:hAnsi="宋体" w:cs="宋体"/>
          <w:highlight w:val="none"/>
        </w:rPr>
      </w:pPr>
      <w:r>
        <w:rPr>
          <w:rFonts w:hint="eastAsia" w:ascii="宋体" w:hAnsi="宋体" w:cs="宋体"/>
          <w:highlight w:val="none"/>
        </w:rPr>
        <w:t>21.3、甲方应提供的周转材料、低值易耗材料一览表见</w:t>
      </w:r>
      <w:r>
        <w:rPr>
          <w:rFonts w:hint="eastAsia" w:ascii="宋体" w:hAnsi="宋体" w:cs="宋体"/>
          <w:highlight w:val="green"/>
        </w:rPr>
        <w:t>附件</w:t>
      </w:r>
      <w:r>
        <w:rPr>
          <w:rFonts w:hint="eastAsia" w:ascii="宋体" w:hAnsi="宋体" w:cs="宋体"/>
          <w:highlight w:val="green"/>
          <w:lang w:eastAsia="zh-CN"/>
        </w:rPr>
        <w:t>（</w:t>
      </w:r>
      <w:r>
        <w:rPr>
          <w:rFonts w:hint="eastAsia" w:ascii="宋体" w:hAnsi="宋体" w:cs="宋体"/>
          <w:highlight w:val="green"/>
          <w:lang w:val="en-US" w:eastAsia="zh-CN"/>
        </w:rPr>
        <w:t>如有</w:t>
      </w:r>
      <w:r>
        <w:rPr>
          <w:rFonts w:hint="eastAsia" w:ascii="宋体" w:hAnsi="宋体" w:cs="宋体"/>
          <w:highlight w:val="green"/>
          <w:lang w:eastAsia="zh-CN"/>
        </w:rPr>
        <w:t>）</w:t>
      </w:r>
      <w:r>
        <w:rPr>
          <w:rFonts w:hint="eastAsia" w:ascii="宋体" w:hAnsi="宋体" w:cs="宋体"/>
          <w:highlight w:val="none"/>
        </w:rPr>
        <w:t>。</w:t>
      </w:r>
    </w:p>
    <w:p w14:paraId="55AE0858">
      <w:pPr>
        <w:pStyle w:val="4"/>
        <w:spacing w:before="0" w:after="0" w:line="360" w:lineRule="auto"/>
        <w:ind w:firstLine="653"/>
        <w:rPr>
          <w:rFonts w:ascii="宋体" w:hAnsi="宋体" w:cs="宋体"/>
          <w:bCs/>
          <w:highlight w:val="none"/>
        </w:rPr>
      </w:pPr>
      <w:r>
        <w:rPr>
          <w:rFonts w:hint="eastAsia" w:ascii="宋体" w:hAnsi="宋体" w:cs="宋体"/>
          <w:bCs/>
          <w:highlight w:val="none"/>
        </w:rPr>
        <w:t>22、施工变更</w:t>
      </w:r>
    </w:p>
    <w:p w14:paraId="4FCFFB7A">
      <w:pPr>
        <w:spacing w:line="360" w:lineRule="auto"/>
        <w:ind w:firstLine="420"/>
        <w:rPr>
          <w:rFonts w:ascii="宋体" w:hAnsi="宋体" w:cs="宋体"/>
          <w:highlight w:val="none"/>
        </w:rPr>
      </w:pPr>
      <w:r>
        <w:rPr>
          <w:rFonts w:hint="eastAsia" w:ascii="宋体" w:hAnsi="宋体" w:cs="宋体"/>
          <w:highlight w:val="none"/>
        </w:rPr>
        <w:t>22.1 施工中如发生对原工作内容进行变更，甲方项目经理应提前7天以书面形式向乙方发出变更通知，并提供变更的相应图纸和说明。乙方在接到甲方变更指令单后，7天内上报变更涉及的费用调整清单和变更情况说明的电子版和纸质版文件报甲方，每超过1天，向甲方支付5000元的违约金；甲方上报发包人变更手续，发包人同意后乙方方可实施。乙方按照甲方（项目经理）发出的变更通知及有关要求，进行下列需要的变更：</w:t>
      </w:r>
    </w:p>
    <w:p w14:paraId="4F9476EC">
      <w:pPr>
        <w:spacing w:line="360" w:lineRule="auto"/>
        <w:ind w:firstLine="420"/>
        <w:rPr>
          <w:rFonts w:ascii="宋体" w:hAnsi="宋体" w:cs="宋体"/>
          <w:highlight w:val="none"/>
          <w:u w:val="single"/>
        </w:rPr>
      </w:pPr>
      <w:r>
        <w:rPr>
          <w:rFonts w:hint="eastAsia" w:ascii="宋体" w:hAnsi="宋体" w:cs="宋体"/>
          <w:highlight w:val="none"/>
          <w:u w:val="single"/>
        </w:rPr>
        <w:t>(1) 更改工程有关部分的标高、基线、位置和尺寸；</w:t>
      </w:r>
    </w:p>
    <w:p w14:paraId="1514FF49">
      <w:pPr>
        <w:spacing w:line="360" w:lineRule="auto"/>
        <w:ind w:firstLine="420"/>
        <w:rPr>
          <w:rFonts w:ascii="宋体" w:hAnsi="宋体" w:cs="宋体"/>
          <w:highlight w:val="none"/>
          <w:u w:val="single"/>
        </w:rPr>
      </w:pPr>
      <w:r>
        <w:rPr>
          <w:rFonts w:hint="eastAsia" w:ascii="宋体" w:hAnsi="宋体" w:cs="宋体"/>
          <w:highlight w:val="none"/>
          <w:u w:val="single"/>
        </w:rPr>
        <w:t>(2) 增减合同中约定的工程量；</w:t>
      </w:r>
    </w:p>
    <w:p w14:paraId="4E3983FE">
      <w:pPr>
        <w:spacing w:line="360" w:lineRule="auto"/>
        <w:ind w:firstLine="420"/>
        <w:rPr>
          <w:rFonts w:ascii="宋体" w:hAnsi="宋体" w:cs="宋体"/>
          <w:highlight w:val="none"/>
          <w:u w:val="single"/>
        </w:rPr>
      </w:pPr>
      <w:r>
        <w:rPr>
          <w:rFonts w:hint="eastAsia" w:ascii="宋体" w:hAnsi="宋体" w:cs="宋体"/>
          <w:highlight w:val="none"/>
          <w:u w:val="single"/>
        </w:rPr>
        <w:t>(3) 改变有关的施工时间和顺序；</w:t>
      </w:r>
    </w:p>
    <w:p w14:paraId="73ADDFEE">
      <w:pPr>
        <w:spacing w:line="360" w:lineRule="auto"/>
        <w:ind w:firstLine="420"/>
        <w:rPr>
          <w:rFonts w:ascii="宋体" w:hAnsi="宋体" w:cs="宋体"/>
          <w:highlight w:val="none"/>
          <w:u w:val="single"/>
        </w:rPr>
      </w:pPr>
      <w:r>
        <w:rPr>
          <w:rFonts w:hint="eastAsia" w:ascii="宋体" w:hAnsi="宋体" w:cs="宋体"/>
          <w:highlight w:val="none"/>
          <w:u w:val="single"/>
        </w:rPr>
        <w:t>(4) 其他有关工程变更需要的附加工作。</w:t>
      </w:r>
    </w:p>
    <w:p w14:paraId="64F51CCB">
      <w:pPr>
        <w:spacing w:line="360" w:lineRule="auto"/>
        <w:ind w:firstLine="420"/>
        <w:rPr>
          <w:rFonts w:ascii="宋体" w:hAnsi="宋体" w:cs="宋体"/>
          <w:highlight w:val="none"/>
          <w:u w:val="single"/>
        </w:rPr>
      </w:pPr>
      <w:r>
        <w:rPr>
          <w:rFonts w:hint="eastAsia" w:ascii="宋体" w:hAnsi="宋体" w:cs="宋体"/>
          <w:highlight w:val="none"/>
          <w:u w:val="single"/>
        </w:rPr>
        <w:t>22.2 因变更导致劳务报酬的增加及造成的乙方损失，甲方不予补偿，延误的工期相应顺延；因变更减少工程量，劳务报酬应相应减少，工期相应调整。</w:t>
      </w:r>
    </w:p>
    <w:p w14:paraId="477F6060">
      <w:pPr>
        <w:spacing w:line="360" w:lineRule="auto"/>
        <w:ind w:firstLine="420"/>
        <w:rPr>
          <w:rFonts w:ascii="宋体" w:hAnsi="宋体" w:cs="宋体"/>
          <w:highlight w:val="none"/>
          <w:u w:val="single"/>
        </w:rPr>
      </w:pPr>
      <w:r>
        <w:rPr>
          <w:rFonts w:hint="eastAsia" w:ascii="宋体" w:hAnsi="宋体" w:cs="宋体"/>
          <w:highlight w:val="none"/>
          <w:u w:val="single"/>
        </w:rPr>
        <w:t>22.3施工中乙方不得对原工程设计进行变更。因乙方擅自变更设计发生的费用和由此导致甲方的直接损失，由乙方承担，延误的工期不予顺延。</w:t>
      </w:r>
    </w:p>
    <w:p w14:paraId="02FE6EEE">
      <w:pPr>
        <w:spacing w:line="360" w:lineRule="auto"/>
        <w:ind w:firstLine="420"/>
        <w:rPr>
          <w:rFonts w:ascii="宋体" w:hAnsi="宋体" w:cs="宋体"/>
          <w:highlight w:val="none"/>
          <w:u w:val="single"/>
        </w:rPr>
      </w:pPr>
      <w:r>
        <w:rPr>
          <w:rFonts w:hint="eastAsia" w:ascii="宋体" w:hAnsi="宋体" w:cs="宋体"/>
          <w:highlight w:val="none"/>
          <w:u w:val="single"/>
        </w:rPr>
        <w:t>22.4 因乙方自身原因导致的工程变更，乙方无权要求追加劳务报酬。</w:t>
      </w:r>
    </w:p>
    <w:p w14:paraId="2F5F0A9D">
      <w:pPr>
        <w:spacing w:line="360" w:lineRule="auto"/>
        <w:ind w:firstLine="420"/>
        <w:rPr>
          <w:rFonts w:ascii="宋体" w:hAnsi="宋体" w:cs="宋体"/>
          <w:highlight w:val="none"/>
        </w:rPr>
      </w:pPr>
      <w:r>
        <w:rPr>
          <w:rFonts w:hint="eastAsia" w:ascii="宋体" w:hAnsi="宋体" w:cs="宋体"/>
          <w:highlight w:val="none"/>
        </w:rPr>
        <w:t>22.5施工变更估价</w:t>
      </w:r>
    </w:p>
    <w:p w14:paraId="7B3E6F83">
      <w:pPr>
        <w:spacing w:line="360" w:lineRule="auto"/>
        <w:ind w:firstLine="420"/>
        <w:rPr>
          <w:rFonts w:ascii="宋体" w:hAnsi="宋体" w:cs="宋体"/>
          <w:highlight w:val="none"/>
        </w:rPr>
      </w:pPr>
      <w:r>
        <w:rPr>
          <w:rFonts w:hint="eastAsia" w:ascii="宋体" w:hAnsi="宋体" w:cs="宋体"/>
          <w:highlight w:val="none"/>
        </w:rPr>
        <w:t>因合同履行过程中发生施工变更导致价格调整的，施工变更估价按照本款约定处理：</w:t>
      </w:r>
    </w:p>
    <w:p w14:paraId="14D888F3">
      <w:pPr>
        <w:spacing w:line="360" w:lineRule="auto"/>
        <w:ind w:firstLine="420"/>
        <w:rPr>
          <w:rFonts w:ascii="宋体" w:hAnsi="宋体" w:cs="宋体"/>
          <w:highlight w:val="none"/>
          <w:u w:val="single"/>
        </w:rPr>
      </w:pPr>
      <w:r>
        <w:rPr>
          <w:rFonts w:hint="eastAsia" w:ascii="宋体" w:hAnsi="宋体" w:cs="宋体"/>
          <w:highlight w:val="none"/>
          <w:u w:val="single"/>
        </w:rPr>
        <w:t>（1）全费用清单中有适用于工程变更项目的，应采用该项目的单价；</w:t>
      </w:r>
    </w:p>
    <w:p w14:paraId="3F2AE35A">
      <w:pPr>
        <w:spacing w:line="360" w:lineRule="auto"/>
        <w:ind w:firstLine="420"/>
        <w:rPr>
          <w:rFonts w:ascii="宋体" w:hAnsi="宋体" w:cs="宋体"/>
          <w:highlight w:val="none"/>
          <w:u w:val="single"/>
        </w:rPr>
      </w:pPr>
      <w:r>
        <w:rPr>
          <w:rFonts w:hint="eastAsia" w:ascii="宋体" w:hAnsi="宋体" w:cs="宋体"/>
          <w:highlight w:val="none"/>
          <w:u w:val="single"/>
        </w:rPr>
        <w:t>（2）全费用清单中没有适用但有类似于工程变更项目的，可在合理范围内参照类似项目的单价；</w:t>
      </w:r>
    </w:p>
    <w:p w14:paraId="12AC2AA8">
      <w:pPr>
        <w:spacing w:line="360" w:lineRule="auto"/>
        <w:ind w:firstLine="420"/>
        <w:rPr>
          <w:rFonts w:ascii="宋体" w:hAnsi="宋体" w:cs="宋体"/>
          <w:highlight w:val="none"/>
        </w:rPr>
      </w:pPr>
      <w:r>
        <w:rPr>
          <w:rFonts w:hint="eastAsia" w:ascii="宋体" w:hAnsi="宋体" w:cs="宋体"/>
          <w:highlight w:val="none"/>
          <w:u w:val="single"/>
        </w:rPr>
        <w:t>（3）全费用清单中没有适用也没有类似于变更工程项目的，应由乙方根据变更工程资料、计量规则、计价办法和通过市场调查等取得合法依据的市场价格提出变更工程项目的单价，并应报甲方确认后调整。</w:t>
      </w:r>
    </w:p>
    <w:p w14:paraId="1D2CD661">
      <w:pPr>
        <w:spacing w:line="360" w:lineRule="auto"/>
        <w:ind w:firstLine="420"/>
        <w:rPr>
          <w:rFonts w:ascii="宋体" w:hAnsi="宋体" w:cs="宋体"/>
          <w:highlight w:val="none"/>
        </w:rPr>
      </w:pPr>
      <w:r>
        <w:rPr>
          <w:rFonts w:hint="eastAsia" w:ascii="宋体" w:hAnsi="宋体" w:cs="宋体"/>
          <w:highlight w:val="none"/>
        </w:rPr>
        <w:t>22.6施工变更估价程序</w:t>
      </w:r>
    </w:p>
    <w:p w14:paraId="71B7D9AC">
      <w:pPr>
        <w:spacing w:line="360" w:lineRule="auto"/>
        <w:ind w:firstLine="420"/>
        <w:rPr>
          <w:rFonts w:ascii="宋体" w:hAnsi="宋体" w:cs="宋体"/>
          <w:highlight w:val="none"/>
        </w:rPr>
      </w:pPr>
      <w:r>
        <w:rPr>
          <w:rFonts w:hint="eastAsia" w:ascii="宋体" w:hAnsi="宋体" w:cs="宋体"/>
          <w:highlight w:val="none"/>
          <w:u w:val="single"/>
        </w:rPr>
        <w:t>所有变更类的手续以甲方和建设单位办理完相关手续为前提，如建设单位否决变更，则该项变更甲方亦予以否决，劳务单位不得提出异议。甲方应在收到施工变更估价申请后3天内审查完毕，甲方对施工变更估价申请有异议，通知乙方修改后重新提交。甲方逾期未完成审批并且未提出异议的，视为认可乙方提交的施工变更估价申请。所有变更工程量的费用在工程结算时计算，审计完成后予以支付。</w:t>
      </w:r>
    </w:p>
    <w:p w14:paraId="678F5886">
      <w:pPr>
        <w:spacing w:line="360" w:lineRule="auto"/>
        <w:ind w:firstLine="420"/>
        <w:rPr>
          <w:rFonts w:hint="eastAsia" w:ascii="宋体" w:hAnsi="宋体" w:cs="宋体"/>
          <w:highlight w:val="none"/>
        </w:rPr>
      </w:pPr>
      <w:r>
        <w:rPr>
          <w:rFonts w:hint="eastAsia" w:ascii="宋体" w:hAnsi="宋体" w:cs="宋体"/>
          <w:highlight w:val="none"/>
        </w:rPr>
        <w:t>22.7施工变更引起的工期调整</w:t>
      </w:r>
    </w:p>
    <w:p w14:paraId="7125EE7E">
      <w:pPr>
        <w:spacing w:line="360" w:lineRule="auto"/>
        <w:ind w:firstLine="420"/>
        <w:rPr>
          <w:rFonts w:ascii="宋体" w:hAnsi="宋体" w:cs="宋体"/>
          <w:highlight w:val="none"/>
          <w:u w:val="single"/>
        </w:rPr>
      </w:pPr>
      <w:r>
        <w:rPr>
          <w:rFonts w:hint="eastAsia" w:ascii="宋体" w:hAnsi="宋体" w:cs="宋体"/>
          <w:highlight w:val="none"/>
          <w:u w:val="single"/>
        </w:rPr>
        <w:t>因施工变更引起工期变化的，甲乙双方均可要求调整工期。甲乙双方应结合分包内容特点及技术难度，并参考工程所在地定额标准确定工期。</w:t>
      </w:r>
    </w:p>
    <w:p w14:paraId="58225C4C">
      <w:pPr>
        <w:pStyle w:val="4"/>
        <w:spacing w:before="0" w:after="0" w:line="360" w:lineRule="auto"/>
        <w:ind w:firstLine="653"/>
        <w:rPr>
          <w:rFonts w:ascii="宋体" w:hAnsi="宋体" w:cs="宋体"/>
          <w:bCs/>
          <w:highlight w:val="none"/>
        </w:rPr>
      </w:pPr>
      <w:r>
        <w:rPr>
          <w:rFonts w:hint="eastAsia" w:ascii="宋体" w:hAnsi="宋体" w:cs="宋体"/>
          <w:bCs/>
          <w:highlight w:val="none"/>
        </w:rPr>
        <w:t>23、施工</w:t>
      </w:r>
      <w:r>
        <w:rPr>
          <w:rStyle w:val="52"/>
          <w:rFonts w:hint="eastAsia" w:ascii="宋体" w:hAnsi="宋体" w:cs="宋体"/>
          <w:b/>
          <w:bCs/>
          <w:highlight w:val="none"/>
        </w:rPr>
        <w:t>验收</w:t>
      </w:r>
    </w:p>
    <w:p w14:paraId="6D1AE4A7">
      <w:pPr>
        <w:spacing w:line="360" w:lineRule="auto"/>
        <w:ind w:firstLine="420"/>
        <w:rPr>
          <w:rFonts w:ascii="宋体" w:hAnsi="宋体" w:cs="宋体"/>
          <w:highlight w:val="none"/>
          <w:u w:val="single"/>
        </w:rPr>
      </w:pPr>
      <w:r>
        <w:rPr>
          <w:rFonts w:hint="eastAsia" w:ascii="宋体" w:hAnsi="宋体" w:cs="宋体"/>
          <w:highlight w:val="none"/>
          <w:u w:val="single"/>
        </w:rPr>
        <w:t xml:space="preserve"> 23.1 乙方应确保所完成施工的质量，应符合本合同约定的质量标准。乙方施工完毕，应书面向甲方提交完工报告，通知甲方验收；甲方应当在收到乙方的上述报告后7天内对乙方施工成果进行验收，验收合格或者甲方在上述期限内未组织验收的，视为乙方已经完成了本合同约定工作。但甲方与发包人间的隐蔽工程验收结果或工程竣工验收结果表明乙方施工质量不合格时，乙方应负责无偿修复，不延长工期，并承担由此导致的甲方的相关损失。</w:t>
      </w:r>
    </w:p>
    <w:p w14:paraId="266F6C9E">
      <w:pPr>
        <w:spacing w:line="360" w:lineRule="auto"/>
        <w:ind w:firstLine="420"/>
        <w:rPr>
          <w:rFonts w:ascii="宋体" w:hAnsi="宋体" w:cs="宋体"/>
          <w:highlight w:val="none"/>
          <w:u w:val="single"/>
        </w:rPr>
      </w:pPr>
      <w:r>
        <w:rPr>
          <w:rFonts w:hint="eastAsia" w:ascii="宋体" w:hAnsi="宋体" w:cs="宋体"/>
          <w:highlight w:val="none"/>
          <w:u w:val="single"/>
        </w:rPr>
        <w:t>23.2乙方应严格按照标准、规范和设计要求以及甲方代表发出的指令施工，加强内部检查工作，坚持自检、互检、交接检制度，随时接受甲方代表或委派人员、发包人、监理现场人员和各级质监部门的检查、检验，为检查、检验提供便利条件，并按检查要求返工、返修，承担由自身原因导致的返工、返修的全部费用及其他责任。</w:t>
      </w:r>
    </w:p>
    <w:p w14:paraId="46D65120">
      <w:pPr>
        <w:spacing w:line="360" w:lineRule="auto"/>
        <w:ind w:firstLine="420"/>
        <w:rPr>
          <w:rFonts w:ascii="宋体" w:hAnsi="宋体" w:cs="宋体"/>
          <w:highlight w:val="none"/>
          <w:u w:val="single"/>
        </w:rPr>
      </w:pPr>
      <w:r>
        <w:rPr>
          <w:rFonts w:hint="eastAsia" w:ascii="宋体" w:hAnsi="宋体" w:cs="宋体"/>
          <w:highlight w:val="none"/>
          <w:u w:val="single"/>
        </w:rPr>
        <w:t>23.3隐蔽工程和中间验收：乙方应在自检合格后，验收48小时前通知甲方组织验收，经验收合格，验收记录签字后方可进行隐蔽或继续施工。如验收不符合质量要求，乙方应按验收提出的整改意见返修，合格后重新通知验收。因乙方原因所导致返修，全部费用由乙方承担，工期不予顺延。未经验收不得自行隐蔽，如有自行隐蔽，乙方必须按照甲方或有关单位的要求进行剥露或开口，并负责恢复和承担全部责任。中间验收部位：按甲方要求。</w:t>
      </w:r>
    </w:p>
    <w:p w14:paraId="506956D0">
      <w:pPr>
        <w:spacing w:line="360" w:lineRule="auto"/>
        <w:ind w:firstLine="420"/>
        <w:rPr>
          <w:rFonts w:ascii="宋体" w:hAnsi="宋体" w:cs="宋体"/>
          <w:highlight w:val="none"/>
          <w:u w:val="single"/>
        </w:rPr>
      </w:pPr>
      <w:r>
        <w:rPr>
          <w:rFonts w:hint="eastAsia" w:ascii="宋体" w:hAnsi="宋体" w:cs="宋体"/>
          <w:highlight w:val="none"/>
          <w:u w:val="single"/>
        </w:rPr>
        <w:t>23.4全部工程竣工（包括乙方完成工作在内）一经发包人验收合格，在质量保修期内的质量保修责任由乙方承担。</w:t>
      </w:r>
    </w:p>
    <w:p w14:paraId="6B50F6AA">
      <w:pPr>
        <w:pStyle w:val="4"/>
        <w:spacing w:before="0" w:after="0" w:line="360" w:lineRule="auto"/>
        <w:ind w:firstLine="653"/>
        <w:rPr>
          <w:rFonts w:ascii="宋体" w:hAnsi="宋体" w:cs="宋体"/>
          <w:bCs/>
          <w:highlight w:val="none"/>
        </w:rPr>
      </w:pPr>
      <w:r>
        <w:rPr>
          <w:rFonts w:hint="eastAsia" w:ascii="宋体" w:hAnsi="宋体" w:cs="宋体"/>
          <w:bCs/>
          <w:highlight w:val="none"/>
        </w:rPr>
        <w:t>24、施工</w:t>
      </w:r>
      <w:r>
        <w:rPr>
          <w:rStyle w:val="52"/>
          <w:rFonts w:hint="eastAsia" w:ascii="宋体" w:hAnsi="宋体" w:cs="宋体"/>
          <w:b/>
          <w:bCs/>
          <w:highlight w:val="none"/>
        </w:rPr>
        <w:t>配合</w:t>
      </w:r>
    </w:p>
    <w:p w14:paraId="742C8629">
      <w:pPr>
        <w:spacing w:line="360" w:lineRule="auto"/>
        <w:ind w:firstLine="420"/>
        <w:rPr>
          <w:rFonts w:ascii="宋体" w:hAnsi="宋体" w:cs="宋体"/>
          <w:highlight w:val="none"/>
          <w:u w:val="single"/>
        </w:rPr>
      </w:pPr>
      <w:r>
        <w:rPr>
          <w:rFonts w:hint="eastAsia" w:ascii="宋体" w:hAnsi="宋体" w:cs="宋体"/>
          <w:highlight w:val="none"/>
          <w:u w:val="single"/>
        </w:rPr>
        <w:t>24.1 乙方应配合甲方对其工作进行的初步验收，以及甲方按发包人或建设行政主管部门要求进行的涉及乙方工作内容、施工场地的检查、隐蔽工程验收及工程竣工验收；甲方或施工场地内第三方的工作必须乙方配合时，乙方应按甲方的指令予以配合。除上述初步验收、隐蔽工程验收及工程竣工验收之外，乙方因提供上述配合而发生的工期损失和费用由乙方承担。</w:t>
      </w:r>
    </w:p>
    <w:p w14:paraId="38514647">
      <w:pPr>
        <w:spacing w:line="360" w:lineRule="auto"/>
        <w:ind w:firstLine="420"/>
        <w:rPr>
          <w:rFonts w:ascii="宋体" w:hAnsi="宋体" w:cs="宋体"/>
          <w:highlight w:val="none"/>
          <w:u w:val="single"/>
        </w:rPr>
      </w:pPr>
      <w:r>
        <w:rPr>
          <w:rFonts w:hint="eastAsia" w:ascii="宋体" w:hAnsi="宋体" w:cs="宋体"/>
          <w:highlight w:val="none"/>
          <w:u w:val="single"/>
        </w:rPr>
        <w:t>24.2 乙方按约定完成劳务作业，必须由甲方或施工场地内的第三方进行配合时，甲方应配合乙方工作或确保乙方获得该第三方的配合，且乙方应承担因此而发生的费用。</w:t>
      </w:r>
    </w:p>
    <w:p w14:paraId="3FAD5EB5">
      <w:pPr>
        <w:spacing w:line="360" w:lineRule="auto"/>
        <w:ind w:firstLine="420"/>
        <w:rPr>
          <w:rFonts w:ascii="宋体" w:hAnsi="宋体" w:cs="宋体"/>
          <w:highlight w:val="none"/>
        </w:rPr>
      </w:pPr>
      <w:r>
        <w:rPr>
          <w:rFonts w:hint="eastAsia" w:ascii="宋体" w:hAnsi="宋体" w:cs="宋体"/>
          <w:highlight w:val="none"/>
          <w:u w:val="single"/>
        </w:rPr>
        <w:t>24.3乙方应配合甲方对其工作进行的验收。与其他专业工程交叉作业时，应无偿配合。</w:t>
      </w:r>
    </w:p>
    <w:p w14:paraId="5262071B">
      <w:pPr>
        <w:pStyle w:val="4"/>
        <w:spacing w:before="0" w:after="0" w:line="360" w:lineRule="auto"/>
        <w:ind w:firstLine="653"/>
        <w:rPr>
          <w:rFonts w:ascii="宋体" w:hAnsi="宋体" w:cs="宋体"/>
          <w:highlight w:val="none"/>
        </w:rPr>
      </w:pPr>
      <w:r>
        <w:rPr>
          <w:rFonts w:hint="eastAsia" w:ascii="宋体" w:hAnsi="宋体" w:cs="宋体"/>
          <w:highlight w:val="none"/>
        </w:rPr>
        <w:t>25、劳务报酬支付</w:t>
      </w:r>
    </w:p>
    <w:p w14:paraId="3F9CBB7D">
      <w:pPr>
        <w:spacing w:line="360" w:lineRule="auto"/>
        <w:ind w:firstLine="420"/>
        <w:rPr>
          <w:rFonts w:ascii="宋体" w:hAnsi="宋体" w:cs="宋体"/>
          <w:highlight w:val="none"/>
          <w:u w:val="single"/>
        </w:rPr>
      </w:pPr>
      <w:r>
        <w:rPr>
          <w:rFonts w:hint="eastAsia" w:ascii="宋体" w:hAnsi="宋体" w:cs="宋体"/>
          <w:highlight w:val="none"/>
          <w:u w:val="single"/>
        </w:rPr>
        <w:t>25.1全部工作完成，经甲方认可后，乙方应及时和</w:t>
      </w:r>
      <w:r>
        <w:rPr>
          <w:rFonts w:hint="eastAsia" w:ascii="宋体" w:hAnsi="宋体" w:cs="宋体"/>
          <w:highlight w:val="none"/>
          <w:u w:val="single"/>
          <w:lang w:val="en-US" w:eastAsia="zh-CN"/>
        </w:rPr>
        <w:t>甲方</w:t>
      </w:r>
      <w:r>
        <w:rPr>
          <w:rFonts w:hint="eastAsia" w:ascii="宋体" w:hAnsi="宋体" w:cs="宋体"/>
          <w:highlight w:val="none"/>
          <w:u w:val="single"/>
        </w:rPr>
        <w:t>完成甲供材对账，否则甲方不予开具验收证明。</w:t>
      </w:r>
    </w:p>
    <w:p w14:paraId="3FAB8604">
      <w:pPr>
        <w:spacing w:line="360" w:lineRule="auto"/>
        <w:ind w:firstLine="420"/>
        <w:rPr>
          <w:rFonts w:ascii="宋体" w:hAnsi="宋体" w:cs="宋体"/>
          <w:highlight w:val="none"/>
          <w:u w:val="single"/>
        </w:rPr>
      </w:pPr>
      <w:r>
        <w:rPr>
          <w:rFonts w:hint="eastAsia" w:ascii="宋体" w:hAnsi="宋体" w:cs="宋体"/>
          <w:highlight w:val="none"/>
          <w:u w:val="single"/>
        </w:rPr>
        <w:t>25.2乙方向甲方递交完整的结算资料，双方按照本合同约定的计价及付款方式，进行劳务报酬的最终支付。</w:t>
      </w:r>
    </w:p>
    <w:p w14:paraId="5BAC30E3">
      <w:pPr>
        <w:spacing w:line="360" w:lineRule="auto"/>
        <w:ind w:firstLine="420"/>
        <w:rPr>
          <w:rFonts w:ascii="宋体" w:hAnsi="宋体" w:cs="宋体"/>
          <w:highlight w:val="none"/>
          <w:u w:val="single"/>
        </w:rPr>
      </w:pPr>
      <w:r>
        <w:rPr>
          <w:rFonts w:hint="eastAsia" w:ascii="宋体" w:hAnsi="宋体" w:cs="宋体"/>
          <w:highlight w:val="none"/>
          <w:u w:val="single"/>
        </w:rPr>
        <w:t>25.3甲方收到乙方递交的结算资料后进行核实，给予确认或者提出修改意见。甲方确认结算资料后14天内向乙方支付劳务报酬尾款。</w:t>
      </w:r>
    </w:p>
    <w:p w14:paraId="68F7F4CB">
      <w:pPr>
        <w:spacing w:line="360" w:lineRule="auto"/>
        <w:ind w:firstLine="420"/>
        <w:rPr>
          <w:rFonts w:ascii="宋体" w:hAnsi="宋体" w:cs="宋体"/>
          <w:highlight w:val="none"/>
          <w:u w:val="single"/>
        </w:rPr>
      </w:pPr>
      <w:r>
        <w:rPr>
          <w:rFonts w:hint="eastAsia" w:ascii="宋体" w:hAnsi="宋体" w:cs="宋体"/>
          <w:highlight w:val="none"/>
          <w:u w:val="single"/>
        </w:rPr>
        <w:t>25.4乙方和甲方对劳务报酬结算价款发生争议时，按本合同关于争议的约定处理。</w:t>
      </w:r>
    </w:p>
    <w:p w14:paraId="3A77DF0B">
      <w:pPr>
        <w:pStyle w:val="4"/>
        <w:spacing w:before="0" w:after="0" w:line="360" w:lineRule="auto"/>
        <w:ind w:firstLine="653"/>
        <w:rPr>
          <w:rFonts w:ascii="宋体" w:hAnsi="宋体" w:cs="宋体"/>
          <w:bCs/>
          <w:highlight w:val="none"/>
        </w:rPr>
      </w:pPr>
      <w:r>
        <w:rPr>
          <w:rFonts w:hint="eastAsia" w:ascii="宋体" w:hAnsi="宋体" w:cs="宋体"/>
          <w:bCs/>
          <w:highlight w:val="none"/>
        </w:rPr>
        <w:t>26、缺陷责任期与保修</w:t>
      </w:r>
    </w:p>
    <w:p w14:paraId="2189F6EA">
      <w:pPr>
        <w:spacing w:line="360" w:lineRule="auto"/>
        <w:ind w:firstLine="420"/>
        <w:rPr>
          <w:rFonts w:ascii="宋体" w:hAnsi="宋体" w:cs="宋体"/>
          <w:highlight w:val="none"/>
        </w:rPr>
      </w:pPr>
      <w:r>
        <w:rPr>
          <w:rFonts w:hint="eastAsia" w:ascii="宋体" w:hAnsi="宋体" w:cs="宋体"/>
          <w:highlight w:val="none"/>
        </w:rPr>
        <w:t>26.1缺陷责任期</w:t>
      </w:r>
    </w:p>
    <w:p w14:paraId="01239032">
      <w:pPr>
        <w:spacing w:line="360" w:lineRule="auto"/>
        <w:ind w:firstLine="420"/>
        <w:rPr>
          <w:rFonts w:ascii="宋体" w:hAnsi="宋体" w:cs="宋体"/>
          <w:highlight w:val="none"/>
        </w:rPr>
      </w:pPr>
      <w:r>
        <w:rPr>
          <w:rFonts w:hint="eastAsia" w:ascii="宋体" w:hAnsi="宋体" w:cs="宋体"/>
          <w:highlight w:val="none"/>
        </w:rPr>
        <w:t>缺陷责任期的具体期限：</w:t>
      </w:r>
      <w:r>
        <w:rPr>
          <w:rFonts w:hint="eastAsia" w:ascii="宋体" w:hAnsi="宋体" w:cs="宋体"/>
          <w:b/>
          <w:bCs/>
          <w:highlight w:val="yellow"/>
          <w:u w:val="single"/>
        </w:rPr>
        <w:t>自通过竣工验收通过之日起24个月</w:t>
      </w:r>
      <w:r>
        <w:rPr>
          <w:rFonts w:hint="eastAsia" w:ascii="宋体" w:hAnsi="宋体" w:cs="宋体"/>
          <w:highlight w:val="yellow"/>
        </w:rPr>
        <w:t>。</w:t>
      </w:r>
    </w:p>
    <w:p w14:paraId="4D201C75">
      <w:pPr>
        <w:spacing w:line="360" w:lineRule="auto"/>
        <w:ind w:firstLine="420"/>
        <w:rPr>
          <w:rFonts w:ascii="宋体" w:hAnsi="宋体" w:cs="宋体"/>
          <w:highlight w:val="none"/>
        </w:rPr>
      </w:pPr>
      <w:r>
        <w:rPr>
          <w:rFonts w:hint="eastAsia" w:ascii="宋体" w:hAnsi="宋体" w:cs="宋体"/>
          <w:highlight w:val="none"/>
        </w:rPr>
        <w:t>26.2 质量保证金</w:t>
      </w:r>
    </w:p>
    <w:p w14:paraId="259119F9">
      <w:pPr>
        <w:spacing w:line="360" w:lineRule="auto"/>
        <w:ind w:firstLine="420"/>
        <w:rPr>
          <w:rFonts w:ascii="宋体" w:hAnsi="宋体" w:cs="宋体"/>
          <w:highlight w:val="none"/>
        </w:rPr>
      </w:pPr>
      <w:r>
        <w:rPr>
          <w:rFonts w:hint="eastAsia" w:ascii="宋体" w:hAnsi="宋体" w:cs="宋体"/>
          <w:highlight w:val="none"/>
        </w:rPr>
        <w:t>关于是否扣留质量保证金的约定：</w:t>
      </w:r>
      <w:r>
        <w:rPr>
          <w:rFonts w:hint="eastAsia" w:ascii="宋体" w:hAnsi="宋体" w:cs="宋体"/>
          <w:b/>
          <w:bCs/>
          <w:highlight w:val="none"/>
          <w:u w:val="single"/>
        </w:rPr>
        <w:t>扣留质量保证金</w:t>
      </w:r>
      <w:r>
        <w:rPr>
          <w:rFonts w:hint="eastAsia" w:ascii="宋体" w:hAnsi="宋体" w:cs="宋体"/>
          <w:highlight w:val="none"/>
        </w:rPr>
        <w:t>。</w:t>
      </w:r>
    </w:p>
    <w:p w14:paraId="4252C8F2">
      <w:pPr>
        <w:spacing w:line="360" w:lineRule="auto"/>
        <w:ind w:firstLine="420"/>
        <w:rPr>
          <w:rFonts w:ascii="宋体" w:hAnsi="宋体" w:cs="宋体"/>
          <w:highlight w:val="none"/>
        </w:rPr>
      </w:pPr>
      <w:r>
        <w:rPr>
          <w:rFonts w:hint="eastAsia" w:ascii="宋体" w:hAnsi="宋体" w:cs="宋体"/>
          <w:highlight w:val="none"/>
        </w:rPr>
        <w:t>26.2.1 承包人提供质量保证金的方式：</w:t>
      </w:r>
      <w:r>
        <w:rPr>
          <w:rFonts w:hint="eastAsia" w:ascii="宋体" w:hAnsi="宋体" w:cs="宋体"/>
          <w:b/>
          <w:bCs/>
          <w:highlight w:val="none"/>
          <w:u w:val="single"/>
        </w:rPr>
        <w:t>3%的审定工程款</w:t>
      </w:r>
      <w:r>
        <w:rPr>
          <w:rFonts w:hint="eastAsia" w:ascii="宋体" w:hAnsi="宋体" w:cs="宋体"/>
          <w:highlight w:val="none"/>
        </w:rPr>
        <w:t>。</w:t>
      </w:r>
    </w:p>
    <w:p w14:paraId="665EBE30">
      <w:pPr>
        <w:spacing w:line="360" w:lineRule="auto"/>
        <w:ind w:firstLine="420"/>
        <w:rPr>
          <w:rFonts w:ascii="宋体" w:hAnsi="宋体" w:cs="宋体"/>
          <w:highlight w:val="none"/>
        </w:rPr>
      </w:pPr>
      <w:r>
        <w:rPr>
          <w:rFonts w:hint="eastAsia" w:ascii="宋体" w:hAnsi="宋体" w:cs="宋体"/>
          <w:highlight w:val="none"/>
        </w:rPr>
        <w:t>26.2.2 质量保证金的扣留：</w:t>
      </w:r>
      <w:r>
        <w:rPr>
          <w:rFonts w:hint="eastAsia" w:ascii="宋体" w:hAnsi="宋体" w:cs="宋体"/>
          <w:b/>
          <w:bCs/>
          <w:highlight w:val="none"/>
          <w:u w:val="single"/>
        </w:rPr>
        <w:t>工程竣工结算时一次性扣留质量保证金</w:t>
      </w:r>
      <w:r>
        <w:rPr>
          <w:rFonts w:hint="eastAsia" w:ascii="宋体" w:hAnsi="宋体" w:cs="宋体"/>
          <w:highlight w:val="none"/>
        </w:rPr>
        <w:t>。</w:t>
      </w:r>
    </w:p>
    <w:p w14:paraId="63B2A769">
      <w:pPr>
        <w:spacing w:line="360" w:lineRule="auto"/>
        <w:ind w:firstLine="420"/>
        <w:rPr>
          <w:rFonts w:ascii="宋体" w:hAnsi="宋体" w:cs="宋体"/>
          <w:highlight w:val="none"/>
        </w:rPr>
      </w:pPr>
      <w:r>
        <w:rPr>
          <w:rFonts w:hint="eastAsia" w:ascii="宋体" w:hAnsi="宋体" w:cs="宋体"/>
          <w:highlight w:val="none"/>
        </w:rPr>
        <w:t>26.3保修</w:t>
      </w:r>
    </w:p>
    <w:p w14:paraId="101CE64D">
      <w:pPr>
        <w:spacing w:line="360" w:lineRule="auto"/>
        <w:ind w:firstLine="420"/>
        <w:rPr>
          <w:rFonts w:ascii="宋体" w:hAnsi="宋体" w:cs="宋体"/>
          <w:highlight w:val="none"/>
        </w:rPr>
      </w:pPr>
      <w:r>
        <w:rPr>
          <w:rFonts w:hint="eastAsia" w:ascii="宋体" w:hAnsi="宋体" w:cs="宋体"/>
          <w:highlight w:val="none"/>
        </w:rPr>
        <w:t>26.3.1 保修责任</w:t>
      </w:r>
    </w:p>
    <w:p w14:paraId="17FCFD0D">
      <w:pPr>
        <w:spacing w:line="360" w:lineRule="auto"/>
        <w:ind w:firstLine="420"/>
        <w:rPr>
          <w:rFonts w:ascii="宋体" w:hAnsi="宋体" w:cs="宋体"/>
          <w:highlight w:val="none"/>
        </w:rPr>
      </w:pPr>
      <w:r>
        <w:rPr>
          <w:rFonts w:hint="eastAsia" w:ascii="宋体" w:hAnsi="宋体" w:cs="宋体"/>
          <w:highlight w:val="none"/>
        </w:rPr>
        <w:t>工程保修期为：</w:t>
      </w:r>
      <w:r>
        <w:rPr>
          <w:rFonts w:hint="eastAsia" w:ascii="宋体" w:hAnsi="宋体" w:cs="宋体"/>
          <w:b/>
          <w:bCs/>
          <w:highlight w:val="none"/>
          <w:u w:val="single"/>
        </w:rPr>
        <w:t>按国家有关规定，见后附详细约定</w:t>
      </w:r>
      <w:r>
        <w:rPr>
          <w:rFonts w:hint="eastAsia" w:ascii="宋体" w:hAnsi="宋体" w:cs="宋体"/>
          <w:highlight w:val="none"/>
        </w:rPr>
        <w:t>。</w:t>
      </w:r>
    </w:p>
    <w:p w14:paraId="4E23F907">
      <w:pPr>
        <w:spacing w:line="360" w:lineRule="auto"/>
        <w:ind w:firstLine="420"/>
        <w:rPr>
          <w:rFonts w:ascii="宋体" w:hAnsi="宋体" w:cs="宋体"/>
          <w:highlight w:val="none"/>
        </w:rPr>
      </w:pPr>
      <w:r>
        <w:rPr>
          <w:rFonts w:hint="eastAsia" w:ascii="宋体" w:hAnsi="宋体" w:cs="宋体"/>
          <w:highlight w:val="none"/>
        </w:rPr>
        <w:t>26.3.2修复通知</w:t>
      </w:r>
    </w:p>
    <w:p w14:paraId="2D92E1C5">
      <w:pPr>
        <w:spacing w:line="360" w:lineRule="auto"/>
        <w:ind w:firstLine="420"/>
        <w:rPr>
          <w:rFonts w:ascii="宋体" w:hAnsi="宋体" w:cs="宋体"/>
          <w:highlight w:val="none"/>
        </w:rPr>
      </w:pPr>
      <w:r>
        <w:rPr>
          <w:rFonts w:hint="eastAsia" w:ascii="宋体" w:hAnsi="宋体" w:cs="宋体"/>
          <w:highlight w:val="none"/>
        </w:rPr>
        <w:t>承包人收到保修通知并到达工程现场的合理时间：</w:t>
      </w:r>
      <w:r>
        <w:rPr>
          <w:rFonts w:hint="eastAsia" w:ascii="宋体" w:hAnsi="宋体" w:cs="宋体"/>
          <w:highlight w:val="none"/>
          <w:u w:val="single"/>
        </w:rPr>
        <w:t>收到保修通知或口头通知后24小时内</w:t>
      </w:r>
      <w:r>
        <w:rPr>
          <w:rFonts w:hint="eastAsia" w:ascii="宋体" w:hAnsi="宋体" w:cs="宋体"/>
          <w:highlight w:val="none"/>
        </w:rPr>
        <w:t>。</w:t>
      </w:r>
    </w:p>
    <w:p w14:paraId="6251B1CE">
      <w:pPr>
        <w:pStyle w:val="4"/>
        <w:spacing w:before="0" w:after="0" w:line="360" w:lineRule="auto"/>
        <w:ind w:firstLine="653"/>
        <w:rPr>
          <w:rFonts w:ascii="宋体" w:hAnsi="宋体" w:cs="宋体"/>
          <w:highlight w:val="none"/>
        </w:rPr>
      </w:pPr>
      <w:r>
        <w:rPr>
          <w:rFonts w:hint="eastAsia" w:ascii="宋体" w:hAnsi="宋体" w:cs="宋体"/>
          <w:highlight w:val="none"/>
        </w:rPr>
        <w:t>27、违约责任</w:t>
      </w:r>
    </w:p>
    <w:p w14:paraId="1BA61CB2">
      <w:pPr>
        <w:spacing w:line="360" w:lineRule="auto"/>
        <w:ind w:firstLine="420"/>
        <w:rPr>
          <w:rFonts w:ascii="宋体" w:hAnsi="宋体" w:cs="宋体"/>
          <w:highlight w:val="none"/>
        </w:rPr>
      </w:pPr>
      <w:r>
        <w:rPr>
          <w:rFonts w:hint="eastAsia" w:ascii="宋体" w:hAnsi="宋体" w:cs="宋体"/>
          <w:highlight w:val="none"/>
        </w:rPr>
        <w:t>27.1、当发生下列情况之一时，甲方应承担违约责任：</w:t>
      </w:r>
    </w:p>
    <w:p w14:paraId="55AD0271">
      <w:pPr>
        <w:spacing w:line="360" w:lineRule="auto"/>
        <w:ind w:firstLine="420"/>
        <w:rPr>
          <w:rFonts w:ascii="宋体" w:hAnsi="宋体" w:cs="宋体"/>
          <w:highlight w:val="none"/>
          <w:u w:val="single"/>
        </w:rPr>
      </w:pPr>
      <w:r>
        <w:rPr>
          <w:rFonts w:hint="eastAsia" w:ascii="宋体" w:hAnsi="宋体" w:cs="宋体"/>
          <w:highlight w:val="none"/>
          <w:u w:val="single"/>
        </w:rPr>
        <w:t>（1）甲方违反本合同第20条、第25条的约定，不按时向乙方支付劳务报酬；</w:t>
      </w:r>
    </w:p>
    <w:p w14:paraId="1566FD76">
      <w:pPr>
        <w:spacing w:line="360" w:lineRule="auto"/>
        <w:ind w:left="420" w:firstLine="0" w:firstLineChars="0"/>
        <w:rPr>
          <w:rFonts w:ascii="宋体" w:hAnsi="宋体" w:cs="宋体"/>
          <w:highlight w:val="none"/>
          <w:u w:val="single"/>
        </w:rPr>
      </w:pPr>
      <w:r>
        <w:rPr>
          <w:rFonts w:hint="eastAsia" w:ascii="宋体" w:hAnsi="宋体" w:cs="宋体"/>
          <w:highlight w:val="none"/>
          <w:u w:val="single"/>
        </w:rPr>
        <w:t>（2）甲方不履行或不按约定履行合同义务的其他情况。</w:t>
      </w:r>
    </w:p>
    <w:p w14:paraId="6FC64C0F">
      <w:pPr>
        <w:spacing w:line="360" w:lineRule="auto"/>
        <w:ind w:firstLine="420"/>
        <w:rPr>
          <w:rFonts w:ascii="宋体" w:hAnsi="宋体" w:cs="宋体"/>
          <w:highlight w:val="none"/>
        </w:rPr>
      </w:pPr>
      <w:r>
        <w:rPr>
          <w:rFonts w:hint="eastAsia" w:ascii="宋体" w:hAnsi="宋体" w:cs="宋体"/>
          <w:szCs w:val="22"/>
          <w:highlight w:val="none"/>
        </w:rPr>
        <w:t>27.2当发生下列</w:t>
      </w:r>
      <w:r>
        <w:rPr>
          <w:rFonts w:hint="eastAsia" w:ascii="宋体" w:hAnsi="宋体" w:cs="宋体"/>
          <w:highlight w:val="none"/>
        </w:rPr>
        <w:t>情况之一时，</w:t>
      </w:r>
      <w:r>
        <w:rPr>
          <w:rFonts w:hint="eastAsia" w:ascii="宋体" w:hAnsi="宋体" w:cs="宋体"/>
          <w:highlight w:val="green"/>
        </w:rPr>
        <w:t>乙方应承担违约责任</w:t>
      </w:r>
      <w:r>
        <w:rPr>
          <w:rFonts w:hint="eastAsia" w:ascii="宋体" w:hAnsi="宋体" w:cs="宋体"/>
          <w:highlight w:val="none"/>
        </w:rPr>
        <w:t>：</w:t>
      </w:r>
    </w:p>
    <w:p w14:paraId="2B9318D8">
      <w:pPr>
        <w:spacing w:line="360" w:lineRule="auto"/>
        <w:ind w:firstLine="420" w:firstLineChars="0"/>
        <w:rPr>
          <w:rFonts w:hint="eastAsia" w:ascii="宋体" w:hAnsi="宋体" w:eastAsia="宋体" w:cs="宋体"/>
          <w:highlight w:val="none"/>
          <w:lang w:eastAsia="zh-CN"/>
        </w:rPr>
      </w:pPr>
      <w:r>
        <w:rPr>
          <w:rFonts w:hint="eastAsia" w:ascii="宋体" w:hAnsi="宋体" w:eastAsia="宋体" w:cs="宋体"/>
          <w:highlight w:val="none"/>
        </w:rPr>
        <w:t xml:space="preserve">（1） </w:t>
      </w:r>
      <w:r>
        <w:rPr>
          <w:rFonts w:hint="eastAsia" w:ascii="宋体" w:hAnsi="宋体" w:cs="宋体"/>
          <w:highlight w:val="none"/>
          <w:lang w:eastAsia="zh-CN"/>
        </w:rPr>
        <w:t>乙方</w:t>
      </w:r>
      <w:r>
        <w:rPr>
          <w:rFonts w:hint="eastAsia" w:ascii="宋体" w:hAnsi="宋体" w:eastAsia="宋体" w:cs="宋体"/>
          <w:highlight w:val="none"/>
        </w:rPr>
        <w:t>的原因导致的</w:t>
      </w:r>
      <w:r>
        <w:rPr>
          <w:rFonts w:hint="eastAsia" w:ascii="宋体" w:hAnsi="宋体" w:cs="宋体"/>
          <w:highlight w:val="none"/>
          <w:lang w:eastAsia="zh-CN"/>
        </w:rPr>
        <w:t>乙方</w:t>
      </w:r>
      <w:r>
        <w:rPr>
          <w:rFonts w:hint="eastAsia" w:ascii="宋体" w:hAnsi="宋体" w:eastAsia="宋体" w:cs="宋体"/>
          <w:highlight w:val="none"/>
        </w:rPr>
        <w:t>文件、实施和竣工的工程不符合法律法规、工程质量验收标准以及合同约定：向</w:t>
      </w:r>
      <w:r>
        <w:rPr>
          <w:rFonts w:hint="eastAsia" w:ascii="宋体" w:hAnsi="宋体" w:cs="宋体"/>
          <w:highlight w:val="none"/>
          <w:lang w:eastAsia="zh-CN"/>
        </w:rPr>
        <w:t>甲方</w:t>
      </w:r>
      <w:r>
        <w:rPr>
          <w:rFonts w:hint="eastAsia" w:ascii="宋体" w:hAnsi="宋体" w:eastAsia="宋体" w:cs="宋体"/>
          <w:highlight w:val="none"/>
        </w:rPr>
        <w:t>支付合同总金额 30%的违约金，</w:t>
      </w:r>
      <w:r>
        <w:rPr>
          <w:rFonts w:hint="eastAsia" w:ascii="宋体" w:hAnsi="宋体" w:cs="宋体"/>
          <w:highlight w:val="none"/>
          <w:lang w:eastAsia="zh-CN"/>
        </w:rPr>
        <w:t>甲方</w:t>
      </w:r>
      <w:r>
        <w:rPr>
          <w:rFonts w:hint="eastAsia" w:ascii="宋体" w:hAnsi="宋体" w:eastAsia="宋体" w:cs="宋体"/>
          <w:highlight w:val="none"/>
        </w:rPr>
        <w:t>有权解除合同，清除出场</w:t>
      </w:r>
      <w:r>
        <w:rPr>
          <w:rFonts w:hint="eastAsia" w:ascii="宋体" w:hAnsi="宋体" w:cs="宋体"/>
          <w:highlight w:val="none"/>
          <w:lang w:eastAsia="zh-CN"/>
        </w:rPr>
        <w:t>；</w:t>
      </w:r>
    </w:p>
    <w:p w14:paraId="0B8DACFC">
      <w:pPr>
        <w:spacing w:line="360" w:lineRule="auto"/>
        <w:ind w:firstLine="420" w:firstLineChars="0"/>
        <w:rPr>
          <w:rFonts w:hint="eastAsia" w:ascii="宋体" w:hAnsi="宋体" w:eastAsia="宋体" w:cs="宋体"/>
          <w:highlight w:val="none"/>
        </w:rPr>
      </w:pPr>
      <w:r>
        <w:rPr>
          <w:rFonts w:hint="eastAsia" w:ascii="宋体" w:hAnsi="宋体" w:eastAsia="宋体" w:cs="宋体"/>
          <w:highlight w:val="none"/>
        </w:rPr>
        <w:t xml:space="preserve">（2） </w:t>
      </w:r>
      <w:r>
        <w:rPr>
          <w:rFonts w:hint="eastAsia" w:ascii="宋体" w:hAnsi="宋体" w:cs="宋体"/>
          <w:highlight w:val="none"/>
          <w:lang w:eastAsia="zh-CN"/>
        </w:rPr>
        <w:t>乙方</w:t>
      </w:r>
      <w:r>
        <w:rPr>
          <w:rFonts w:hint="eastAsia" w:ascii="宋体" w:hAnsi="宋体" w:eastAsia="宋体" w:cs="宋体"/>
          <w:highlight w:val="none"/>
        </w:rPr>
        <w:t>违反合同约定进行转包或分包的：</w:t>
      </w:r>
      <w:r>
        <w:rPr>
          <w:rFonts w:hint="eastAsia" w:ascii="宋体" w:hAnsi="宋体" w:cs="宋体"/>
          <w:highlight w:val="none"/>
          <w:lang w:eastAsia="zh-CN"/>
        </w:rPr>
        <w:t>按照合同条款第</w:t>
      </w:r>
      <w:r>
        <w:rPr>
          <w:rFonts w:hint="eastAsia" w:ascii="宋体" w:hAnsi="宋体" w:cs="宋体"/>
          <w:highlight w:val="none"/>
          <w:lang w:val="en-US" w:eastAsia="zh-CN"/>
        </w:rPr>
        <w:t>30.1执行</w:t>
      </w:r>
      <w:r>
        <w:rPr>
          <w:rFonts w:hint="eastAsia" w:ascii="宋体" w:hAnsi="宋体" w:eastAsia="宋体" w:cs="宋体"/>
          <w:highlight w:val="none"/>
        </w:rPr>
        <w:t>；</w:t>
      </w:r>
    </w:p>
    <w:p w14:paraId="7A79D288">
      <w:pPr>
        <w:spacing w:line="360" w:lineRule="auto"/>
        <w:ind w:firstLine="420" w:firstLineChars="0"/>
        <w:rPr>
          <w:rFonts w:hint="eastAsia" w:ascii="宋体" w:hAnsi="宋体" w:eastAsia="宋体" w:cs="宋体"/>
          <w:highlight w:val="none"/>
        </w:rPr>
      </w:pPr>
      <w:r>
        <w:rPr>
          <w:rFonts w:hint="eastAsia" w:ascii="宋体" w:hAnsi="宋体" w:eastAsia="宋体" w:cs="宋体"/>
          <w:highlight w:val="none"/>
        </w:rPr>
        <w:t xml:space="preserve">（3） </w:t>
      </w:r>
      <w:r>
        <w:rPr>
          <w:rFonts w:hint="eastAsia" w:ascii="宋体" w:hAnsi="宋体" w:cs="宋体"/>
          <w:highlight w:val="none"/>
          <w:lang w:eastAsia="zh-CN"/>
        </w:rPr>
        <w:t>乙方</w:t>
      </w:r>
      <w:r>
        <w:rPr>
          <w:rFonts w:hint="eastAsia" w:ascii="宋体" w:hAnsi="宋体" w:eastAsia="宋体" w:cs="宋体"/>
          <w:highlight w:val="none"/>
        </w:rPr>
        <w:t>违反约定采购和使用不合格材料或工程设备：按</w:t>
      </w:r>
      <w:r>
        <w:rPr>
          <w:rFonts w:hint="eastAsia" w:ascii="宋体" w:hAnsi="宋体" w:cs="宋体"/>
          <w:highlight w:val="none"/>
          <w:lang w:eastAsia="zh-CN"/>
        </w:rPr>
        <w:t>甲方</w:t>
      </w:r>
      <w:r>
        <w:rPr>
          <w:rFonts w:hint="eastAsia" w:ascii="宋体" w:hAnsi="宋体" w:eastAsia="宋体" w:cs="宋体"/>
          <w:highlight w:val="none"/>
        </w:rPr>
        <w:t>要求进行整改，并按材料和工程设备价款的 20%计取违约金，并从工程款中直接扣除；</w:t>
      </w:r>
    </w:p>
    <w:p w14:paraId="59EF85C5">
      <w:pPr>
        <w:spacing w:line="360" w:lineRule="auto"/>
        <w:ind w:firstLine="420" w:firstLineChars="0"/>
        <w:rPr>
          <w:rFonts w:hint="eastAsia" w:ascii="宋体" w:hAnsi="宋体" w:eastAsia="宋体" w:cs="宋体"/>
          <w:highlight w:val="none"/>
        </w:rPr>
      </w:pPr>
      <w:r>
        <w:rPr>
          <w:rFonts w:hint="eastAsia" w:ascii="宋体" w:hAnsi="宋体" w:eastAsia="宋体" w:cs="宋体"/>
          <w:highlight w:val="none"/>
        </w:rPr>
        <w:t>（4） 因</w:t>
      </w:r>
      <w:r>
        <w:rPr>
          <w:rFonts w:hint="eastAsia" w:ascii="宋体" w:hAnsi="宋体" w:cs="宋体"/>
          <w:highlight w:val="none"/>
          <w:lang w:eastAsia="zh-CN"/>
        </w:rPr>
        <w:t>乙方</w:t>
      </w:r>
      <w:r>
        <w:rPr>
          <w:rFonts w:hint="eastAsia" w:ascii="宋体" w:hAnsi="宋体" w:eastAsia="宋体" w:cs="宋体"/>
          <w:highlight w:val="none"/>
        </w:rPr>
        <w:t>原因导致工程质量不符合合同要求的：限期整改，工期不延长，未按时完成整改的，按照工期延误处理。最终整改未完成，无法通过竣工验收的，向</w:t>
      </w:r>
      <w:r>
        <w:rPr>
          <w:rFonts w:hint="eastAsia" w:ascii="宋体" w:hAnsi="宋体" w:cs="宋体"/>
          <w:highlight w:val="none"/>
          <w:lang w:eastAsia="zh-CN"/>
        </w:rPr>
        <w:t>甲方</w:t>
      </w:r>
      <w:r>
        <w:rPr>
          <w:rFonts w:hint="eastAsia" w:ascii="宋体" w:hAnsi="宋体" w:eastAsia="宋体" w:cs="宋体"/>
          <w:highlight w:val="none"/>
        </w:rPr>
        <w:t>支付合同总金额 30%的违约金，</w:t>
      </w:r>
      <w:r>
        <w:rPr>
          <w:rFonts w:hint="eastAsia" w:ascii="宋体" w:hAnsi="宋体" w:cs="宋体"/>
          <w:highlight w:val="none"/>
          <w:lang w:eastAsia="zh-CN"/>
        </w:rPr>
        <w:t>甲方</w:t>
      </w:r>
      <w:r>
        <w:rPr>
          <w:rFonts w:hint="eastAsia" w:ascii="宋体" w:hAnsi="宋体" w:eastAsia="宋体" w:cs="宋体"/>
          <w:highlight w:val="none"/>
        </w:rPr>
        <w:t>有权解除合同，清除出场；</w:t>
      </w:r>
    </w:p>
    <w:p w14:paraId="2DA5CBBC">
      <w:pPr>
        <w:spacing w:line="360" w:lineRule="auto"/>
        <w:ind w:firstLine="420" w:firstLineChars="0"/>
        <w:rPr>
          <w:rFonts w:hint="eastAsia" w:ascii="宋体" w:hAnsi="宋体" w:eastAsia="宋体" w:cs="宋体"/>
          <w:highlight w:val="none"/>
        </w:rPr>
      </w:pPr>
      <w:r>
        <w:rPr>
          <w:rFonts w:hint="eastAsia" w:ascii="宋体" w:hAnsi="宋体" w:eastAsia="宋体" w:cs="宋体"/>
          <w:highlight w:val="none"/>
        </w:rPr>
        <w:t xml:space="preserve">（5） </w:t>
      </w:r>
      <w:r>
        <w:rPr>
          <w:rFonts w:hint="eastAsia" w:ascii="宋体" w:hAnsi="宋体" w:cs="宋体"/>
          <w:highlight w:val="none"/>
          <w:lang w:eastAsia="zh-CN"/>
        </w:rPr>
        <w:t>乙方</w:t>
      </w:r>
      <w:r>
        <w:rPr>
          <w:rFonts w:hint="eastAsia" w:ascii="宋体" w:hAnsi="宋体" w:eastAsia="宋体" w:cs="宋体"/>
          <w:highlight w:val="none"/>
        </w:rPr>
        <w:t>未经工程师批准，擅自将已按合同约定进入施工现场的施工设备、临时设施或材料撤离施工现场：限期整改，工期不延长；</w:t>
      </w:r>
    </w:p>
    <w:p w14:paraId="4AF508A8">
      <w:pPr>
        <w:spacing w:line="360" w:lineRule="auto"/>
        <w:ind w:firstLine="420" w:firstLineChars="0"/>
        <w:rPr>
          <w:rFonts w:hint="eastAsia" w:ascii="宋体" w:hAnsi="宋体" w:eastAsia="宋体" w:cs="宋体"/>
          <w:highlight w:val="none"/>
        </w:rPr>
      </w:pPr>
      <w:r>
        <w:rPr>
          <w:rFonts w:hint="eastAsia" w:ascii="宋体" w:hAnsi="宋体" w:eastAsia="宋体" w:cs="宋体"/>
          <w:highlight w:val="none"/>
        </w:rPr>
        <w:t xml:space="preserve">（6） </w:t>
      </w:r>
      <w:r>
        <w:rPr>
          <w:rFonts w:hint="eastAsia" w:ascii="宋体" w:hAnsi="宋体" w:cs="宋体"/>
          <w:highlight w:val="none"/>
          <w:lang w:eastAsia="zh-CN"/>
        </w:rPr>
        <w:t>乙方</w:t>
      </w:r>
      <w:r>
        <w:rPr>
          <w:rFonts w:hint="eastAsia" w:ascii="宋体" w:hAnsi="宋体" w:eastAsia="宋体" w:cs="宋体"/>
          <w:highlight w:val="none"/>
        </w:rPr>
        <w:t>未能按项目进度计划及时完成合同约定的工作，造成工期延误：节点工期或竣工日期延误，每延误 1 日，</w:t>
      </w:r>
      <w:r>
        <w:rPr>
          <w:rFonts w:hint="eastAsia" w:ascii="宋体" w:hAnsi="宋体" w:cs="宋体"/>
          <w:highlight w:val="none"/>
          <w:lang w:eastAsia="zh-CN"/>
        </w:rPr>
        <w:t>乙方</w:t>
      </w:r>
      <w:r>
        <w:rPr>
          <w:rFonts w:hint="eastAsia" w:ascii="宋体" w:hAnsi="宋体" w:eastAsia="宋体" w:cs="宋体"/>
          <w:highlight w:val="none"/>
        </w:rPr>
        <w:t>应向</w:t>
      </w:r>
      <w:r>
        <w:rPr>
          <w:rFonts w:hint="eastAsia" w:ascii="宋体" w:hAnsi="宋体" w:cs="宋体"/>
          <w:highlight w:val="none"/>
          <w:lang w:eastAsia="zh-CN"/>
        </w:rPr>
        <w:t>甲方</w:t>
      </w:r>
      <w:r>
        <w:rPr>
          <w:rFonts w:hint="eastAsia" w:ascii="宋体" w:hAnsi="宋体" w:eastAsia="宋体" w:cs="宋体"/>
          <w:highlight w:val="none"/>
        </w:rPr>
        <w:t>支付合同总价款 0.1%的违约金。累计延误节点工期或竣工日期达 20%及以上的，</w:t>
      </w:r>
      <w:r>
        <w:rPr>
          <w:rFonts w:hint="eastAsia" w:ascii="宋体" w:hAnsi="宋体" w:cs="宋体"/>
          <w:highlight w:val="none"/>
          <w:lang w:eastAsia="zh-CN"/>
        </w:rPr>
        <w:t>甲方</w:t>
      </w:r>
      <w:r>
        <w:rPr>
          <w:rFonts w:hint="eastAsia" w:ascii="宋体" w:hAnsi="宋体" w:eastAsia="宋体" w:cs="宋体"/>
          <w:highlight w:val="none"/>
        </w:rPr>
        <w:t>有权解除合同并主张违约，</w:t>
      </w:r>
      <w:r>
        <w:rPr>
          <w:rFonts w:hint="eastAsia" w:ascii="宋体" w:hAnsi="宋体" w:cs="宋体"/>
          <w:highlight w:val="none"/>
          <w:lang w:eastAsia="zh-CN"/>
        </w:rPr>
        <w:t>乙方</w:t>
      </w:r>
      <w:r>
        <w:rPr>
          <w:rFonts w:hint="eastAsia" w:ascii="宋体" w:hAnsi="宋体" w:eastAsia="宋体" w:cs="宋体"/>
          <w:highlight w:val="none"/>
        </w:rPr>
        <w:t>应赔偿甲方相关损失。</w:t>
      </w:r>
      <w:r>
        <w:rPr>
          <w:rFonts w:hint="eastAsia" w:ascii="宋体" w:hAnsi="宋体" w:cs="宋体"/>
          <w:highlight w:val="none"/>
          <w:lang w:eastAsia="zh-CN"/>
        </w:rPr>
        <w:t>甲方</w:t>
      </w:r>
      <w:r>
        <w:rPr>
          <w:rFonts w:hint="eastAsia" w:ascii="宋体" w:hAnsi="宋体" w:eastAsia="宋体" w:cs="宋体"/>
          <w:highlight w:val="none"/>
        </w:rPr>
        <w:t>有权将延误的工程量交由其他单位实施，相关费用由</w:t>
      </w:r>
      <w:r>
        <w:rPr>
          <w:rFonts w:hint="eastAsia" w:ascii="宋体" w:hAnsi="宋体" w:cs="宋体"/>
          <w:highlight w:val="none"/>
          <w:lang w:eastAsia="zh-CN"/>
        </w:rPr>
        <w:t>乙方</w:t>
      </w:r>
      <w:r>
        <w:rPr>
          <w:rFonts w:hint="eastAsia" w:ascii="宋体" w:hAnsi="宋体" w:eastAsia="宋体" w:cs="宋体"/>
          <w:highlight w:val="none"/>
        </w:rPr>
        <w:t>承担；</w:t>
      </w:r>
    </w:p>
    <w:p w14:paraId="69CB7417">
      <w:pPr>
        <w:spacing w:line="360" w:lineRule="auto"/>
        <w:ind w:firstLine="420" w:firstLineChars="0"/>
        <w:rPr>
          <w:rFonts w:hint="eastAsia" w:ascii="宋体" w:hAnsi="宋体" w:eastAsia="宋体" w:cs="宋体"/>
          <w:highlight w:val="none"/>
        </w:rPr>
      </w:pPr>
      <w:r>
        <w:rPr>
          <w:rFonts w:hint="eastAsia" w:ascii="宋体" w:hAnsi="宋体" w:eastAsia="宋体" w:cs="宋体"/>
          <w:highlight w:val="none"/>
        </w:rPr>
        <w:t>（7） 由于</w:t>
      </w:r>
      <w:r>
        <w:rPr>
          <w:rFonts w:hint="eastAsia" w:ascii="宋体" w:hAnsi="宋体" w:cs="宋体"/>
          <w:highlight w:val="none"/>
          <w:lang w:eastAsia="zh-CN"/>
        </w:rPr>
        <w:t>乙方</w:t>
      </w:r>
      <w:r>
        <w:rPr>
          <w:rFonts w:hint="eastAsia" w:ascii="宋体" w:hAnsi="宋体" w:eastAsia="宋体" w:cs="宋体"/>
          <w:highlight w:val="none"/>
        </w:rPr>
        <w:t>原因未能通过竣工试验或竣工后试验的：限期整改，工期不延长，未按时完成整改的，按照工期延误处理。最终整改未完成，无法通过竣工验收的，向</w:t>
      </w:r>
      <w:r>
        <w:rPr>
          <w:rFonts w:hint="eastAsia" w:ascii="宋体" w:hAnsi="宋体" w:cs="宋体"/>
          <w:highlight w:val="none"/>
          <w:lang w:eastAsia="zh-CN"/>
        </w:rPr>
        <w:t>甲方</w:t>
      </w:r>
      <w:r>
        <w:rPr>
          <w:rFonts w:hint="eastAsia" w:ascii="宋体" w:hAnsi="宋体" w:eastAsia="宋体" w:cs="宋体"/>
          <w:highlight w:val="none"/>
        </w:rPr>
        <w:t>支付合同总金额 30%的违约金，</w:t>
      </w:r>
      <w:r>
        <w:rPr>
          <w:rFonts w:hint="eastAsia" w:ascii="宋体" w:hAnsi="宋体" w:cs="宋体"/>
          <w:highlight w:val="none"/>
          <w:lang w:eastAsia="zh-CN"/>
        </w:rPr>
        <w:t>甲方</w:t>
      </w:r>
      <w:r>
        <w:rPr>
          <w:rFonts w:hint="eastAsia" w:ascii="宋体" w:hAnsi="宋体" w:eastAsia="宋体" w:cs="宋体"/>
          <w:highlight w:val="none"/>
        </w:rPr>
        <w:t>有权解除合同，清除出场；</w:t>
      </w:r>
    </w:p>
    <w:p w14:paraId="4353FCAB">
      <w:pPr>
        <w:spacing w:line="360" w:lineRule="auto"/>
        <w:ind w:firstLine="420" w:firstLineChars="0"/>
        <w:rPr>
          <w:rFonts w:hint="eastAsia" w:ascii="宋体" w:hAnsi="宋体" w:eastAsia="宋体" w:cs="宋体"/>
          <w:highlight w:val="none"/>
        </w:rPr>
      </w:pPr>
      <w:r>
        <w:rPr>
          <w:rFonts w:hint="eastAsia" w:ascii="宋体" w:hAnsi="宋体" w:eastAsia="宋体" w:cs="宋体"/>
          <w:highlight w:val="none"/>
        </w:rPr>
        <w:t>（8）</w:t>
      </w:r>
      <w:r>
        <w:rPr>
          <w:rFonts w:hint="eastAsia" w:ascii="宋体" w:hAnsi="宋体" w:cs="宋体"/>
          <w:highlight w:val="none"/>
          <w:lang w:eastAsia="zh-CN"/>
        </w:rPr>
        <w:t>乙方</w:t>
      </w:r>
      <w:r>
        <w:rPr>
          <w:rFonts w:hint="eastAsia" w:ascii="宋体" w:hAnsi="宋体" w:eastAsia="宋体" w:cs="宋体"/>
          <w:highlight w:val="none"/>
        </w:rPr>
        <w:t>在缺陷责任期及保修期内，未能在合理期限对工程缺陷进行修复，或拒绝按</w:t>
      </w:r>
      <w:r>
        <w:rPr>
          <w:rFonts w:hint="eastAsia" w:ascii="宋体" w:hAnsi="宋体" w:cs="宋体"/>
          <w:highlight w:val="none"/>
          <w:lang w:eastAsia="zh-CN"/>
        </w:rPr>
        <w:t>甲方</w:t>
      </w:r>
      <w:r>
        <w:rPr>
          <w:rFonts w:hint="eastAsia" w:ascii="宋体" w:hAnsi="宋体" w:eastAsia="宋体" w:cs="宋体"/>
          <w:highlight w:val="none"/>
        </w:rPr>
        <w:t>指示进行修复的：</w:t>
      </w:r>
      <w:r>
        <w:rPr>
          <w:rFonts w:hint="eastAsia" w:ascii="宋体" w:hAnsi="宋体" w:cs="宋体"/>
          <w:highlight w:val="none"/>
          <w:lang w:eastAsia="zh-CN"/>
        </w:rPr>
        <w:t>甲方</w:t>
      </w:r>
      <w:r>
        <w:rPr>
          <w:rFonts w:hint="eastAsia" w:ascii="宋体" w:hAnsi="宋体" w:eastAsia="宋体" w:cs="宋体"/>
          <w:highlight w:val="none"/>
        </w:rPr>
        <w:t>可委托其他人员修理，保修费用从质量保修金内扣除，如保修费用超过质量保证金，</w:t>
      </w:r>
      <w:r>
        <w:rPr>
          <w:rFonts w:hint="eastAsia" w:ascii="宋体" w:hAnsi="宋体" w:cs="宋体"/>
          <w:highlight w:val="none"/>
          <w:lang w:eastAsia="zh-CN"/>
        </w:rPr>
        <w:t>甲方</w:t>
      </w:r>
      <w:r>
        <w:rPr>
          <w:rFonts w:hint="eastAsia" w:ascii="宋体" w:hAnsi="宋体" w:eastAsia="宋体" w:cs="宋体"/>
          <w:highlight w:val="none"/>
        </w:rPr>
        <w:t>有权向</w:t>
      </w:r>
      <w:r>
        <w:rPr>
          <w:rFonts w:hint="eastAsia" w:ascii="宋体" w:hAnsi="宋体" w:cs="宋体"/>
          <w:highlight w:val="none"/>
          <w:lang w:eastAsia="zh-CN"/>
        </w:rPr>
        <w:t>乙方</w:t>
      </w:r>
      <w:r>
        <w:rPr>
          <w:rFonts w:hint="eastAsia" w:ascii="宋体" w:hAnsi="宋体" w:eastAsia="宋体" w:cs="宋体"/>
          <w:highlight w:val="none"/>
        </w:rPr>
        <w:t>进行追偿，</w:t>
      </w:r>
      <w:r>
        <w:rPr>
          <w:rFonts w:hint="eastAsia" w:ascii="宋体" w:hAnsi="宋体" w:cs="宋体"/>
          <w:highlight w:val="none"/>
          <w:lang w:eastAsia="zh-CN"/>
        </w:rPr>
        <w:t>乙方</w:t>
      </w:r>
      <w:r>
        <w:rPr>
          <w:rFonts w:hint="eastAsia" w:ascii="宋体" w:hAnsi="宋体" w:eastAsia="宋体" w:cs="宋体"/>
          <w:highlight w:val="none"/>
        </w:rPr>
        <w:t>不得就维修费用提出任何异议；</w:t>
      </w:r>
    </w:p>
    <w:p w14:paraId="2D5F4664">
      <w:pPr>
        <w:spacing w:line="360" w:lineRule="auto"/>
        <w:ind w:firstLine="420" w:firstLineChars="0"/>
        <w:rPr>
          <w:rFonts w:hint="eastAsia" w:ascii="宋体" w:hAnsi="宋体" w:eastAsia="宋体" w:cs="宋体"/>
          <w:highlight w:val="none"/>
        </w:rPr>
      </w:pPr>
      <w:r>
        <w:rPr>
          <w:rFonts w:hint="eastAsia" w:ascii="宋体" w:hAnsi="宋体" w:cs="宋体"/>
          <w:highlight w:val="green"/>
          <w:lang w:eastAsia="zh-CN"/>
        </w:rPr>
        <w:t>（</w:t>
      </w:r>
      <w:r>
        <w:rPr>
          <w:rFonts w:hint="eastAsia" w:ascii="宋体" w:hAnsi="宋体" w:cs="宋体"/>
          <w:highlight w:val="green"/>
          <w:lang w:val="en-US" w:eastAsia="zh-CN"/>
        </w:rPr>
        <w:t>9</w:t>
      </w:r>
      <w:r>
        <w:rPr>
          <w:rFonts w:hint="eastAsia" w:ascii="宋体" w:hAnsi="宋体" w:cs="宋体"/>
          <w:highlight w:val="green"/>
          <w:lang w:eastAsia="zh-CN"/>
        </w:rPr>
        <w:t>）乙方</w:t>
      </w:r>
      <w:r>
        <w:rPr>
          <w:rFonts w:hint="eastAsia" w:ascii="宋体" w:hAnsi="宋体" w:eastAsia="宋体" w:cs="宋体"/>
          <w:highlight w:val="green"/>
        </w:rPr>
        <w:t>违约的其他情形及责任</w:t>
      </w:r>
      <w:r>
        <w:rPr>
          <w:rFonts w:hint="eastAsia" w:ascii="宋体" w:hAnsi="宋体" w:eastAsia="宋体" w:cs="宋体"/>
          <w:highlight w:val="none"/>
        </w:rPr>
        <w:t>：</w:t>
      </w:r>
    </w:p>
    <w:p w14:paraId="5E5AD2E6">
      <w:pPr>
        <w:spacing w:line="360" w:lineRule="auto"/>
        <w:ind w:firstLine="420" w:firstLineChars="0"/>
        <w:rPr>
          <w:rFonts w:hint="eastAsia" w:ascii="宋体" w:hAnsi="宋体" w:eastAsia="宋体" w:cs="宋体"/>
          <w:highlight w:val="none"/>
        </w:rPr>
      </w:pPr>
      <w:r>
        <w:rPr>
          <w:rFonts w:hint="eastAsia" w:ascii="宋体" w:hAnsi="宋体" w:eastAsia="宋体" w:cs="宋体"/>
          <w:highlight w:val="none"/>
        </w:rPr>
        <w:t>1）</w:t>
      </w:r>
      <w:r>
        <w:rPr>
          <w:rFonts w:hint="eastAsia" w:ascii="宋体" w:hAnsi="宋体" w:cs="宋体"/>
          <w:highlight w:val="none"/>
          <w:lang w:eastAsia="zh-CN"/>
        </w:rPr>
        <w:t>乙方</w:t>
      </w:r>
      <w:r>
        <w:rPr>
          <w:rFonts w:hint="eastAsia" w:ascii="宋体" w:hAnsi="宋体" w:eastAsia="宋体" w:cs="宋体"/>
          <w:highlight w:val="none"/>
        </w:rPr>
        <w:t>未能按双方约定的时限提交施工图设计的，应当向</w:t>
      </w:r>
      <w:r>
        <w:rPr>
          <w:rFonts w:hint="eastAsia" w:ascii="宋体" w:hAnsi="宋体" w:cs="宋体"/>
          <w:highlight w:val="none"/>
          <w:lang w:eastAsia="zh-CN"/>
        </w:rPr>
        <w:t>甲方</w:t>
      </w:r>
      <w:r>
        <w:rPr>
          <w:rFonts w:hint="eastAsia" w:ascii="宋体" w:hAnsi="宋体" w:eastAsia="宋体" w:cs="宋体"/>
          <w:highlight w:val="none"/>
        </w:rPr>
        <w:t>支付违约金，每延误 1 日的误期违约金额为人民币 20 万元。</w:t>
      </w:r>
    </w:p>
    <w:p w14:paraId="3BC72BCB">
      <w:pPr>
        <w:spacing w:line="360" w:lineRule="auto"/>
        <w:ind w:firstLine="420" w:firstLineChars="0"/>
        <w:rPr>
          <w:rFonts w:hint="eastAsia" w:ascii="宋体" w:hAnsi="宋体" w:eastAsia="宋体" w:cs="宋体"/>
          <w:highlight w:val="none"/>
        </w:rPr>
      </w:pPr>
      <w:r>
        <w:rPr>
          <w:rFonts w:hint="eastAsia" w:ascii="宋体" w:hAnsi="宋体" w:eastAsia="宋体" w:cs="宋体"/>
          <w:highlight w:val="none"/>
        </w:rPr>
        <w:t>2）项目负责人在项目执行过程中，不能做到与</w:t>
      </w:r>
      <w:r>
        <w:rPr>
          <w:rFonts w:hint="eastAsia" w:ascii="宋体" w:hAnsi="宋体" w:cs="宋体"/>
          <w:highlight w:val="none"/>
          <w:lang w:eastAsia="zh-CN"/>
        </w:rPr>
        <w:t>甲方</w:t>
      </w:r>
      <w:r>
        <w:rPr>
          <w:rFonts w:hint="eastAsia" w:ascii="宋体" w:hAnsi="宋体" w:eastAsia="宋体" w:cs="宋体"/>
          <w:highlight w:val="none"/>
        </w:rPr>
        <w:t>积极有效的沟通，并经 2 次以上交流后，所提交的设计成果或施工的效果仍与</w:t>
      </w:r>
      <w:r>
        <w:rPr>
          <w:rFonts w:hint="eastAsia" w:ascii="宋体" w:hAnsi="宋体" w:cs="宋体"/>
          <w:highlight w:val="none"/>
          <w:lang w:eastAsia="zh-CN"/>
        </w:rPr>
        <w:t>甲方</w:t>
      </w:r>
      <w:r>
        <w:rPr>
          <w:rFonts w:hint="eastAsia" w:ascii="宋体" w:hAnsi="宋体" w:eastAsia="宋体" w:cs="宋体"/>
          <w:highlight w:val="none"/>
        </w:rPr>
        <w:t>要求差距较大的，则要求</w:t>
      </w:r>
      <w:r>
        <w:rPr>
          <w:rFonts w:hint="eastAsia" w:ascii="宋体" w:hAnsi="宋体" w:cs="宋体"/>
          <w:highlight w:val="none"/>
          <w:lang w:eastAsia="zh-CN"/>
        </w:rPr>
        <w:t>乙方</w:t>
      </w:r>
      <w:r>
        <w:rPr>
          <w:rFonts w:hint="eastAsia" w:ascii="宋体" w:hAnsi="宋体" w:eastAsia="宋体" w:cs="宋体"/>
          <w:highlight w:val="none"/>
        </w:rPr>
        <w:t>更换合格的项目负责人，承担 50 万元的违约金，</w:t>
      </w:r>
      <w:r>
        <w:rPr>
          <w:rFonts w:hint="eastAsia" w:ascii="宋体" w:hAnsi="宋体" w:cs="宋体"/>
          <w:highlight w:val="none"/>
          <w:lang w:eastAsia="zh-CN"/>
        </w:rPr>
        <w:t>乙方</w:t>
      </w:r>
      <w:r>
        <w:rPr>
          <w:rFonts w:hint="eastAsia" w:ascii="宋体" w:hAnsi="宋体" w:eastAsia="宋体" w:cs="宋体"/>
          <w:highlight w:val="none"/>
        </w:rPr>
        <w:t>并承担一切损失。</w:t>
      </w:r>
    </w:p>
    <w:p w14:paraId="4718B729">
      <w:pPr>
        <w:spacing w:line="360" w:lineRule="auto"/>
        <w:ind w:firstLine="420" w:firstLineChars="0"/>
        <w:rPr>
          <w:rFonts w:hint="eastAsia" w:ascii="宋体" w:hAnsi="宋体" w:eastAsia="宋体" w:cs="宋体"/>
          <w:highlight w:val="none"/>
        </w:rPr>
      </w:pPr>
      <w:r>
        <w:rPr>
          <w:rFonts w:hint="eastAsia" w:ascii="宋体" w:hAnsi="宋体" w:eastAsia="宋体" w:cs="宋体"/>
          <w:highlight w:val="none"/>
        </w:rPr>
        <w:t>3）</w:t>
      </w:r>
      <w:r>
        <w:rPr>
          <w:rFonts w:hint="eastAsia" w:ascii="宋体" w:hAnsi="宋体" w:cs="宋体"/>
          <w:highlight w:val="none"/>
          <w:lang w:eastAsia="zh-CN"/>
        </w:rPr>
        <w:t>乙方</w:t>
      </w:r>
      <w:r>
        <w:rPr>
          <w:rFonts w:hint="eastAsia" w:ascii="宋体" w:hAnsi="宋体" w:eastAsia="宋体" w:cs="宋体"/>
          <w:highlight w:val="none"/>
        </w:rPr>
        <w:t>未能履行对其提供的工程物资（包括材料、设备）进行检验的约定，未履行对其施工质量进行检验的约定，或在养护期未按规定做好养护工作的，造成质量和效果上降低的，由</w:t>
      </w:r>
      <w:r>
        <w:rPr>
          <w:rFonts w:hint="eastAsia" w:ascii="宋体" w:hAnsi="宋体" w:cs="宋体"/>
          <w:highlight w:val="none"/>
          <w:lang w:eastAsia="zh-CN"/>
        </w:rPr>
        <w:t>乙方</w:t>
      </w:r>
      <w:r>
        <w:rPr>
          <w:rFonts w:hint="eastAsia" w:ascii="宋体" w:hAnsi="宋体" w:eastAsia="宋体" w:cs="宋体"/>
          <w:highlight w:val="none"/>
        </w:rPr>
        <w:t>自费修复提升至达到标准。</w:t>
      </w:r>
    </w:p>
    <w:p w14:paraId="15BA2EAA">
      <w:pPr>
        <w:spacing w:line="360" w:lineRule="auto"/>
        <w:ind w:firstLine="420" w:firstLineChars="0"/>
        <w:rPr>
          <w:rFonts w:hint="eastAsia" w:ascii="宋体" w:hAnsi="宋体" w:eastAsia="宋体" w:cs="宋体"/>
          <w:highlight w:val="none"/>
        </w:rPr>
      </w:pPr>
      <w:r>
        <w:rPr>
          <w:rFonts w:hint="eastAsia" w:ascii="宋体" w:hAnsi="宋体" w:eastAsia="宋体" w:cs="宋体"/>
          <w:highlight w:val="none"/>
        </w:rPr>
        <w:t>4）</w:t>
      </w:r>
      <w:r>
        <w:rPr>
          <w:rFonts w:hint="eastAsia" w:ascii="宋体" w:hAnsi="宋体" w:cs="宋体"/>
          <w:highlight w:val="none"/>
          <w:lang w:eastAsia="zh-CN"/>
        </w:rPr>
        <w:t>乙方</w:t>
      </w:r>
      <w:r>
        <w:rPr>
          <w:rFonts w:hint="eastAsia" w:ascii="宋体" w:hAnsi="宋体" w:eastAsia="宋体" w:cs="宋体"/>
          <w:highlight w:val="none"/>
        </w:rPr>
        <w:t>工程完工后，经三次验收仍存在较多问题，未被认定为合格的，除自费修整至合格，修整所用的时间视为误期。</w:t>
      </w:r>
    </w:p>
    <w:p w14:paraId="7554DA81">
      <w:pPr>
        <w:spacing w:line="360" w:lineRule="auto"/>
        <w:ind w:firstLine="420" w:firstLineChars="0"/>
        <w:rPr>
          <w:rFonts w:hint="eastAsia" w:ascii="宋体" w:hAnsi="宋体" w:eastAsia="宋体" w:cs="宋体"/>
          <w:highlight w:val="none"/>
        </w:rPr>
      </w:pPr>
      <w:r>
        <w:rPr>
          <w:rFonts w:hint="eastAsia" w:ascii="宋体" w:hAnsi="宋体" w:eastAsia="宋体" w:cs="宋体"/>
          <w:highlight w:val="none"/>
        </w:rPr>
        <w:t>5）本工程项目管理机构人员必须保证工程施工期间全部在岗，特殊情况下需离开时应事先得到</w:t>
      </w:r>
      <w:r>
        <w:rPr>
          <w:rFonts w:hint="eastAsia" w:ascii="宋体" w:hAnsi="宋体" w:cs="宋体"/>
          <w:highlight w:val="none"/>
          <w:lang w:eastAsia="zh-CN"/>
        </w:rPr>
        <w:t>甲方</w:t>
      </w:r>
      <w:r>
        <w:rPr>
          <w:rFonts w:hint="eastAsia" w:ascii="宋体" w:hAnsi="宋体" w:eastAsia="宋体" w:cs="宋体"/>
          <w:highlight w:val="none"/>
        </w:rPr>
        <w:t>书面批准同意。并遵守发包方考勤、考核制度，凡</w:t>
      </w:r>
      <w:r>
        <w:rPr>
          <w:rFonts w:hint="eastAsia" w:ascii="宋体" w:hAnsi="宋体" w:cs="宋体"/>
          <w:highlight w:val="none"/>
          <w:lang w:eastAsia="zh-CN"/>
        </w:rPr>
        <w:t>甲方</w:t>
      </w:r>
      <w:r>
        <w:rPr>
          <w:rFonts w:hint="eastAsia" w:ascii="宋体" w:hAnsi="宋体" w:eastAsia="宋体" w:cs="宋体"/>
          <w:highlight w:val="none"/>
        </w:rPr>
        <w:t>考勤、考核点名时不在岗的（含会议前的考核点名），每人每次支付违约金 5 万元；擅自离岗 1 天以上的，每人每次支付违约金 10 万元；上述情形若发生 3 次以上（含 3 次）时，违约金加倍。</w:t>
      </w:r>
    </w:p>
    <w:p w14:paraId="0066B1AB">
      <w:pPr>
        <w:spacing w:line="360" w:lineRule="auto"/>
        <w:ind w:firstLine="420" w:firstLineChars="0"/>
        <w:rPr>
          <w:rFonts w:hint="eastAsia" w:ascii="宋体" w:hAnsi="宋体" w:eastAsia="宋体" w:cs="宋体"/>
          <w:highlight w:val="none"/>
        </w:rPr>
      </w:pPr>
      <w:r>
        <w:rPr>
          <w:rFonts w:hint="eastAsia" w:ascii="宋体" w:hAnsi="宋体" w:cs="宋体"/>
          <w:highlight w:val="none"/>
          <w:lang w:val="en-US" w:eastAsia="zh-CN"/>
        </w:rPr>
        <w:t>6</w:t>
      </w:r>
      <w:r>
        <w:rPr>
          <w:rFonts w:hint="eastAsia" w:ascii="宋体" w:hAnsi="宋体" w:eastAsia="宋体" w:cs="宋体"/>
          <w:highlight w:val="none"/>
        </w:rPr>
        <w:t>）</w:t>
      </w:r>
      <w:r>
        <w:rPr>
          <w:rFonts w:hint="eastAsia" w:ascii="宋体" w:hAnsi="宋体" w:cs="宋体"/>
          <w:highlight w:val="none"/>
          <w:lang w:eastAsia="zh-CN"/>
        </w:rPr>
        <w:t>乙方</w:t>
      </w:r>
      <w:r>
        <w:rPr>
          <w:rFonts w:hint="eastAsia" w:ascii="宋体" w:hAnsi="宋体" w:eastAsia="宋体" w:cs="宋体"/>
          <w:highlight w:val="none"/>
        </w:rPr>
        <w:t>未能履行对其提供的工程物资进行检验的约定，未履行对其施工质量进行检验的约定，造成质量和效果上降低的，由</w:t>
      </w:r>
      <w:r>
        <w:rPr>
          <w:rFonts w:hint="eastAsia" w:ascii="宋体" w:hAnsi="宋体" w:cs="宋体"/>
          <w:highlight w:val="none"/>
          <w:lang w:eastAsia="zh-CN"/>
        </w:rPr>
        <w:t>乙方</w:t>
      </w:r>
      <w:r>
        <w:rPr>
          <w:rFonts w:hint="eastAsia" w:ascii="宋体" w:hAnsi="宋体" w:eastAsia="宋体" w:cs="宋体"/>
          <w:highlight w:val="none"/>
        </w:rPr>
        <w:t>自费修复提升至达到标准，并每发现一处，</w:t>
      </w:r>
      <w:r>
        <w:rPr>
          <w:rFonts w:hint="eastAsia" w:ascii="宋体" w:hAnsi="宋体" w:cs="宋体"/>
          <w:highlight w:val="none"/>
          <w:lang w:eastAsia="zh-CN"/>
        </w:rPr>
        <w:t>乙方</w:t>
      </w:r>
      <w:r>
        <w:rPr>
          <w:rFonts w:hint="eastAsia" w:ascii="宋体" w:hAnsi="宋体" w:eastAsia="宋体" w:cs="宋体"/>
          <w:highlight w:val="none"/>
        </w:rPr>
        <w:t>自愿支付违约金 50 万元。</w:t>
      </w:r>
    </w:p>
    <w:p w14:paraId="3D26598D">
      <w:pPr>
        <w:spacing w:line="360" w:lineRule="auto"/>
        <w:ind w:firstLine="420" w:firstLineChars="0"/>
        <w:rPr>
          <w:rFonts w:hint="eastAsia" w:ascii="宋体" w:hAnsi="宋体" w:eastAsia="宋体" w:cs="宋体"/>
          <w:highlight w:val="none"/>
        </w:rPr>
      </w:pPr>
      <w:r>
        <w:rPr>
          <w:rFonts w:hint="eastAsia" w:ascii="宋体" w:hAnsi="宋体" w:cs="宋体"/>
          <w:highlight w:val="none"/>
          <w:lang w:val="en-US" w:eastAsia="zh-CN"/>
        </w:rPr>
        <w:t>7</w:t>
      </w:r>
      <w:r>
        <w:rPr>
          <w:rFonts w:hint="eastAsia" w:ascii="宋体" w:hAnsi="宋体" w:eastAsia="宋体" w:cs="宋体"/>
          <w:highlight w:val="none"/>
        </w:rPr>
        <w:t>）施工中发生质量事故的,经连云港市建设主管部门认定</w:t>
      </w:r>
      <w:r>
        <w:rPr>
          <w:rFonts w:hint="eastAsia" w:ascii="宋体" w:hAnsi="宋体" w:cs="宋体"/>
          <w:highlight w:val="none"/>
          <w:lang w:eastAsia="zh-CN"/>
        </w:rPr>
        <w:t>乙方</w:t>
      </w:r>
      <w:r>
        <w:rPr>
          <w:rFonts w:hint="eastAsia" w:ascii="宋体" w:hAnsi="宋体" w:eastAsia="宋体" w:cs="宋体"/>
          <w:highlight w:val="none"/>
        </w:rPr>
        <w:t>负有直接责任时：</w:t>
      </w:r>
    </w:p>
    <w:p w14:paraId="23DF9E6D">
      <w:pPr>
        <w:spacing w:line="360" w:lineRule="auto"/>
        <w:ind w:firstLine="420" w:firstLineChars="0"/>
        <w:rPr>
          <w:rFonts w:hint="eastAsia" w:ascii="宋体" w:hAnsi="宋体" w:eastAsia="宋体" w:cs="宋体"/>
          <w:highlight w:val="none"/>
        </w:rPr>
      </w:pPr>
      <w:r>
        <w:rPr>
          <w:rFonts w:hint="eastAsia" w:ascii="宋体" w:hAnsi="宋体" w:eastAsia="宋体" w:cs="宋体"/>
          <w:highlight w:val="none"/>
        </w:rPr>
        <w:t>①发生一般安全质量事故（包括损害道路各种管线等）,</w:t>
      </w:r>
      <w:r>
        <w:rPr>
          <w:rFonts w:hint="eastAsia" w:ascii="宋体" w:hAnsi="宋体" w:cs="宋体"/>
          <w:highlight w:val="none"/>
          <w:lang w:eastAsia="zh-CN"/>
        </w:rPr>
        <w:t>乙方</w:t>
      </w:r>
      <w:r>
        <w:rPr>
          <w:rFonts w:hint="eastAsia" w:ascii="宋体" w:hAnsi="宋体" w:eastAsia="宋体" w:cs="宋体"/>
          <w:highlight w:val="none"/>
        </w:rPr>
        <w:t>自愿支付 3 万元违约金∕每次；</w:t>
      </w:r>
    </w:p>
    <w:p w14:paraId="645219BE">
      <w:pPr>
        <w:spacing w:line="360" w:lineRule="auto"/>
        <w:ind w:firstLine="420" w:firstLineChars="0"/>
        <w:rPr>
          <w:rFonts w:hint="eastAsia" w:ascii="宋体" w:hAnsi="宋体" w:eastAsia="宋体" w:cs="宋体"/>
          <w:highlight w:val="none"/>
        </w:rPr>
      </w:pPr>
      <w:r>
        <w:rPr>
          <w:rFonts w:hint="eastAsia" w:ascii="宋体" w:hAnsi="宋体" w:eastAsia="宋体" w:cs="宋体"/>
          <w:highlight w:val="none"/>
        </w:rPr>
        <w:t>②发生重大或特大安全质量事故，</w:t>
      </w:r>
      <w:r>
        <w:rPr>
          <w:rFonts w:hint="eastAsia" w:ascii="宋体" w:hAnsi="宋体" w:cs="宋体"/>
          <w:highlight w:val="none"/>
          <w:lang w:eastAsia="zh-CN"/>
        </w:rPr>
        <w:t>乙方</w:t>
      </w:r>
      <w:r>
        <w:rPr>
          <w:rFonts w:hint="eastAsia" w:ascii="宋体" w:hAnsi="宋体" w:eastAsia="宋体" w:cs="宋体"/>
          <w:highlight w:val="none"/>
        </w:rPr>
        <w:t>自愿支付 5 万至 20 万元违约金每次；</w:t>
      </w:r>
    </w:p>
    <w:p w14:paraId="200CEFA5">
      <w:pPr>
        <w:spacing w:line="360" w:lineRule="auto"/>
        <w:ind w:firstLine="420" w:firstLineChars="0"/>
        <w:rPr>
          <w:rFonts w:hint="eastAsia" w:ascii="宋体" w:hAnsi="宋体" w:eastAsia="宋体" w:cs="宋体"/>
          <w:highlight w:val="none"/>
        </w:rPr>
      </w:pPr>
      <w:r>
        <w:rPr>
          <w:rFonts w:hint="eastAsia" w:ascii="宋体" w:hAnsi="宋体" w:eastAsia="宋体" w:cs="宋体"/>
          <w:highlight w:val="none"/>
        </w:rPr>
        <w:t>③</w:t>
      </w:r>
      <w:r>
        <w:rPr>
          <w:rFonts w:hint="eastAsia" w:ascii="宋体" w:hAnsi="宋体" w:cs="宋体"/>
          <w:highlight w:val="none"/>
          <w:lang w:eastAsia="zh-CN"/>
        </w:rPr>
        <w:t>乙方</w:t>
      </w:r>
      <w:r>
        <w:rPr>
          <w:rFonts w:hint="eastAsia" w:ascii="宋体" w:hAnsi="宋体" w:eastAsia="宋体" w:cs="宋体"/>
          <w:highlight w:val="none"/>
        </w:rPr>
        <w:t>需赔偿安全质量事故给</w:t>
      </w:r>
      <w:r>
        <w:rPr>
          <w:rFonts w:hint="eastAsia" w:ascii="宋体" w:hAnsi="宋体" w:cs="宋体"/>
          <w:highlight w:val="none"/>
          <w:lang w:eastAsia="zh-CN"/>
        </w:rPr>
        <w:t>甲方</w:t>
      </w:r>
      <w:r>
        <w:rPr>
          <w:rFonts w:hint="eastAsia" w:ascii="宋体" w:hAnsi="宋体" w:eastAsia="宋体" w:cs="宋体"/>
          <w:highlight w:val="none"/>
        </w:rPr>
        <w:t>造成的损失；</w:t>
      </w:r>
    </w:p>
    <w:p w14:paraId="21BB2AC8">
      <w:pPr>
        <w:spacing w:line="360" w:lineRule="auto"/>
        <w:ind w:firstLine="420" w:firstLineChars="0"/>
        <w:rPr>
          <w:rFonts w:hint="eastAsia" w:ascii="宋体" w:hAnsi="宋体" w:eastAsia="宋体" w:cs="宋体"/>
          <w:highlight w:val="none"/>
        </w:rPr>
      </w:pPr>
      <w:r>
        <w:rPr>
          <w:rFonts w:hint="eastAsia" w:ascii="宋体" w:hAnsi="宋体" w:cs="宋体"/>
          <w:highlight w:val="none"/>
          <w:lang w:val="en-US" w:eastAsia="zh-CN"/>
        </w:rPr>
        <w:t>8</w:t>
      </w:r>
      <w:r>
        <w:rPr>
          <w:rFonts w:hint="eastAsia" w:ascii="宋体" w:hAnsi="宋体" w:eastAsia="宋体" w:cs="宋体"/>
          <w:highlight w:val="none"/>
        </w:rPr>
        <w:t>）本合同约定由</w:t>
      </w:r>
      <w:r>
        <w:rPr>
          <w:rFonts w:hint="eastAsia" w:ascii="宋体" w:hAnsi="宋体" w:cs="宋体"/>
          <w:highlight w:val="none"/>
          <w:lang w:eastAsia="zh-CN"/>
        </w:rPr>
        <w:t>乙方</w:t>
      </w:r>
      <w:r>
        <w:rPr>
          <w:rFonts w:hint="eastAsia" w:ascii="宋体" w:hAnsi="宋体" w:eastAsia="宋体" w:cs="宋体"/>
          <w:highlight w:val="none"/>
        </w:rPr>
        <w:t>支付的违约金，</w:t>
      </w:r>
      <w:r>
        <w:rPr>
          <w:rFonts w:hint="eastAsia" w:ascii="宋体" w:hAnsi="宋体" w:cs="宋体"/>
          <w:highlight w:val="none"/>
          <w:lang w:eastAsia="zh-CN"/>
        </w:rPr>
        <w:t>甲方</w:t>
      </w:r>
      <w:r>
        <w:rPr>
          <w:rFonts w:hint="eastAsia" w:ascii="宋体" w:hAnsi="宋体" w:eastAsia="宋体" w:cs="宋体"/>
          <w:highlight w:val="none"/>
        </w:rPr>
        <w:t>可在约定付款的范围及履约保证金内予以扣除。</w:t>
      </w:r>
    </w:p>
    <w:p w14:paraId="7033F6C1">
      <w:pPr>
        <w:spacing w:line="360" w:lineRule="auto"/>
        <w:ind w:firstLine="420" w:firstLineChars="0"/>
        <w:rPr>
          <w:rFonts w:hint="eastAsia" w:ascii="宋体" w:hAnsi="宋体" w:eastAsia="宋体" w:cs="宋体"/>
          <w:highlight w:val="none"/>
        </w:rPr>
      </w:pPr>
      <w:r>
        <w:rPr>
          <w:rFonts w:hint="eastAsia" w:ascii="宋体" w:hAnsi="宋体" w:cs="宋体"/>
          <w:highlight w:val="none"/>
          <w:lang w:val="en-US" w:eastAsia="zh-CN"/>
        </w:rPr>
        <w:t>9</w:t>
      </w:r>
      <w:r>
        <w:rPr>
          <w:rFonts w:hint="eastAsia" w:ascii="宋体" w:hAnsi="宋体" w:eastAsia="宋体" w:cs="宋体"/>
          <w:highlight w:val="none"/>
        </w:rPr>
        <w:t>）</w:t>
      </w:r>
      <w:r>
        <w:rPr>
          <w:rFonts w:hint="eastAsia" w:ascii="宋体" w:hAnsi="宋体" w:cs="宋体"/>
          <w:highlight w:val="none"/>
          <w:lang w:eastAsia="zh-CN"/>
        </w:rPr>
        <w:t>乙方</w:t>
      </w:r>
      <w:r>
        <w:rPr>
          <w:rFonts w:hint="eastAsia" w:ascii="宋体" w:hAnsi="宋体" w:eastAsia="宋体" w:cs="宋体"/>
          <w:highlight w:val="none"/>
        </w:rPr>
        <w:t>应派驻现场设计代表，给予及时协调解决现场实施过程中发现的设计问题，否则，向</w:t>
      </w:r>
      <w:r>
        <w:rPr>
          <w:rFonts w:hint="eastAsia" w:ascii="宋体" w:hAnsi="宋体" w:cs="宋体"/>
          <w:highlight w:val="none"/>
          <w:lang w:eastAsia="zh-CN"/>
        </w:rPr>
        <w:t>甲方</w:t>
      </w:r>
      <w:r>
        <w:rPr>
          <w:rFonts w:hint="eastAsia" w:ascii="宋体" w:hAnsi="宋体" w:eastAsia="宋体" w:cs="宋体"/>
          <w:highlight w:val="none"/>
        </w:rPr>
        <w:t>支付违约金 1 万元/日；</w:t>
      </w:r>
    </w:p>
    <w:p w14:paraId="4A4621D7">
      <w:pPr>
        <w:spacing w:line="360" w:lineRule="auto"/>
        <w:ind w:firstLine="420" w:firstLineChars="0"/>
        <w:rPr>
          <w:rFonts w:hint="eastAsia" w:ascii="宋体" w:hAnsi="宋体" w:eastAsia="宋体" w:cs="宋体"/>
          <w:highlight w:val="none"/>
        </w:rPr>
      </w:pPr>
      <w:r>
        <w:rPr>
          <w:rFonts w:hint="eastAsia" w:ascii="宋体" w:hAnsi="宋体" w:eastAsia="宋体" w:cs="宋体"/>
          <w:highlight w:val="none"/>
        </w:rPr>
        <w:t>1</w:t>
      </w:r>
      <w:r>
        <w:rPr>
          <w:rFonts w:hint="eastAsia" w:ascii="宋体" w:hAnsi="宋体" w:cs="宋体"/>
          <w:highlight w:val="none"/>
          <w:lang w:val="en-US" w:eastAsia="zh-CN"/>
        </w:rPr>
        <w:t>0</w:t>
      </w:r>
      <w:r>
        <w:rPr>
          <w:rFonts w:hint="eastAsia" w:ascii="宋体" w:hAnsi="宋体" w:eastAsia="宋体" w:cs="宋体"/>
          <w:highlight w:val="none"/>
        </w:rPr>
        <w:t>）如</w:t>
      </w:r>
      <w:r>
        <w:rPr>
          <w:rFonts w:hint="eastAsia" w:ascii="宋体" w:hAnsi="宋体" w:cs="宋体"/>
          <w:highlight w:val="none"/>
          <w:lang w:eastAsia="zh-CN"/>
        </w:rPr>
        <w:t>乙方</w:t>
      </w:r>
      <w:r>
        <w:rPr>
          <w:rFonts w:hint="eastAsia" w:ascii="宋体" w:hAnsi="宋体" w:eastAsia="宋体" w:cs="宋体"/>
          <w:highlight w:val="none"/>
        </w:rPr>
        <w:t>辱骂、殴打</w:t>
      </w:r>
      <w:r>
        <w:rPr>
          <w:rFonts w:hint="eastAsia" w:ascii="宋体" w:hAnsi="宋体" w:cs="宋体"/>
          <w:highlight w:val="none"/>
          <w:lang w:eastAsia="zh-CN"/>
        </w:rPr>
        <w:t>甲方</w:t>
      </w:r>
      <w:r>
        <w:rPr>
          <w:rFonts w:hint="eastAsia" w:ascii="宋体" w:hAnsi="宋体" w:eastAsia="宋体" w:cs="宋体"/>
          <w:highlight w:val="none"/>
        </w:rPr>
        <w:t>及监理人工作人员，除依法承担行政处罚后果及赔偿受害人经济损失等法律责任外，</w:t>
      </w:r>
      <w:r>
        <w:rPr>
          <w:rFonts w:hint="eastAsia" w:ascii="宋体" w:hAnsi="宋体" w:cs="宋体"/>
          <w:highlight w:val="none"/>
          <w:lang w:eastAsia="zh-CN"/>
        </w:rPr>
        <w:t>乙方</w:t>
      </w:r>
      <w:r>
        <w:rPr>
          <w:rFonts w:hint="eastAsia" w:ascii="宋体" w:hAnsi="宋体" w:eastAsia="宋体" w:cs="宋体"/>
          <w:highlight w:val="none"/>
        </w:rPr>
        <w:t>还应向</w:t>
      </w:r>
      <w:r>
        <w:rPr>
          <w:rFonts w:hint="eastAsia" w:ascii="宋体" w:hAnsi="宋体" w:cs="宋体"/>
          <w:highlight w:val="none"/>
          <w:lang w:eastAsia="zh-CN"/>
        </w:rPr>
        <w:t>甲方</w:t>
      </w:r>
      <w:r>
        <w:rPr>
          <w:rFonts w:hint="eastAsia" w:ascii="宋体" w:hAnsi="宋体" w:eastAsia="宋体" w:cs="宋体"/>
          <w:highlight w:val="none"/>
        </w:rPr>
        <w:t>支付违约金 5 万元/次。</w:t>
      </w:r>
    </w:p>
    <w:p w14:paraId="2634CCA6">
      <w:pPr>
        <w:spacing w:line="360" w:lineRule="auto"/>
        <w:ind w:firstLine="420" w:firstLineChars="0"/>
        <w:rPr>
          <w:rFonts w:hint="eastAsia" w:ascii="宋体" w:hAnsi="宋体" w:eastAsia="宋体" w:cs="宋体"/>
          <w:highlight w:val="none"/>
        </w:rPr>
      </w:pPr>
      <w:r>
        <w:rPr>
          <w:rFonts w:hint="eastAsia" w:ascii="宋体" w:hAnsi="宋体" w:eastAsia="宋体" w:cs="宋体"/>
          <w:highlight w:val="none"/>
        </w:rPr>
        <w:t>1</w:t>
      </w:r>
      <w:r>
        <w:rPr>
          <w:rFonts w:hint="eastAsia" w:ascii="宋体" w:hAnsi="宋体" w:cs="宋体"/>
          <w:highlight w:val="none"/>
          <w:lang w:val="en-US" w:eastAsia="zh-CN"/>
        </w:rPr>
        <w:t>1</w:t>
      </w:r>
      <w:r>
        <w:rPr>
          <w:rFonts w:hint="eastAsia" w:ascii="宋体" w:hAnsi="宋体" w:eastAsia="宋体" w:cs="宋体"/>
          <w:highlight w:val="none"/>
        </w:rPr>
        <w:t>）出现</w:t>
      </w:r>
      <w:r>
        <w:rPr>
          <w:rFonts w:hint="eastAsia" w:ascii="宋体" w:hAnsi="宋体" w:cs="宋体"/>
          <w:highlight w:val="none"/>
          <w:lang w:eastAsia="zh-CN"/>
        </w:rPr>
        <w:t>乙方</w:t>
      </w:r>
      <w:r>
        <w:rPr>
          <w:rFonts w:hint="eastAsia" w:ascii="宋体" w:hAnsi="宋体" w:eastAsia="宋体" w:cs="宋体"/>
          <w:highlight w:val="none"/>
        </w:rPr>
        <w:t>无故停工或故意拖延施工进度或影响施工质量、</w:t>
      </w:r>
      <w:r>
        <w:rPr>
          <w:rFonts w:hint="eastAsia" w:ascii="宋体" w:hAnsi="宋体" w:cs="宋体"/>
          <w:highlight w:val="none"/>
          <w:lang w:eastAsia="zh-CN"/>
        </w:rPr>
        <w:t>乙方</w:t>
      </w:r>
      <w:r>
        <w:rPr>
          <w:rFonts w:hint="eastAsia" w:ascii="宋体" w:hAnsi="宋体" w:eastAsia="宋体" w:cs="宋体"/>
          <w:highlight w:val="none"/>
        </w:rPr>
        <w:t>虚报农民工工资累计达到中标总价 5%、非因</w:t>
      </w:r>
      <w:r>
        <w:rPr>
          <w:rFonts w:hint="eastAsia" w:ascii="宋体" w:hAnsi="宋体" w:cs="宋体"/>
          <w:highlight w:val="none"/>
          <w:lang w:eastAsia="zh-CN"/>
        </w:rPr>
        <w:t>甲方</w:t>
      </w:r>
      <w:r>
        <w:rPr>
          <w:rFonts w:hint="eastAsia" w:ascii="宋体" w:hAnsi="宋体" w:eastAsia="宋体" w:cs="宋体"/>
          <w:highlight w:val="none"/>
        </w:rPr>
        <w:t>原因导致农民工以信访、上访方式主张农民工工资或发生其他群体性事件等情形的，</w:t>
      </w:r>
      <w:r>
        <w:rPr>
          <w:rFonts w:hint="eastAsia" w:ascii="宋体" w:hAnsi="宋体" w:cs="宋体"/>
          <w:highlight w:val="none"/>
          <w:lang w:eastAsia="zh-CN"/>
        </w:rPr>
        <w:t>甲方</w:t>
      </w:r>
      <w:r>
        <w:rPr>
          <w:rFonts w:hint="eastAsia" w:ascii="宋体" w:hAnsi="宋体" w:eastAsia="宋体" w:cs="宋体"/>
          <w:highlight w:val="none"/>
        </w:rPr>
        <w:t>有权解除合同，无条件没收全部履约保证金（或银行履约保函）并暂停对</w:t>
      </w:r>
      <w:r>
        <w:rPr>
          <w:rFonts w:hint="eastAsia" w:ascii="宋体" w:hAnsi="宋体" w:cs="宋体"/>
          <w:highlight w:val="none"/>
          <w:lang w:eastAsia="zh-CN"/>
        </w:rPr>
        <w:t>乙方</w:t>
      </w:r>
      <w:r>
        <w:rPr>
          <w:rFonts w:hint="eastAsia" w:ascii="宋体" w:hAnsi="宋体" w:eastAsia="宋体" w:cs="宋体"/>
          <w:highlight w:val="none"/>
        </w:rPr>
        <w:t>的付款。</w:t>
      </w:r>
    </w:p>
    <w:p w14:paraId="318B0558">
      <w:pPr>
        <w:spacing w:line="360" w:lineRule="auto"/>
        <w:ind w:firstLine="420" w:firstLineChars="0"/>
        <w:rPr>
          <w:rFonts w:hint="eastAsia" w:ascii="宋体" w:hAnsi="宋体" w:eastAsia="宋体" w:cs="宋体"/>
          <w:highlight w:val="none"/>
        </w:rPr>
      </w:pPr>
      <w:r>
        <w:rPr>
          <w:rFonts w:hint="eastAsia" w:ascii="宋体" w:hAnsi="宋体" w:eastAsia="宋体" w:cs="宋体"/>
          <w:highlight w:val="none"/>
        </w:rPr>
        <w:t>1</w:t>
      </w:r>
      <w:r>
        <w:rPr>
          <w:rFonts w:hint="eastAsia" w:ascii="宋体" w:hAnsi="宋体" w:cs="宋体"/>
          <w:highlight w:val="none"/>
          <w:lang w:val="en-US" w:eastAsia="zh-CN"/>
        </w:rPr>
        <w:t>2</w:t>
      </w:r>
      <w:r>
        <w:rPr>
          <w:rFonts w:hint="eastAsia" w:ascii="宋体" w:hAnsi="宋体" w:eastAsia="宋体" w:cs="宋体"/>
          <w:highlight w:val="none"/>
        </w:rPr>
        <w:t>）招标、采购缔约过程及合同履行过程中</w:t>
      </w:r>
      <w:r>
        <w:rPr>
          <w:rFonts w:hint="eastAsia" w:ascii="宋体" w:hAnsi="宋体" w:cs="宋体"/>
          <w:highlight w:val="none"/>
          <w:lang w:eastAsia="zh-CN"/>
        </w:rPr>
        <w:t>乙方</w:t>
      </w:r>
      <w:r>
        <w:rPr>
          <w:rFonts w:hint="eastAsia" w:ascii="宋体" w:hAnsi="宋体" w:eastAsia="宋体" w:cs="宋体"/>
          <w:highlight w:val="none"/>
        </w:rPr>
        <w:t>存在出借（挂靠）资质的行为，</w:t>
      </w:r>
      <w:r>
        <w:rPr>
          <w:rFonts w:hint="eastAsia" w:ascii="宋体" w:hAnsi="宋体" w:cs="宋体"/>
          <w:highlight w:val="none"/>
          <w:lang w:eastAsia="zh-CN"/>
        </w:rPr>
        <w:t>甲方</w:t>
      </w:r>
      <w:r>
        <w:rPr>
          <w:rFonts w:hint="eastAsia" w:ascii="宋体" w:hAnsi="宋体" w:eastAsia="宋体" w:cs="宋体"/>
          <w:highlight w:val="none"/>
        </w:rPr>
        <w:t>有权取消中标资格、不予返还投标保证金，已经签订合同的，</w:t>
      </w:r>
      <w:r>
        <w:rPr>
          <w:rFonts w:hint="eastAsia" w:ascii="宋体" w:hAnsi="宋体" w:cs="宋体"/>
          <w:highlight w:val="none"/>
          <w:lang w:eastAsia="zh-CN"/>
        </w:rPr>
        <w:t>甲方</w:t>
      </w:r>
      <w:r>
        <w:rPr>
          <w:rFonts w:hint="eastAsia" w:ascii="宋体" w:hAnsi="宋体" w:eastAsia="宋体" w:cs="宋体"/>
          <w:highlight w:val="none"/>
        </w:rPr>
        <w:t>有权解除合同，并按本合同总金额的 20%计取违约金，以上违约金</w:t>
      </w:r>
      <w:r>
        <w:rPr>
          <w:rFonts w:hint="eastAsia" w:ascii="宋体" w:hAnsi="宋体" w:cs="宋体"/>
          <w:highlight w:val="none"/>
          <w:lang w:eastAsia="zh-CN"/>
        </w:rPr>
        <w:t>甲方</w:t>
      </w:r>
      <w:r>
        <w:rPr>
          <w:rFonts w:hint="eastAsia" w:ascii="宋体" w:hAnsi="宋体" w:eastAsia="宋体" w:cs="宋体"/>
          <w:highlight w:val="none"/>
        </w:rPr>
        <w:t>有权在履约保证金中予以扣除，也可以在支付工程价款中予以扣除。</w:t>
      </w:r>
      <w:r>
        <w:rPr>
          <w:rFonts w:hint="eastAsia" w:ascii="宋体" w:hAnsi="宋体" w:cs="宋体"/>
          <w:highlight w:val="none"/>
          <w:lang w:eastAsia="zh-CN"/>
        </w:rPr>
        <w:t>乙方</w:t>
      </w:r>
      <w:r>
        <w:rPr>
          <w:rFonts w:hint="eastAsia" w:ascii="宋体" w:hAnsi="宋体" w:eastAsia="宋体" w:cs="宋体"/>
          <w:highlight w:val="none"/>
        </w:rPr>
        <w:t>应按</w:t>
      </w:r>
      <w:r>
        <w:rPr>
          <w:rFonts w:hint="eastAsia" w:ascii="宋体" w:hAnsi="宋体" w:cs="宋体"/>
          <w:highlight w:val="none"/>
          <w:lang w:eastAsia="zh-CN"/>
        </w:rPr>
        <w:t>甲方</w:t>
      </w:r>
      <w:r>
        <w:rPr>
          <w:rFonts w:hint="eastAsia" w:ascii="宋体" w:hAnsi="宋体" w:eastAsia="宋体" w:cs="宋体"/>
          <w:highlight w:val="none"/>
        </w:rPr>
        <w:t>要求清除出场，一切损失由</w:t>
      </w:r>
      <w:r>
        <w:rPr>
          <w:rFonts w:hint="eastAsia" w:ascii="宋体" w:hAnsi="宋体" w:cs="宋体"/>
          <w:highlight w:val="none"/>
          <w:lang w:eastAsia="zh-CN"/>
        </w:rPr>
        <w:t>乙方</w:t>
      </w:r>
      <w:r>
        <w:rPr>
          <w:rFonts w:hint="eastAsia" w:ascii="宋体" w:hAnsi="宋体" w:eastAsia="宋体" w:cs="宋体"/>
          <w:highlight w:val="none"/>
        </w:rPr>
        <w:t>自行承担。</w:t>
      </w:r>
    </w:p>
    <w:p w14:paraId="2F476001">
      <w:pPr>
        <w:spacing w:line="360" w:lineRule="auto"/>
        <w:ind w:firstLine="420" w:firstLineChars="0"/>
        <w:rPr>
          <w:rFonts w:hint="eastAsia" w:ascii="宋体" w:hAnsi="宋体" w:eastAsia="宋体" w:cs="宋体"/>
          <w:highlight w:val="none"/>
        </w:rPr>
      </w:pPr>
      <w:r>
        <w:rPr>
          <w:rFonts w:hint="eastAsia" w:ascii="宋体" w:hAnsi="宋体" w:eastAsia="宋体" w:cs="宋体"/>
          <w:highlight w:val="none"/>
        </w:rPr>
        <w:t>1</w:t>
      </w:r>
      <w:r>
        <w:rPr>
          <w:rFonts w:hint="eastAsia" w:ascii="宋体" w:hAnsi="宋体" w:cs="宋体"/>
          <w:highlight w:val="none"/>
          <w:lang w:val="en-US" w:eastAsia="zh-CN"/>
        </w:rPr>
        <w:t>3</w:t>
      </w:r>
      <w:r>
        <w:rPr>
          <w:rFonts w:hint="eastAsia" w:ascii="宋体" w:hAnsi="宋体" w:eastAsia="宋体" w:cs="宋体"/>
          <w:highlight w:val="none"/>
        </w:rPr>
        <w:t xml:space="preserve">) </w:t>
      </w:r>
      <w:r>
        <w:rPr>
          <w:rFonts w:hint="eastAsia" w:ascii="宋体" w:hAnsi="宋体" w:cs="宋体"/>
          <w:highlight w:val="none"/>
          <w:lang w:eastAsia="zh-CN"/>
        </w:rPr>
        <w:t>乙方</w:t>
      </w:r>
      <w:r>
        <w:rPr>
          <w:rFonts w:hint="eastAsia" w:ascii="宋体" w:hAnsi="宋体" w:eastAsia="宋体" w:cs="宋体"/>
          <w:highlight w:val="none"/>
        </w:rPr>
        <w:t>提交竣工结算申请单的期限：工程竣工后</w:t>
      </w:r>
      <w:r>
        <w:rPr>
          <w:rFonts w:hint="eastAsia" w:ascii="宋体" w:hAnsi="宋体" w:cs="宋体"/>
          <w:highlight w:val="none"/>
          <w:lang w:eastAsia="zh-CN"/>
        </w:rPr>
        <w:t>乙方</w:t>
      </w:r>
      <w:r>
        <w:rPr>
          <w:rFonts w:hint="eastAsia" w:ascii="宋体" w:hAnsi="宋体" w:eastAsia="宋体" w:cs="宋体"/>
          <w:highlight w:val="none"/>
        </w:rPr>
        <w:t>应组织相关工程技术管理人员编制工程结算书，并在工程竣工后 90 天内（房建工程要求 150 天内）将竣工结算材料报送审计单位；若</w:t>
      </w:r>
      <w:r>
        <w:rPr>
          <w:rFonts w:hint="eastAsia" w:ascii="宋体" w:hAnsi="宋体" w:cs="宋体"/>
          <w:highlight w:val="none"/>
          <w:lang w:eastAsia="zh-CN"/>
        </w:rPr>
        <w:t>乙方</w:t>
      </w:r>
      <w:r>
        <w:rPr>
          <w:rFonts w:hint="eastAsia" w:ascii="宋体" w:hAnsi="宋体" w:eastAsia="宋体" w:cs="宋体"/>
          <w:highlight w:val="none"/>
        </w:rPr>
        <w:t>未按要求完成该部分工作，视为违约。每延误一天支付违约金 1000元，合同价 5000 万元及以下项目违约金上限为合同价的 2%（不超过 10 万元）、合同价 5000万元-1 亿元（含）项目违约金上限为 15 万元、合同价 1 亿元以上项目违约金上限为 20 万元。违约金</w:t>
      </w:r>
      <w:r>
        <w:rPr>
          <w:rFonts w:hint="eastAsia" w:ascii="宋体" w:hAnsi="宋体" w:cs="宋体"/>
          <w:highlight w:val="none"/>
          <w:lang w:eastAsia="zh-CN"/>
        </w:rPr>
        <w:t>甲方</w:t>
      </w:r>
      <w:r>
        <w:rPr>
          <w:rFonts w:hint="eastAsia" w:ascii="宋体" w:hAnsi="宋体" w:eastAsia="宋体" w:cs="宋体"/>
          <w:highlight w:val="none"/>
        </w:rPr>
        <w:t>有权在结算价款中直接扣除。</w:t>
      </w:r>
    </w:p>
    <w:p w14:paraId="1F9B3535">
      <w:pPr>
        <w:spacing w:line="360" w:lineRule="auto"/>
        <w:ind w:firstLine="420" w:firstLineChars="0"/>
        <w:rPr>
          <w:rFonts w:hint="eastAsia" w:ascii="宋体" w:hAnsi="宋体" w:eastAsia="宋体" w:cs="宋体"/>
          <w:szCs w:val="22"/>
          <w:highlight w:val="green"/>
          <w:lang w:eastAsia="zh-CN"/>
        </w:rPr>
      </w:pPr>
      <w:r>
        <w:rPr>
          <w:rFonts w:hint="eastAsia" w:ascii="宋体" w:hAnsi="宋体" w:eastAsia="宋体" w:cs="宋体"/>
          <w:highlight w:val="none"/>
        </w:rPr>
        <w:t>(1</w:t>
      </w:r>
      <w:r>
        <w:rPr>
          <w:rFonts w:hint="eastAsia" w:ascii="宋体" w:hAnsi="宋体" w:cs="宋体"/>
          <w:highlight w:val="none"/>
          <w:lang w:val="en-US" w:eastAsia="zh-CN"/>
        </w:rPr>
        <w:t>4</w:t>
      </w:r>
      <w:r>
        <w:rPr>
          <w:rFonts w:hint="eastAsia" w:ascii="宋体" w:hAnsi="宋体" w:eastAsia="宋体" w:cs="宋体"/>
          <w:highlight w:val="none"/>
        </w:rPr>
        <w:t xml:space="preserve">) </w:t>
      </w:r>
      <w:r>
        <w:rPr>
          <w:rFonts w:hint="eastAsia" w:ascii="宋体" w:hAnsi="宋体" w:cs="宋体"/>
          <w:highlight w:val="none"/>
          <w:lang w:eastAsia="zh-CN"/>
        </w:rPr>
        <w:t>乙方</w:t>
      </w:r>
      <w:r>
        <w:rPr>
          <w:rFonts w:hint="eastAsia" w:ascii="宋体" w:hAnsi="宋体" w:eastAsia="宋体" w:cs="宋体"/>
          <w:highlight w:val="none"/>
        </w:rPr>
        <w:t>提交的竣工资料移交时间：工程竣工验收合格后 90 天内（房建工程要求150 天内）提供符合城建档案馆和行政质检监督部门要求的叁套完整的竣工验收资料、竣工图、完整的竣工结算资料和竣工结算书等其他资料。当报送的资料不符合相关主管部门要求而重新报送或补送资料的，其资料报送有效时间为</w:t>
      </w:r>
      <w:r>
        <w:rPr>
          <w:rFonts w:hint="eastAsia" w:ascii="宋体" w:hAnsi="宋体" w:cs="宋体"/>
          <w:highlight w:val="none"/>
          <w:lang w:eastAsia="zh-CN"/>
        </w:rPr>
        <w:t>乙方</w:t>
      </w:r>
      <w:r>
        <w:rPr>
          <w:rFonts w:hint="eastAsia" w:ascii="宋体" w:hAnsi="宋体" w:eastAsia="宋体" w:cs="宋体"/>
          <w:highlight w:val="none"/>
        </w:rPr>
        <w:t>最后一次报送时间。若</w:t>
      </w:r>
      <w:r>
        <w:rPr>
          <w:rFonts w:hint="eastAsia" w:ascii="宋体" w:hAnsi="宋体" w:cs="宋体"/>
          <w:highlight w:val="none"/>
          <w:lang w:eastAsia="zh-CN"/>
        </w:rPr>
        <w:t>乙方</w:t>
      </w:r>
      <w:r>
        <w:rPr>
          <w:rFonts w:hint="eastAsia" w:ascii="宋体" w:hAnsi="宋体" w:eastAsia="宋体" w:cs="宋体"/>
          <w:highlight w:val="none"/>
        </w:rPr>
        <w:t>未按要求完成该部分工作，视为违约。每延误一天支付违约金 1000 元，合同价 5000 万元及以下项目违约金上限为合同价的 2%（不超过 10 万元）、合同价 5000 万元-1 亿元（含）项目违约金上限为 15 万元、合同价 1 亿元以上项目违约金上限为 20 万元。违约金</w:t>
      </w:r>
      <w:r>
        <w:rPr>
          <w:rFonts w:hint="eastAsia" w:ascii="宋体" w:hAnsi="宋体" w:cs="宋体"/>
          <w:highlight w:val="none"/>
          <w:lang w:eastAsia="zh-CN"/>
        </w:rPr>
        <w:t>甲方</w:t>
      </w:r>
      <w:r>
        <w:rPr>
          <w:rFonts w:hint="eastAsia" w:ascii="宋体" w:hAnsi="宋体" w:eastAsia="宋体" w:cs="宋体"/>
          <w:highlight w:val="none"/>
        </w:rPr>
        <w:t>有权在结算价款中直接扣除。造成</w:t>
      </w:r>
      <w:r>
        <w:rPr>
          <w:rFonts w:hint="eastAsia" w:ascii="宋体" w:hAnsi="宋体" w:cs="宋体"/>
          <w:highlight w:val="none"/>
          <w:lang w:eastAsia="zh-CN"/>
        </w:rPr>
        <w:t>甲方</w:t>
      </w:r>
      <w:r>
        <w:rPr>
          <w:rFonts w:hint="eastAsia" w:ascii="宋体" w:hAnsi="宋体" w:eastAsia="宋体" w:cs="宋体"/>
          <w:highlight w:val="none"/>
        </w:rPr>
        <w:t>、监理人管理费用的增加的，应由</w:t>
      </w:r>
      <w:r>
        <w:rPr>
          <w:rFonts w:hint="eastAsia" w:ascii="宋体" w:hAnsi="宋体" w:cs="宋体"/>
          <w:highlight w:val="none"/>
          <w:lang w:eastAsia="zh-CN"/>
        </w:rPr>
        <w:t>乙方</w:t>
      </w:r>
      <w:r>
        <w:rPr>
          <w:rFonts w:hint="eastAsia" w:ascii="宋体" w:hAnsi="宋体" w:eastAsia="宋体" w:cs="宋体"/>
          <w:highlight w:val="none"/>
        </w:rPr>
        <w:t>承担。</w:t>
      </w:r>
      <w:r>
        <w:rPr>
          <w:rFonts w:hint="eastAsia" w:ascii="宋体" w:hAnsi="宋体" w:cs="宋体"/>
          <w:highlight w:val="none"/>
          <w:lang w:eastAsia="zh-CN"/>
        </w:rPr>
        <w:t>甲方</w:t>
      </w:r>
      <w:r>
        <w:rPr>
          <w:rFonts w:hint="eastAsia" w:ascii="宋体" w:hAnsi="宋体" w:eastAsia="宋体" w:cs="宋体"/>
          <w:highlight w:val="none"/>
        </w:rPr>
        <w:t>保留进一步向</w:t>
      </w:r>
      <w:r>
        <w:rPr>
          <w:rFonts w:hint="eastAsia" w:ascii="宋体" w:hAnsi="宋体" w:cs="宋体"/>
          <w:highlight w:val="none"/>
          <w:lang w:eastAsia="zh-CN"/>
        </w:rPr>
        <w:t>乙方</w:t>
      </w:r>
      <w:r>
        <w:rPr>
          <w:rFonts w:hint="eastAsia" w:ascii="宋体" w:hAnsi="宋体" w:eastAsia="宋体" w:cs="宋体"/>
          <w:highlight w:val="none"/>
        </w:rPr>
        <w:t>索赔补偿损失不足部分的权利。</w:t>
      </w:r>
    </w:p>
    <w:p w14:paraId="5A4408D8">
      <w:pPr>
        <w:spacing w:line="360" w:lineRule="auto"/>
        <w:ind w:firstLine="420" w:firstLineChars="0"/>
        <w:rPr>
          <w:rFonts w:ascii="宋体" w:hAnsi="宋体" w:eastAsia="宋体" w:cs="宋体"/>
          <w:szCs w:val="22"/>
          <w:highlight w:val="none"/>
        </w:rPr>
      </w:pPr>
      <w:r>
        <w:rPr>
          <w:rFonts w:hint="eastAsia" w:ascii="宋体" w:hAnsi="宋体" w:eastAsia="宋体" w:cs="宋体"/>
          <w:szCs w:val="22"/>
          <w:highlight w:val="none"/>
        </w:rPr>
        <w:t>27.3在发生本合同约定的违约情形后，双方均应及时以书面形式主张违约金，在收到书面索赔对方无异议时，应在10天内向对方以现金的形式支付违约金，每超过10天，违约金金额翻一倍。</w:t>
      </w:r>
    </w:p>
    <w:p w14:paraId="0FFCF989">
      <w:pPr>
        <w:spacing w:line="360" w:lineRule="auto"/>
        <w:ind w:firstLine="420" w:firstLineChars="0"/>
        <w:rPr>
          <w:rFonts w:ascii="宋体" w:hAnsi="宋体" w:cs="宋体"/>
          <w:szCs w:val="22"/>
          <w:highlight w:val="none"/>
        </w:rPr>
      </w:pPr>
      <w:r>
        <w:rPr>
          <w:rFonts w:hint="eastAsia" w:ascii="宋体" w:hAnsi="宋体" w:eastAsia="宋体" w:cs="宋体"/>
          <w:szCs w:val="22"/>
          <w:highlight w:val="none"/>
        </w:rPr>
        <w:t>27.4一方违约后，另一方要求违约方继续履行合同时，违约方承担上述违约责任后仍应继续履行合同。</w:t>
      </w:r>
    </w:p>
    <w:p w14:paraId="006597C4">
      <w:pPr>
        <w:pStyle w:val="4"/>
        <w:spacing w:before="0" w:after="0" w:line="360" w:lineRule="auto"/>
        <w:ind w:firstLine="653"/>
        <w:rPr>
          <w:rFonts w:ascii="宋体" w:hAnsi="宋体" w:cs="宋体"/>
          <w:highlight w:val="none"/>
        </w:rPr>
      </w:pPr>
      <w:r>
        <w:rPr>
          <w:rFonts w:hint="eastAsia" w:ascii="宋体" w:hAnsi="宋体" w:cs="宋体"/>
          <w:highlight w:val="none"/>
        </w:rPr>
        <w:t>28、索赔</w:t>
      </w:r>
    </w:p>
    <w:p w14:paraId="2BDB0411">
      <w:pPr>
        <w:spacing w:line="360" w:lineRule="auto"/>
        <w:ind w:firstLine="420"/>
        <w:rPr>
          <w:rFonts w:ascii="宋体" w:hAnsi="宋体" w:cs="宋体"/>
          <w:highlight w:val="none"/>
        </w:rPr>
      </w:pPr>
      <w:r>
        <w:rPr>
          <w:rFonts w:hint="eastAsia" w:ascii="宋体" w:hAnsi="宋体" w:cs="宋体"/>
          <w:highlight w:val="none"/>
        </w:rPr>
        <w:t>28.1 甲方根据总包合同向发包人递交索赔意向通知或其它资料时，乙方应予以积极配合，保持并出示相应资料，以便甲方能遵守总包合同。</w:t>
      </w:r>
    </w:p>
    <w:p w14:paraId="645ED012">
      <w:pPr>
        <w:spacing w:line="360" w:lineRule="auto"/>
        <w:ind w:firstLine="420"/>
        <w:rPr>
          <w:rFonts w:ascii="宋体" w:hAnsi="宋体" w:cs="宋体"/>
          <w:highlight w:val="none"/>
        </w:rPr>
      </w:pPr>
      <w:r>
        <w:rPr>
          <w:rFonts w:hint="eastAsia" w:ascii="宋体" w:hAnsi="宋体" w:cs="宋体"/>
          <w:highlight w:val="none"/>
        </w:rPr>
        <w:t>28.2 在劳务作业实施过程中，如乙方遇到不利外部条件等根据总包合同可以索赔的情形出现，则甲方应该采取一切合理步骤，向发包人主张追加付款或延长工期。当索赔成功后，甲方应该将索赔所得的相应部分转交给乙方。</w:t>
      </w:r>
    </w:p>
    <w:p w14:paraId="63A35288">
      <w:pPr>
        <w:spacing w:line="360" w:lineRule="auto"/>
        <w:ind w:firstLine="420"/>
        <w:rPr>
          <w:rFonts w:ascii="宋体" w:hAnsi="宋体" w:cs="宋体"/>
          <w:highlight w:val="none"/>
        </w:rPr>
      </w:pPr>
      <w:r>
        <w:rPr>
          <w:rFonts w:hint="eastAsia" w:ascii="宋体" w:hAnsi="宋体" w:cs="宋体"/>
          <w:highlight w:val="none"/>
        </w:rPr>
        <w:t>28.3 当本合同的一方向另一方提出索赔时，应有正当的索赔理由，并有索赔事件发生时有效的相应证据。</w:t>
      </w:r>
    </w:p>
    <w:p w14:paraId="52BFA94C">
      <w:pPr>
        <w:spacing w:line="360" w:lineRule="auto"/>
        <w:ind w:firstLine="420"/>
        <w:rPr>
          <w:rFonts w:ascii="宋体" w:hAnsi="宋体" w:cs="宋体"/>
          <w:highlight w:val="none"/>
        </w:rPr>
      </w:pPr>
      <w:r>
        <w:rPr>
          <w:rFonts w:hint="eastAsia" w:ascii="宋体" w:hAnsi="宋体" w:cs="宋体"/>
          <w:highlight w:val="none"/>
        </w:rPr>
        <w:t>28.4 甲方未按约定履行自己的各项义务或发生错误，以及应由甲方承担责任的其他情况，造成工作时间延误和（或）乙方不能及时得到合同报酬及乙方的其他经济损失，乙方可按下列程序以书面形式向甲方索赔：</w:t>
      </w:r>
    </w:p>
    <w:p w14:paraId="2678E3BC">
      <w:pPr>
        <w:spacing w:line="360" w:lineRule="auto"/>
        <w:ind w:left="420" w:firstLine="0" w:firstLineChars="0"/>
        <w:rPr>
          <w:rFonts w:ascii="宋体" w:hAnsi="宋体" w:cs="宋体"/>
          <w:highlight w:val="none"/>
        </w:rPr>
      </w:pPr>
      <w:r>
        <w:rPr>
          <w:rFonts w:hint="eastAsia" w:ascii="宋体" w:hAnsi="宋体" w:cs="宋体"/>
          <w:highlight w:val="none"/>
        </w:rPr>
        <w:t>（1）索赔事件发生后21天内，向甲方项目经理发出索赔意向通知；</w:t>
      </w:r>
    </w:p>
    <w:p w14:paraId="6F20A0E7">
      <w:pPr>
        <w:spacing w:line="360" w:lineRule="auto"/>
        <w:ind w:firstLine="420"/>
        <w:rPr>
          <w:rFonts w:ascii="宋体" w:hAnsi="宋体" w:cs="宋体"/>
          <w:highlight w:val="none"/>
        </w:rPr>
      </w:pPr>
      <w:r>
        <w:rPr>
          <w:rFonts w:hint="eastAsia" w:ascii="宋体" w:hAnsi="宋体" w:cs="宋体"/>
          <w:highlight w:val="none"/>
        </w:rPr>
        <w:t>（2）发出索赔意向通知后21天内，向甲方项目经理提出延长工作时间和（或）补偿经济损失的索赔报告及有关资料；</w:t>
      </w:r>
    </w:p>
    <w:p w14:paraId="60D9C574">
      <w:pPr>
        <w:spacing w:line="360" w:lineRule="auto"/>
        <w:ind w:firstLine="420"/>
        <w:rPr>
          <w:rFonts w:ascii="宋体" w:hAnsi="宋体" w:cs="宋体"/>
          <w:highlight w:val="none"/>
        </w:rPr>
      </w:pPr>
      <w:r>
        <w:rPr>
          <w:rFonts w:hint="eastAsia" w:ascii="宋体" w:hAnsi="宋体" w:cs="宋体"/>
          <w:highlight w:val="none"/>
        </w:rPr>
        <w:t>（3）甲方项目经理在收到乙方送交的索赔报告和有关资料后，于21天内给予答复，或要求乙方进一步补充索赔理由和证据；</w:t>
      </w:r>
    </w:p>
    <w:p w14:paraId="7F079996">
      <w:pPr>
        <w:spacing w:line="360" w:lineRule="auto"/>
        <w:ind w:firstLine="420"/>
        <w:rPr>
          <w:rFonts w:ascii="宋体" w:hAnsi="宋体" w:cs="宋体"/>
          <w:highlight w:val="none"/>
        </w:rPr>
      </w:pPr>
      <w:r>
        <w:rPr>
          <w:rFonts w:hint="eastAsia" w:ascii="宋体" w:hAnsi="宋体" w:cs="宋体"/>
          <w:highlight w:val="none"/>
        </w:rPr>
        <w:t>（4）甲方项目经理在收到乙方送交的索赔报告和有关资料后21天内未予答复或未对乙方作进一步要求，视为该项索赔已经认可；</w:t>
      </w:r>
    </w:p>
    <w:p w14:paraId="50900619">
      <w:pPr>
        <w:spacing w:line="360" w:lineRule="auto"/>
        <w:ind w:firstLine="420"/>
        <w:rPr>
          <w:rFonts w:ascii="宋体" w:hAnsi="宋体" w:cs="宋体"/>
          <w:highlight w:val="none"/>
        </w:rPr>
      </w:pPr>
      <w:r>
        <w:rPr>
          <w:rFonts w:hint="eastAsia" w:ascii="宋体" w:hAnsi="宋体" w:cs="宋体"/>
          <w:highlight w:val="none"/>
        </w:rPr>
        <w:t>（5）当该项索赔事件持续进行时，乙方应当阶段性地向甲方发出索赔意向，在索赔事件终了后21天内，向甲方项目经理送交索赔的有关资料和最终索赔报告。索赔答复程序与（3）、（4）规定相同。</w:t>
      </w:r>
    </w:p>
    <w:p w14:paraId="68FD2454">
      <w:pPr>
        <w:spacing w:line="360" w:lineRule="auto"/>
        <w:ind w:firstLine="420"/>
        <w:rPr>
          <w:rFonts w:ascii="宋体" w:hAnsi="宋体" w:cs="宋体"/>
          <w:highlight w:val="none"/>
        </w:rPr>
      </w:pPr>
      <w:r>
        <w:rPr>
          <w:rFonts w:hint="eastAsia" w:ascii="宋体" w:hAnsi="宋体" w:cs="宋体"/>
          <w:highlight w:val="none"/>
        </w:rPr>
        <w:t>28.5 乙方未按约定履行自己的各项义务或发生错误，给甲方造成经济损失，甲方可按上述程序和时限以书面形式向乙方索赔。</w:t>
      </w:r>
    </w:p>
    <w:p w14:paraId="42613D78">
      <w:pPr>
        <w:pStyle w:val="4"/>
        <w:spacing w:before="0" w:after="0" w:line="360" w:lineRule="auto"/>
        <w:ind w:firstLine="653"/>
        <w:rPr>
          <w:rFonts w:ascii="宋体" w:hAnsi="宋体" w:cs="宋体"/>
          <w:highlight w:val="none"/>
        </w:rPr>
      </w:pPr>
      <w:r>
        <w:rPr>
          <w:rFonts w:hint="eastAsia" w:ascii="宋体" w:hAnsi="宋体" w:cs="宋体"/>
          <w:highlight w:val="none"/>
        </w:rPr>
        <w:t>29、争议</w:t>
      </w:r>
    </w:p>
    <w:p w14:paraId="1CECDEAD">
      <w:pPr>
        <w:spacing w:line="360" w:lineRule="auto"/>
        <w:ind w:firstLine="420"/>
        <w:rPr>
          <w:rFonts w:ascii="宋体" w:hAnsi="宋体" w:cs="宋体"/>
          <w:highlight w:val="none"/>
        </w:rPr>
      </w:pPr>
      <w:r>
        <w:rPr>
          <w:rFonts w:hint="eastAsia" w:ascii="宋体" w:hAnsi="宋体" w:cs="宋体"/>
          <w:highlight w:val="none"/>
        </w:rPr>
        <w:t>29.1 甲方和乙方在履行合同时发生争议，可以自行和解或要求有关主管部门调解，任何一方不愿和解、调解或和解、调解不成的，双方约定采用下列第</w:t>
      </w:r>
      <w:r>
        <w:rPr>
          <w:rFonts w:hint="eastAsia" w:ascii="宋体" w:hAnsi="宋体" w:cs="宋体"/>
          <w:highlight w:val="none"/>
          <w:u w:val="single"/>
        </w:rPr>
        <w:t xml:space="preserve">  2  </w:t>
      </w:r>
      <w:r>
        <w:rPr>
          <w:rFonts w:hint="eastAsia" w:ascii="宋体" w:hAnsi="宋体" w:cs="宋体"/>
          <w:highlight w:val="none"/>
        </w:rPr>
        <w:t>种方式解决争议：</w:t>
      </w:r>
    </w:p>
    <w:p w14:paraId="04D8C0A1">
      <w:pPr>
        <w:spacing w:line="360" w:lineRule="auto"/>
        <w:ind w:firstLine="420"/>
        <w:rPr>
          <w:rFonts w:ascii="宋体" w:hAnsi="宋体" w:cs="宋体"/>
          <w:highlight w:val="none"/>
        </w:rPr>
      </w:pPr>
      <w:r>
        <w:rPr>
          <w:rFonts w:hint="eastAsia" w:ascii="宋体" w:hAnsi="宋体" w:cs="宋体"/>
          <w:highlight w:val="none"/>
        </w:rPr>
        <w:t> （1）双方达成仲裁协议，向</w:t>
      </w:r>
      <w:r>
        <w:rPr>
          <w:rFonts w:hint="eastAsia" w:ascii="宋体" w:hAnsi="宋体" w:cs="宋体"/>
          <w:highlight w:val="none"/>
          <w:u w:val="single"/>
        </w:rPr>
        <w:t xml:space="preserve">     /   </w:t>
      </w:r>
      <w:r>
        <w:rPr>
          <w:rFonts w:hint="eastAsia" w:ascii="宋体" w:hAnsi="宋体" w:cs="宋体"/>
          <w:highlight w:val="none"/>
        </w:rPr>
        <w:t>仲裁委员会申请仲裁；</w:t>
      </w:r>
    </w:p>
    <w:p w14:paraId="186E12AC">
      <w:pPr>
        <w:spacing w:line="360" w:lineRule="auto"/>
        <w:ind w:firstLine="420"/>
        <w:rPr>
          <w:rFonts w:ascii="宋体" w:hAnsi="宋体" w:cs="宋体"/>
          <w:highlight w:val="none"/>
        </w:rPr>
      </w:pPr>
      <w:r>
        <w:rPr>
          <w:rFonts w:hint="eastAsia" w:ascii="宋体" w:hAnsi="宋体" w:cs="宋体"/>
          <w:highlight w:val="none"/>
        </w:rPr>
        <w:t> （2）向</w:t>
      </w:r>
      <w:r>
        <w:rPr>
          <w:rFonts w:hint="eastAsia" w:ascii="宋体" w:hAnsi="宋体" w:cs="宋体"/>
          <w:b/>
          <w:bCs/>
          <w:highlight w:val="none"/>
          <w:u w:val="single"/>
        </w:rPr>
        <w:t xml:space="preserve"> 项目所在地 </w:t>
      </w:r>
      <w:r>
        <w:rPr>
          <w:rFonts w:hint="eastAsia" w:ascii="宋体" w:hAnsi="宋体" w:cs="宋体"/>
          <w:highlight w:val="none"/>
        </w:rPr>
        <w:t>的人民法院起诉。</w:t>
      </w:r>
    </w:p>
    <w:p w14:paraId="2AB85502">
      <w:pPr>
        <w:spacing w:line="360" w:lineRule="auto"/>
        <w:ind w:firstLine="420"/>
        <w:rPr>
          <w:rFonts w:ascii="宋体" w:hAnsi="宋体" w:cs="宋体"/>
          <w:highlight w:val="none"/>
        </w:rPr>
      </w:pPr>
      <w:r>
        <w:rPr>
          <w:rFonts w:hint="eastAsia" w:ascii="宋体" w:hAnsi="宋体" w:cs="宋体"/>
          <w:highlight w:val="none"/>
        </w:rPr>
        <w:t>29.2 发生争议后，除非出现下列情况，双方都应继续履行合同，保持工作连续，保护好已完工作成果：</w:t>
      </w:r>
    </w:p>
    <w:p w14:paraId="460E3F1F">
      <w:pPr>
        <w:spacing w:line="360" w:lineRule="auto"/>
        <w:ind w:left="420" w:leftChars="200" w:firstLine="0" w:firstLineChars="0"/>
        <w:rPr>
          <w:rFonts w:ascii="宋体" w:hAnsi="宋体" w:cs="宋体"/>
          <w:highlight w:val="none"/>
        </w:rPr>
      </w:pPr>
      <w:r>
        <w:rPr>
          <w:rFonts w:hint="eastAsia" w:ascii="宋体" w:hAnsi="宋体" w:cs="宋体"/>
          <w:highlight w:val="none"/>
        </w:rPr>
        <w:t>（1）单方违约导致合同确已无法履行，双方协议终止合同；</w:t>
      </w:r>
    </w:p>
    <w:p w14:paraId="16E81B68">
      <w:pPr>
        <w:spacing w:line="360" w:lineRule="auto"/>
        <w:ind w:left="420" w:leftChars="200" w:firstLine="0" w:firstLineChars="0"/>
        <w:rPr>
          <w:rFonts w:ascii="宋体" w:hAnsi="宋体" w:cs="宋体"/>
          <w:highlight w:val="none"/>
        </w:rPr>
      </w:pPr>
      <w:r>
        <w:rPr>
          <w:rFonts w:hint="eastAsia" w:ascii="宋体" w:hAnsi="宋体" w:cs="宋体"/>
          <w:highlight w:val="none"/>
        </w:rPr>
        <w:t>（2）调解要求停止合同工作，且为双方接受；</w:t>
      </w:r>
    </w:p>
    <w:p w14:paraId="624B612B">
      <w:pPr>
        <w:spacing w:line="360" w:lineRule="auto"/>
        <w:ind w:left="420" w:leftChars="200" w:firstLine="0" w:firstLineChars="0"/>
        <w:rPr>
          <w:rFonts w:ascii="宋体" w:hAnsi="宋体" w:cs="宋体"/>
          <w:highlight w:val="none"/>
        </w:rPr>
      </w:pPr>
      <w:r>
        <w:rPr>
          <w:rFonts w:hint="eastAsia" w:ascii="宋体" w:hAnsi="宋体" w:cs="宋体"/>
          <w:highlight w:val="none"/>
        </w:rPr>
        <w:t>（3）仲裁机构要求停止合同工作；</w:t>
      </w:r>
    </w:p>
    <w:p w14:paraId="05FE0FA8">
      <w:pPr>
        <w:spacing w:line="360" w:lineRule="auto"/>
        <w:ind w:left="420" w:leftChars="200" w:firstLine="0" w:firstLineChars="0"/>
        <w:rPr>
          <w:rFonts w:ascii="宋体" w:hAnsi="宋体" w:cs="宋体"/>
          <w:highlight w:val="none"/>
        </w:rPr>
      </w:pPr>
      <w:r>
        <w:rPr>
          <w:rFonts w:hint="eastAsia" w:ascii="宋体" w:hAnsi="宋体" w:cs="宋体"/>
          <w:highlight w:val="none"/>
        </w:rPr>
        <w:t>（4）法院要求停止合同工作。</w:t>
      </w:r>
    </w:p>
    <w:p w14:paraId="426C6463">
      <w:pPr>
        <w:pStyle w:val="4"/>
        <w:spacing w:before="0" w:after="0" w:line="360" w:lineRule="auto"/>
        <w:ind w:firstLine="653"/>
        <w:rPr>
          <w:rFonts w:ascii="宋体" w:hAnsi="宋体" w:cs="宋体"/>
          <w:highlight w:val="none"/>
        </w:rPr>
      </w:pPr>
      <w:r>
        <w:rPr>
          <w:rFonts w:hint="eastAsia" w:ascii="宋体" w:hAnsi="宋体" w:cs="宋体"/>
          <w:highlight w:val="none"/>
        </w:rPr>
        <w:t>30、禁止转包或再分包</w:t>
      </w:r>
    </w:p>
    <w:p w14:paraId="30C5100D">
      <w:pPr>
        <w:spacing w:line="360" w:lineRule="auto"/>
        <w:ind w:firstLine="420"/>
        <w:rPr>
          <w:rFonts w:ascii="宋体" w:hAnsi="宋体" w:cs="宋体"/>
          <w:highlight w:val="none"/>
        </w:rPr>
      </w:pPr>
      <w:r>
        <w:rPr>
          <w:rFonts w:hint="eastAsia" w:ascii="宋体" w:hAnsi="宋体" w:cs="宋体"/>
          <w:highlight w:val="none"/>
        </w:rPr>
        <w:t xml:space="preserve">30.1 </w:t>
      </w:r>
      <w:r>
        <w:rPr>
          <w:rFonts w:hint="eastAsia" w:ascii="宋体" w:hAnsi="宋体" w:cs="宋体"/>
          <w:highlight w:val="none"/>
          <w:u w:val="single"/>
        </w:rPr>
        <w:t>乙方不得将本合同项下的劳务作业转包或再分包给他人。经查实，有违反本条规定的行为，</w:t>
      </w:r>
      <w:r>
        <w:rPr>
          <w:rFonts w:hint="eastAsia" w:ascii="宋体" w:hAnsi="宋体" w:cs="宋体"/>
          <w:highlight w:val="green"/>
          <w:u w:val="single"/>
          <w:lang w:eastAsia="zh-CN"/>
        </w:rPr>
        <w:t>按以下约定执行：（</w:t>
      </w:r>
      <w:r>
        <w:rPr>
          <w:rFonts w:hint="eastAsia" w:ascii="宋体" w:hAnsi="宋体" w:eastAsia="宋体" w:cs="宋体"/>
          <w:highlight w:val="green"/>
          <w:u w:val="single"/>
        </w:rPr>
        <w:t>1）未经甲方书面同意，如发现有擅自分包行为，乙方应收回分包工程，并按分包工程合同价款的 50%计取违约金，以上金额甲方有权在履约保证金中予以扣除，也可以在支付工程价款中予以扣除。</w:t>
      </w:r>
      <w:r>
        <w:rPr>
          <w:rFonts w:hint="eastAsia" w:ascii="宋体" w:hAnsi="宋体" w:cs="宋体"/>
          <w:highlight w:val="green"/>
          <w:u w:val="single"/>
          <w:lang w:eastAsia="zh-CN"/>
        </w:rPr>
        <w:t>（</w:t>
      </w:r>
      <w:r>
        <w:rPr>
          <w:rFonts w:hint="eastAsia" w:ascii="宋体" w:hAnsi="宋体" w:eastAsia="宋体" w:cs="宋体"/>
          <w:highlight w:val="green"/>
          <w:u w:val="single"/>
        </w:rPr>
        <w:t>2）如发现有违法分包行为，甲方有权限令乙方改正或解除合同，并按分包工程合同价款的 70%计取违约金，以上金额甲方有权在履约保证金中予以扣除，也可以在支付工程价款中予以扣除。</w:t>
      </w:r>
      <w:r>
        <w:rPr>
          <w:rFonts w:hint="eastAsia" w:ascii="宋体" w:hAnsi="宋体" w:cs="宋体"/>
          <w:highlight w:val="green"/>
          <w:u w:val="single"/>
          <w:lang w:eastAsia="zh-CN"/>
        </w:rPr>
        <w:t>（</w:t>
      </w:r>
      <w:r>
        <w:rPr>
          <w:rFonts w:hint="eastAsia" w:ascii="宋体" w:hAnsi="宋体" w:eastAsia="宋体" w:cs="宋体"/>
          <w:highlight w:val="green"/>
          <w:u w:val="single"/>
        </w:rPr>
        <w:t>3）如发现有转包行为，甲方有权限令乙方改正或解除合同，并按本合同总金额的 10%计取违约金，以上金额甲方有权在履约保证金中予以扣除，也可以在支付工程价款中予以扣除。</w:t>
      </w:r>
    </w:p>
    <w:p w14:paraId="7A42FD0D">
      <w:pPr>
        <w:pStyle w:val="4"/>
        <w:spacing w:before="0" w:after="0" w:line="360" w:lineRule="auto"/>
        <w:ind w:firstLine="653"/>
        <w:rPr>
          <w:rFonts w:ascii="宋体" w:hAnsi="宋体" w:cs="宋体"/>
          <w:highlight w:val="none"/>
        </w:rPr>
      </w:pPr>
      <w:r>
        <w:rPr>
          <w:rFonts w:hint="eastAsia" w:ascii="宋体" w:hAnsi="宋体" w:cs="宋体"/>
          <w:highlight w:val="none"/>
        </w:rPr>
        <w:t>31、不可抗力</w:t>
      </w:r>
    </w:p>
    <w:p w14:paraId="5205A491">
      <w:pPr>
        <w:spacing w:line="360" w:lineRule="auto"/>
        <w:ind w:firstLine="420"/>
        <w:rPr>
          <w:rFonts w:ascii="宋体" w:hAnsi="宋体" w:cs="宋体"/>
          <w:highlight w:val="none"/>
        </w:rPr>
      </w:pPr>
      <w:r>
        <w:rPr>
          <w:rFonts w:hint="eastAsia" w:ascii="宋体" w:hAnsi="宋体" w:cs="宋体"/>
          <w:highlight w:val="none"/>
        </w:rPr>
        <w:t>31.1 本合同中不可抗力的定义与总包合同中的定义相同。</w:t>
      </w:r>
    </w:p>
    <w:p w14:paraId="3245E949">
      <w:pPr>
        <w:spacing w:line="360" w:lineRule="auto"/>
        <w:ind w:firstLine="420"/>
        <w:rPr>
          <w:rFonts w:ascii="宋体" w:hAnsi="宋体" w:cs="宋体"/>
          <w:highlight w:val="none"/>
        </w:rPr>
      </w:pPr>
      <w:r>
        <w:rPr>
          <w:rFonts w:hint="eastAsia" w:ascii="宋体" w:hAnsi="宋体" w:cs="宋体"/>
          <w:highlight w:val="none"/>
        </w:rPr>
        <w:t>31.2  不可抗力事件发生后，乙方应立即通知甲方项目经理，并在力所能及的条件下迅速采取措施，尽力减少损失，甲方应协助乙方采取措施。甲方项目经理认为乙方应当暂停工作，乙方应暂停工作。不可抗力事件结束后48小时内乙方向甲方项目经理通报受害情况和损失情况，及预计清理和修复的费用。不可抗力事件持续发生，乙方应每隔7天向甲方项目经理通报一次受害情况。不可抗力结束后14天内，乙方应向甲方项目经理提交清理和修复费用的正式报告和有关资料。</w:t>
      </w:r>
    </w:p>
    <w:p w14:paraId="10EF7738">
      <w:pPr>
        <w:spacing w:line="360" w:lineRule="auto"/>
        <w:ind w:firstLine="420"/>
        <w:rPr>
          <w:rFonts w:ascii="宋体" w:hAnsi="宋体" w:cs="宋体"/>
          <w:highlight w:val="none"/>
        </w:rPr>
      </w:pPr>
      <w:r>
        <w:rPr>
          <w:rFonts w:hint="eastAsia" w:ascii="宋体" w:hAnsi="宋体" w:cs="宋体"/>
          <w:highlight w:val="none"/>
        </w:rPr>
        <w:t>31.3 因不可抗力事件导致的费用和延误的工作时间由双方按以下办法分别承担：</w:t>
      </w:r>
    </w:p>
    <w:p w14:paraId="157A7FB6">
      <w:pPr>
        <w:spacing w:line="360" w:lineRule="auto"/>
        <w:ind w:firstLine="420"/>
        <w:rPr>
          <w:rFonts w:ascii="宋体" w:hAnsi="宋体" w:cs="宋体"/>
          <w:highlight w:val="none"/>
        </w:rPr>
      </w:pPr>
      <w:r>
        <w:rPr>
          <w:rFonts w:hint="eastAsia" w:ascii="宋体" w:hAnsi="宋体" w:cs="宋体"/>
          <w:highlight w:val="none"/>
        </w:rPr>
        <w:t>（1）工程本身的损害、因工程损害导致第三人人员伤亡和财产损失以及运至施工场地用于劳务作业的材料和待安装的设备的损害由乙方承担；</w:t>
      </w:r>
    </w:p>
    <w:p w14:paraId="480D8255">
      <w:pPr>
        <w:spacing w:line="360" w:lineRule="auto"/>
        <w:ind w:firstLine="420"/>
        <w:rPr>
          <w:rFonts w:ascii="宋体" w:hAnsi="宋体" w:cs="宋体"/>
          <w:highlight w:val="none"/>
        </w:rPr>
      </w:pPr>
      <w:r>
        <w:rPr>
          <w:rFonts w:hint="eastAsia" w:ascii="宋体" w:hAnsi="宋体" w:cs="宋体"/>
          <w:highlight w:val="none"/>
        </w:rPr>
        <w:t>（2）甲方和乙方的人员伤亡由其所在单位负责，并承担相应费用；</w:t>
      </w:r>
    </w:p>
    <w:p w14:paraId="13298EAB">
      <w:pPr>
        <w:spacing w:line="360" w:lineRule="auto"/>
        <w:ind w:firstLine="420"/>
        <w:rPr>
          <w:rFonts w:ascii="宋体" w:hAnsi="宋体" w:cs="宋体"/>
          <w:highlight w:val="none"/>
        </w:rPr>
      </w:pPr>
      <w:r>
        <w:rPr>
          <w:rFonts w:hint="eastAsia" w:ascii="宋体" w:hAnsi="宋体" w:cs="宋体"/>
          <w:highlight w:val="none"/>
        </w:rPr>
        <w:t>（3）乙方自有机械设备损坏及停工损失，由乙方自行承担；</w:t>
      </w:r>
    </w:p>
    <w:p w14:paraId="66D853B1">
      <w:pPr>
        <w:spacing w:line="360" w:lineRule="auto"/>
        <w:ind w:firstLine="420"/>
        <w:rPr>
          <w:rFonts w:ascii="宋体" w:hAnsi="宋体" w:cs="宋体"/>
          <w:highlight w:val="none"/>
        </w:rPr>
      </w:pPr>
      <w:r>
        <w:rPr>
          <w:rFonts w:hint="eastAsia" w:ascii="宋体" w:hAnsi="宋体" w:cs="宋体"/>
          <w:highlight w:val="none"/>
        </w:rPr>
        <w:t>（4）甲方提供给乙方使用的机械设备损坏，由甲方承担，但停工损失由乙方自行承担；</w:t>
      </w:r>
    </w:p>
    <w:p w14:paraId="3C213880">
      <w:pPr>
        <w:spacing w:line="360" w:lineRule="auto"/>
        <w:ind w:firstLine="420"/>
        <w:rPr>
          <w:rFonts w:ascii="宋体" w:hAnsi="宋体" w:cs="宋体"/>
          <w:highlight w:val="none"/>
        </w:rPr>
      </w:pPr>
      <w:r>
        <w:rPr>
          <w:rFonts w:hint="eastAsia" w:ascii="宋体" w:hAnsi="宋体" w:cs="宋体"/>
          <w:highlight w:val="none"/>
        </w:rPr>
        <w:t>（5）停工期间，乙方应甲方项目经理要求留在施工场地的必要的管理人员及保卫人员的费用由乙方承担；</w:t>
      </w:r>
    </w:p>
    <w:p w14:paraId="6B9C4921">
      <w:pPr>
        <w:spacing w:line="360" w:lineRule="auto"/>
        <w:ind w:firstLine="420"/>
        <w:rPr>
          <w:rFonts w:ascii="宋体" w:hAnsi="宋体" w:cs="宋体"/>
          <w:highlight w:val="none"/>
        </w:rPr>
      </w:pPr>
      <w:r>
        <w:rPr>
          <w:rFonts w:hint="eastAsia" w:ascii="宋体" w:hAnsi="宋体" w:cs="宋体"/>
          <w:highlight w:val="none"/>
        </w:rPr>
        <w:t>（6）工程所需清理、修复费用，由乙方承担；</w:t>
      </w:r>
    </w:p>
    <w:p w14:paraId="293473C5">
      <w:pPr>
        <w:spacing w:line="360" w:lineRule="auto"/>
        <w:ind w:firstLine="420"/>
        <w:rPr>
          <w:rFonts w:ascii="宋体" w:hAnsi="宋体" w:cs="宋体"/>
          <w:highlight w:val="none"/>
        </w:rPr>
      </w:pPr>
      <w:r>
        <w:rPr>
          <w:rFonts w:hint="eastAsia" w:ascii="宋体" w:hAnsi="宋体" w:cs="宋体"/>
          <w:highlight w:val="none"/>
        </w:rPr>
        <w:t>（7）延误的工作时间相应顺延。</w:t>
      </w:r>
    </w:p>
    <w:p w14:paraId="1C7AA928">
      <w:pPr>
        <w:spacing w:line="360" w:lineRule="auto"/>
        <w:ind w:firstLine="420"/>
        <w:rPr>
          <w:rFonts w:ascii="宋体" w:hAnsi="宋体" w:cs="宋体"/>
          <w:highlight w:val="none"/>
        </w:rPr>
      </w:pPr>
      <w:r>
        <w:rPr>
          <w:rFonts w:hint="eastAsia" w:ascii="宋体" w:hAnsi="宋体" w:cs="宋体"/>
          <w:highlight w:val="none"/>
        </w:rPr>
        <w:t>31.4 因合同一方迟延履行合同后发生不可抗力的，不能免除迟延履行方的相应责任。</w:t>
      </w:r>
    </w:p>
    <w:p w14:paraId="4F2F51CD">
      <w:pPr>
        <w:pStyle w:val="4"/>
        <w:spacing w:before="0" w:after="0" w:line="360" w:lineRule="auto"/>
        <w:ind w:firstLine="653"/>
        <w:rPr>
          <w:rFonts w:ascii="宋体" w:hAnsi="宋体" w:cs="宋体"/>
          <w:highlight w:val="none"/>
        </w:rPr>
      </w:pPr>
      <w:r>
        <w:rPr>
          <w:rFonts w:hint="eastAsia" w:ascii="宋体" w:hAnsi="宋体" w:cs="宋体"/>
          <w:highlight w:val="none"/>
        </w:rPr>
        <w:t>32、文物和地下障碍物</w:t>
      </w:r>
    </w:p>
    <w:p w14:paraId="499BB403">
      <w:pPr>
        <w:spacing w:line="360" w:lineRule="auto"/>
        <w:ind w:firstLine="420"/>
        <w:rPr>
          <w:rFonts w:ascii="宋体" w:hAnsi="宋体" w:cs="宋体"/>
          <w:highlight w:val="none"/>
        </w:rPr>
      </w:pPr>
      <w:r>
        <w:rPr>
          <w:rFonts w:hint="eastAsia" w:ascii="宋体" w:hAnsi="宋体" w:cs="宋体"/>
          <w:highlight w:val="none"/>
        </w:rPr>
        <w:t>32.1 在劳务作业中发现古墓、古建筑遗址等文物和化石或其他有考古、地质研究价值的物品时，乙方应立即保护好现场并于4小时内以书面形式通知甲方项目经理，甲方项目经理应于收到书面通知后24小时内报告当地文物管理部门，甲方和乙方按文物管理部门的要求采取妥善保护措施。乙方承担由此发生的费用，顺延合同工作时间。如乙方发现后隐瞒不报或哄抢文物，致使文物遭受破坏，责任者依法承担相应责任。</w:t>
      </w:r>
    </w:p>
    <w:p w14:paraId="421202E2">
      <w:pPr>
        <w:spacing w:line="360" w:lineRule="auto"/>
        <w:ind w:firstLine="420"/>
        <w:rPr>
          <w:rFonts w:ascii="宋体" w:hAnsi="宋体" w:cs="宋体"/>
          <w:highlight w:val="none"/>
        </w:rPr>
      </w:pPr>
      <w:r>
        <w:rPr>
          <w:rFonts w:hint="eastAsia" w:ascii="宋体" w:hAnsi="宋体" w:cs="宋体"/>
          <w:highlight w:val="none"/>
        </w:rPr>
        <w:t>32.2 劳务作业中发现影响工作的地下障碍物时，乙方应于8小时内以书面形式通知甲方项目经理，同时提出处置方案，甲方项目经理收到处置方案后24小时内予以认可或提出修正方案，乙方承担由此发生的费用，顺延合同工作时间。所发现的地下障碍物有归属单位时，甲方应报请有关部门协同处置。</w:t>
      </w:r>
    </w:p>
    <w:p w14:paraId="54D56040">
      <w:pPr>
        <w:pStyle w:val="4"/>
        <w:spacing w:before="0" w:after="0" w:line="360" w:lineRule="auto"/>
        <w:ind w:firstLine="653"/>
        <w:rPr>
          <w:rFonts w:ascii="宋体" w:hAnsi="宋体" w:cs="宋体"/>
          <w:highlight w:val="none"/>
        </w:rPr>
      </w:pPr>
      <w:r>
        <w:rPr>
          <w:rFonts w:hint="eastAsia" w:ascii="宋体" w:hAnsi="宋体" w:cs="宋体"/>
          <w:highlight w:val="none"/>
        </w:rPr>
        <w:t>33、合同解除</w:t>
      </w:r>
    </w:p>
    <w:p w14:paraId="044D657B">
      <w:pPr>
        <w:spacing w:line="360" w:lineRule="auto"/>
        <w:ind w:firstLine="420"/>
        <w:rPr>
          <w:rFonts w:ascii="宋体" w:hAnsi="宋体" w:cs="宋体"/>
          <w:highlight w:val="none"/>
        </w:rPr>
      </w:pPr>
      <w:r>
        <w:rPr>
          <w:rFonts w:hint="eastAsia" w:ascii="宋体" w:hAnsi="宋体" w:cs="宋体"/>
          <w:highlight w:val="none"/>
        </w:rPr>
        <w:t>33.1 如果甲方不按照本合同的约定支付劳务报酬，乙方可以停止工作。停止工作超过28天，甲方仍不支付劳务报酬，乙方可以发出通知解除合同。</w:t>
      </w:r>
    </w:p>
    <w:p w14:paraId="57DDAB35">
      <w:pPr>
        <w:spacing w:line="360" w:lineRule="auto"/>
        <w:ind w:firstLine="210" w:firstLineChars="100"/>
        <w:rPr>
          <w:rFonts w:ascii="宋体" w:hAnsi="宋体" w:cs="宋体"/>
          <w:highlight w:val="none"/>
        </w:rPr>
      </w:pPr>
      <w:r>
        <w:rPr>
          <w:rFonts w:hint="eastAsia" w:ascii="宋体" w:hAnsi="宋体" w:cs="宋体"/>
          <w:highlight w:val="none"/>
        </w:rPr>
        <w:t xml:space="preserve">  33.2  如在乙方没有完全履行本合同义务之前，总包合同终止，甲方应通知乙方终止本合同。乙方接到通知后尽快撤离现场，甲方应支付乙方已完工程的劳务报酬。</w:t>
      </w:r>
    </w:p>
    <w:p w14:paraId="17E8278F">
      <w:pPr>
        <w:spacing w:line="360" w:lineRule="auto"/>
        <w:ind w:firstLine="210" w:firstLineChars="100"/>
        <w:rPr>
          <w:rFonts w:ascii="宋体" w:hAnsi="宋体" w:cs="宋体"/>
          <w:highlight w:val="none"/>
        </w:rPr>
      </w:pPr>
      <w:r>
        <w:rPr>
          <w:rFonts w:hint="eastAsia" w:ascii="宋体" w:hAnsi="宋体" w:cs="宋体"/>
          <w:highlight w:val="none"/>
        </w:rPr>
        <w:t xml:space="preserve">  33.3  如因不可抗力致使本合同无法履行，或因一方违约或因发包人原因造成工程停建或缓建，致使合同无法履行的，甲方和乙方可以解除合同。</w:t>
      </w:r>
    </w:p>
    <w:p w14:paraId="24114CD8">
      <w:pPr>
        <w:spacing w:line="360" w:lineRule="auto"/>
        <w:ind w:firstLine="420"/>
        <w:rPr>
          <w:rFonts w:ascii="宋体" w:hAnsi="宋体" w:cs="宋体"/>
          <w:highlight w:val="none"/>
        </w:rPr>
      </w:pPr>
      <w:r>
        <w:rPr>
          <w:rFonts w:hint="eastAsia" w:ascii="宋体" w:hAnsi="宋体" w:cs="宋体"/>
          <w:highlight w:val="none"/>
        </w:rPr>
        <w:t>33.4  关于乙方违约解除合同的特别约定：乙方有以下情形的，甲方将视乙方此几种行为为严重违约，立即终止合同，最终竣工验收完毕后按照实际完成工程量的70%支付工程款付款，乙方承担违约责任、支付违约金、赔偿甲方工期和其他实际直接损失，乙方在现场的人员无条件退场：</w:t>
      </w:r>
    </w:p>
    <w:p w14:paraId="23512D7E">
      <w:pPr>
        <w:spacing w:line="360" w:lineRule="auto"/>
        <w:ind w:firstLine="420"/>
        <w:rPr>
          <w:rFonts w:ascii="宋体" w:hAnsi="宋体" w:cs="宋体"/>
          <w:highlight w:val="none"/>
          <w:u w:val="single"/>
        </w:rPr>
      </w:pPr>
      <w:r>
        <w:rPr>
          <w:rFonts w:hint="eastAsia" w:ascii="宋体" w:hAnsi="宋体" w:cs="宋体"/>
          <w:highlight w:val="none"/>
          <w:u w:val="single"/>
        </w:rPr>
        <w:t>（1）在本合同履行过程中，如乙方不同意本工程合同条件；</w:t>
      </w:r>
    </w:p>
    <w:p w14:paraId="2405BC41">
      <w:pPr>
        <w:spacing w:line="360" w:lineRule="auto"/>
        <w:ind w:firstLine="420"/>
        <w:rPr>
          <w:rFonts w:ascii="宋体" w:hAnsi="宋体" w:cs="宋体"/>
          <w:highlight w:val="none"/>
          <w:u w:val="single"/>
        </w:rPr>
      </w:pPr>
      <w:r>
        <w:rPr>
          <w:rFonts w:hint="eastAsia" w:ascii="宋体" w:hAnsi="宋体" w:cs="宋体"/>
          <w:highlight w:val="none"/>
          <w:u w:val="single"/>
        </w:rPr>
        <w:t>（2）不同意付款比例和时间；自认所报投标价格过低要求甲方调整；</w:t>
      </w:r>
    </w:p>
    <w:p w14:paraId="149202B8">
      <w:pPr>
        <w:spacing w:line="360" w:lineRule="auto"/>
        <w:ind w:firstLine="420"/>
        <w:rPr>
          <w:rFonts w:ascii="宋体" w:hAnsi="宋体" w:cs="宋体"/>
          <w:highlight w:val="none"/>
          <w:u w:val="single"/>
        </w:rPr>
      </w:pPr>
      <w:r>
        <w:rPr>
          <w:rFonts w:hint="eastAsia" w:ascii="宋体" w:hAnsi="宋体" w:cs="宋体"/>
          <w:highlight w:val="none"/>
          <w:u w:val="single"/>
        </w:rPr>
        <w:t>（3）自认合同价款过低要求甲方调整；</w:t>
      </w:r>
    </w:p>
    <w:p w14:paraId="3A98130F">
      <w:pPr>
        <w:spacing w:line="360" w:lineRule="auto"/>
        <w:ind w:firstLine="420"/>
        <w:rPr>
          <w:rFonts w:ascii="宋体" w:hAnsi="宋体" w:cs="宋体"/>
          <w:highlight w:val="none"/>
          <w:u w:val="single"/>
        </w:rPr>
      </w:pPr>
      <w:r>
        <w:rPr>
          <w:rFonts w:hint="eastAsia" w:ascii="宋体" w:hAnsi="宋体" w:cs="宋体"/>
          <w:highlight w:val="none"/>
          <w:u w:val="single"/>
        </w:rPr>
        <w:t>（4）工期形象进度明显滞后的；未按工期时间节点或交付时间要求完成指定施工内容；</w:t>
      </w:r>
    </w:p>
    <w:p w14:paraId="5F13B824">
      <w:pPr>
        <w:spacing w:line="360" w:lineRule="auto"/>
        <w:ind w:firstLine="420"/>
        <w:rPr>
          <w:rFonts w:ascii="宋体" w:hAnsi="宋体" w:cs="宋体"/>
          <w:highlight w:val="none"/>
          <w:u w:val="single"/>
        </w:rPr>
      </w:pPr>
      <w:r>
        <w:rPr>
          <w:rFonts w:hint="eastAsia" w:ascii="宋体" w:hAnsi="宋体" w:cs="宋体"/>
          <w:highlight w:val="none"/>
          <w:u w:val="single"/>
        </w:rPr>
        <w:t>（5）已完工部分的工程形象面貌、质量不符合要求的；</w:t>
      </w:r>
    </w:p>
    <w:p w14:paraId="2DF06C30">
      <w:pPr>
        <w:spacing w:line="360" w:lineRule="auto"/>
        <w:ind w:firstLine="420"/>
        <w:rPr>
          <w:rFonts w:ascii="宋体" w:hAnsi="宋体" w:cs="宋体"/>
          <w:highlight w:val="none"/>
          <w:u w:val="single"/>
        </w:rPr>
      </w:pPr>
      <w:r>
        <w:rPr>
          <w:rFonts w:hint="eastAsia" w:ascii="宋体" w:hAnsi="宋体" w:cs="宋体"/>
          <w:highlight w:val="none"/>
          <w:u w:val="single"/>
        </w:rPr>
        <w:t>（6）停工或故意拖延施工进度或影响施工质量；</w:t>
      </w:r>
    </w:p>
    <w:p w14:paraId="2FA5F1AF">
      <w:pPr>
        <w:spacing w:line="360" w:lineRule="auto"/>
        <w:ind w:firstLine="420"/>
        <w:rPr>
          <w:rFonts w:ascii="宋体" w:hAnsi="宋体" w:cs="宋体"/>
          <w:highlight w:val="none"/>
          <w:u w:val="single"/>
        </w:rPr>
      </w:pPr>
      <w:r>
        <w:rPr>
          <w:rFonts w:hint="eastAsia" w:ascii="宋体" w:hAnsi="宋体" w:cs="宋体"/>
          <w:highlight w:val="none"/>
          <w:u w:val="single"/>
        </w:rPr>
        <w:t>（7）要挟甲方提高合同价款；要挟甲方给予某种补偿；</w:t>
      </w:r>
    </w:p>
    <w:p w14:paraId="370907CF">
      <w:pPr>
        <w:spacing w:line="360" w:lineRule="auto"/>
        <w:ind w:firstLine="420"/>
        <w:rPr>
          <w:rFonts w:ascii="宋体" w:hAnsi="宋体" w:cs="宋体"/>
          <w:highlight w:val="none"/>
          <w:u w:val="single"/>
        </w:rPr>
      </w:pPr>
      <w:r>
        <w:rPr>
          <w:rFonts w:hint="eastAsia" w:ascii="宋体" w:hAnsi="宋体" w:cs="宋体"/>
          <w:highlight w:val="none"/>
          <w:u w:val="single"/>
        </w:rPr>
        <w:t>（8）恶意信访、打架斗殴、群体事件、聚众闹事等造成重大社会负面影响的；</w:t>
      </w:r>
    </w:p>
    <w:p w14:paraId="02F6197B">
      <w:pPr>
        <w:spacing w:line="360" w:lineRule="auto"/>
        <w:ind w:firstLine="420"/>
        <w:rPr>
          <w:rFonts w:ascii="宋体" w:hAnsi="宋体" w:cs="宋体"/>
          <w:highlight w:val="none"/>
          <w:u w:val="single"/>
        </w:rPr>
      </w:pPr>
      <w:r>
        <w:rPr>
          <w:rFonts w:hint="eastAsia" w:ascii="宋体" w:hAnsi="宋体" w:cs="宋体"/>
          <w:highlight w:val="none"/>
          <w:u w:val="single"/>
        </w:rPr>
        <w:t>（9）乙方多次不服从甲方现场指令、安排、管理工作的；</w:t>
      </w:r>
    </w:p>
    <w:p w14:paraId="6A162FCE">
      <w:pPr>
        <w:spacing w:line="360" w:lineRule="auto"/>
        <w:ind w:firstLine="420"/>
        <w:rPr>
          <w:rFonts w:ascii="宋体" w:hAnsi="宋体" w:cs="宋体"/>
          <w:highlight w:val="none"/>
          <w:u w:val="single"/>
        </w:rPr>
      </w:pPr>
      <w:r>
        <w:rPr>
          <w:rFonts w:hint="eastAsia" w:ascii="宋体" w:hAnsi="宋体" w:cs="宋体"/>
          <w:highlight w:val="none"/>
          <w:u w:val="single"/>
        </w:rPr>
        <w:t>（10）存在违反</w:t>
      </w:r>
      <w:r>
        <w:rPr>
          <w:rFonts w:hint="eastAsia" w:ascii="宋体" w:hAnsi="宋体" w:cs="宋体"/>
          <w:highlight w:val="green"/>
          <w:u w:val="single"/>
        </w:rPr>
        <w:t>附件3《农民工工资支付承诺书》相关行为的</w:t>
      </w:r>
      <w:r>
        <w:rPr>
          <w:rFonts w:hint="eastAsia" w:ascii="宋体" w:hAnsi="宋体" w:cs="宋体"/>
          <w:highlight w:val="none"/>
          <w:u w:val="single"/>
        </w:rPr>
        <w:t>。</w:t>
      </w:r>
    </w:p>
    <w:p w14:paraId="3C35F618">
      <w:pPr>
        <w:spacing w:line="360" w:lineRule="auto"/>
        <w:ind w:firstLine="420"/>
        <w:rPr>
          <w:rFonts w:ascii="宋体" w:hAnsi="宋体" w:cs="宋体"/>
          <w:highlight w:val="none"/>
        </w:rPr>
      </w:pPr>
      <w:r>
        <w:rPr>
          <w:rFonts w:hint="eastAsia" w:ascii="宋体" w:hAnsi="宋体" w:cs="宋体"/>
          <w:highlight w:val="none"/>
        </w:rPr>
        <w:t>33.5合同解除</w:t>
      </w:r>
      <w:r>
        <w:rPr>
          <w:rFonts w:hint="eastAsia" w:ascii="宋体" w:hAnsi="宋体" w:cs="宋体"/>
          <w:szCs w:val="22"/>
          <w:highlight w:val="none"/>
        </w:rPr>
        <w:t>后，</w:t>
      </w:r>
      <w:r>
        <w:rPr>
          <w:rFonts w:hint="eastAsia" w:ascii="宋体" w:hAnsi="宋体" w:cs="宋体"/>
          <w:highlight w:val="none"/>
        </w:rPr>
        <w:t>乙方应妥善做好已完工程和剩余材料、设备的保护和移交工作，按甲方要求撤出施工场地。甲方应为乙方撤出提供必要条件，支付以上所发生的费用，并按合同约定支付已完工作劳务报酬。有过错的一方应当赔偿因合同解除给对方造成的损失。合同解除后，不影响双方在合同中约定的结算和清理条款的效力。</w:t>
      </w:r>
    </w:p>
    <w:p w14:paraId="145F351C">
      <w:pPr>
        <w:pStyle w:val="4"/>
        <w:spacing w:before="0" w:after="0" w:line="360" w:lineRule="auto"/>
        <w:ind w:firstLine="653"/>
        <w:rPr>
          <w:rFonts w:ascii="宋体" w:hAnsi="宋体" w:cs="宋体"/>
          <w:highlight w:val="none"/>
        </w:rPr>
      </w:pPr>
      <w:r>
        <w:rPr>
          <w:rFonts w:hint="eastAsia" w:ascii="宋体" w:hAnsi="宋体" w:cs="宋体"/>
          <w:highlight w:val="none"/>
        </w:rPr>
        <w:t>34、合同终止</w:t>
      </w:r>
    </w:p>
    <w:p w14:paraId="6D7987E0">
      <w:pPr>
        <w:spacing w:line="360" w:lineRule="auto"/>
        <w:ind w:firstLine="420"/>
        <w:rPr>
          <w:rFonts w:ascii="宋体" w:hAnsi="宋体" w:cs="宋体"/>
          <w:highlight w:val="none"/>
        </w:rPr>
      </w:pPr>
      <w:r>
        <w:rPr>
          <w:rFonts w:hint="eastAsia" w:ascii="宋体" w:hAnsi="宋体" w:cs="宋体"/>
          <w:highlight w:val="none"/>
        </w:rPr>
        <w:t>34.1 双方履行完合同全部义务，劳务报酬价款支付完毕，乙方向甲方交付劳务作业成果，并经甲方验收合格后，本合同即告终止。</w:t>
      </w:r>
    </w:p>
    <w:p w14:paraId="1AC09F3B">
      <w:pPr>
        <w:pStyle w:val="4"/>
        <w:spacing w:before="0" w:after="0" w:line="360" w:lineRule="auto"/>
        <w:ind w:firstLine="653"/>
        <w:rPr>
          <w:rFonts w:ascii="宋体" w:hAnsi="宋体" w:cs="宋体"/>
          <w:highlight w:val="none"/>
        </w:rPr>
      </w:pPr>
      <w:r>
        <w:rPr>
          <w:rFonts w:hint="eastAsia" w:ascii="宋体" w:hAnsi="宋体" w:cs="宋体"/>
          <w:highlight w:val="none"/>
        </w:rPr>
        <w:t>35、合同份数</w:t>
      </w:r>
    </w:p>
    <w:p w14:paraId="7F4A756A">
      <w:pPr>
        <w:spacing w:line="360" w:lineRule="auto"/>
        <w:ind w:firstLine="420"/>
        <w:rPr>
          <w:rFonts w:ascii="宋体" w:hAnsi="宋体" w:cs="宋体"/>
          <w:highlight w:val="none"/>
        </w:rPr>
      </w:pPr>
      <w:r>
        <w:rPr>
          <w:rFonts w:hint="eastAsia" w:ascii="宋体" w:hAnsi="宋体" w:cs="宋体"/>
          <w:highlight w:val="none"/>
        </w:rPr>
        <w:t xml:space="preserve">   35.1 本合同一式</w:t>
      </w:r>
      <w:bookmarkStart w:id="210" w:name="合同份数"/>
      <w:r>
        <w:rPr>
          <w:rFonts w:hint="eastAsia" w:ascii="宋体" w:hAnsi="宋体" w:cs="宋体"/>
          <w:b/>
          <w:bCs/>
          <w:highlight w:val="none"/>
          <w:u w:val="single"/>
        </w:rPr>
        <w:t xml:space="preserve">  </w:t>
      </w:r>
      <w:r>
        <w:rPr>
          <w:rFonts w:hint="eastAsia" w:ascii="宋体" w:hAnsi="宋体" w:eastAsia="宋体" w:cs="宋体"/>
          <w:b/>
          <w:bCs/>
          <w:color w:val="000000"/>
          <w:highlight w:val="none"/>
          <w:u w:val="single"/>
          <w:lang w:val="en-US" w:eastAsia="zh-CN"/>
        </w:rPr>
        <w:t>壹拾</w:t>
      </w:r>
      <w:r>
        <w:rPr>
          <w:rFonts w:hint="eastAsia" w:ascii="宋体" w:hAnsi="宋体" w:cs="宋体"/>
          <w:b/>
          <w:bCs/>
          <w:highlight w:val="none"/>
          <w:u w:val="single"/>
        </w:rPr>
        <w:t xml:space="preserve">   </w:t>
      </w:r>
      <w:r>
        <w:rPr>
          <w:rFonts w:hint="eastAsia" w:ascii="宋体" w:hAnsi="宋体" w:cs="宋体"/>
          <w:highlight w:val="none"/>
        </w:rPr>
        <w:t>份，</w:t>
      </w:r>
      <w:r>
        <w:rPr>
          <w:rFonts w:hint="eastAsia" w:ascii="宋体" w:hAnsi="宋体" w:cs="宋体"/>
          <w:highlight w:val="none"/>
          <w:lang w:val="en-US" w:eastAsia="zh-CN"/>
        </w:rPr>
        <w:t>甲方</w:t>
      </w:r>
      <w:r>
        <w:rPr>
          <w:rFonts w:hint="eastAsia" w:ascii="宋体" w:hAnsi="宋体" w:cs="宋体"/>
          <w:b/>
          <w:bCs/>
          <w:highlight w:val="none"/>
          <w:u w:val="single"/>
        </w:rPr>
        <w:t xml:space="preserve">  </w:t>
      </w:r>
      <w:r>
        <w:rPr>
          <w:rFonts w:hint="eastAsia" w:ascii="宋体" w:hAnsi="宋体" w:eastAsia="宋体" w:cs="宋体"/>
          <w:b/>
          <w:bCs/>
          <w:color w:val="000000"/>
          <w:highlight w:val="none"/>
          <w:u w:val="single"/>
          <w:lang w:val="en-US" w:eastAsia="zh-CN"/>
        </w:rPr>
        <w:t>陆</w:t>
      </w:r>
      <w:r>
        <w:rPr>
          <w:rFonts w:hint="eastAsia" w:ascii="宋体" w:hAnsi="宋体" w:cs="宋体"/>
          <w:b/>
          <w:bCs/>
          <w:highlight w:val="none"/>
          <w:u w:val="single"/>
        </w:rPr>
        <w:t xml:space="preserve">  </w:t>
      </w:r>
      <w:r>
        <w:rPr>
          <w:rFonts w:hint="eastAsia" w:ascii="宋体" w:hAnsi="宋体" w:cs="宋体"/>
          <w:highlight w:val="none"/>
        </w:rPr>
        <w:t>份，</w:t>
      </w:r>
      <w:r>
        <w:rPr>
          <w:rFonts w:hint="eastAsia" w:ascii="宋体" w:hAnsi="宋体" w:cs="宋体"/>
          <w:highlight w:val="none"/>
          <w:lang w:val="en-US" w:eastAsia="zh-CN"/>
        </w:rPr>
        <w:t>乙方</w:t>
      </w:r>
      <w:r>
        <w:rPr>
          <w:rFonts w:hint="eastAsia" w:ascii="宋体" w:hAnsi="宋体" w:cs="宋体"/>
          <w:b/>
          <w:bCs/>
          <w:highlight w:val="none"/>
          <w:u w:val="single"/>
        </w:rPr>
        <w:t xml:space="preserve">  </w:t>
      </w:r>
      <w:r>
        <w:rPr>
          <w:rFonts w:hint="eastAsia" w:ascii="宋体" w:hAnsi="宋体" w:eastAsia="宋体" w:cs="宋体"/>
          <w:b/>
          <w:bCs/>
          <w:color w:val="000000"/>
          <w:highlight w:val="none"/>
          <w:u w:val="single"/>
          <w:lang w:val="en-US" w:eastAsia="zh-CN"/>
        </w:rPr>
        <w:t>肆</w:t>
      </w:r>
      <w:r>
        <w:rPr>
          <w:rFonts w:hint="eastAsia" w:ascii="宋体" w:hAnsi="宋体" w:cs="宋体"/>
          <w:b/>
          <w:bCs/>
          <w:highlight w:val="none"/>
          <w:u w:val="single"/>
        </w:rPr>
        <w:t xml:space="preserve">  </w:t>
      </w:r>
      <w:r>
        <w:rPr>
          <w:rFonts w:hint="eastAsia" w:ascii="宋体" w:hAnsi="宋体" w:cs="宋体"/>
          <w:highlight w:val="none"/>
        </w:rPr>
        <w:t>份</w:t>
      </w:r>
      <w:bookmarkEnd w:id="210"/>
      <w:r>
        <w:rPr>
          <w:rFonts w:hint="eastAsia" w:ascii="宋体" w:hAnsi="宋体" w:cs="宋体"/>
          <w:highlight w:val="none"/>
        </w:rPr>
        <w:t>，均具有同等法律效力。</w:t>
      </w:r>
    </w:p>
    <w:p w14:paraId="24F0E8C0">
      <w:pPr>
        <w:pStyle w:val="4"/>
        <w:spacing w:before="0" w:after="0" w:line="360" w:lineRule="auto"/>
        <w:ind w:firstLine="653"/>
        <w:rPr>
          <w:rFonts w:ascii="宋体" w:hAnsi="宋体" w:cs="宋体"/>
          <w:highlight w:val="none"/>
        </w:rPr>
      </w:pPr>
      <w:r>
        <w:rPr>
          <w:rFonts w:hint="eastAsia" w:ascii="宋体" w:hAnsi="宋体" w:cs="宋体"/>
          <w:highlight w:val="none"/>
        </w:rPr>
        <w:t>36、补充条款</w:t>
      </w:r>
    </w:p>
    <w:p w14:paraId="2CA591DC">
      <w:pPr>
        <w:spacing w:line="360" w:lineRule="auto"/>
        <w:ind w:firstLine="420"/>
        <w:rPr>
          <w:rFonts w:ascii="宋体" w:hAnsi="宋体" w:cs="宋体"/>
          <w:szCs w:val="22"/>
          <w:highlight w:val="none"/>
          <w:u w:val="single"/>
        </w:rPr>
      </w:pPr>
      <w:r>
        <w:rPr>
          <w:rFonts w:hint="eastAsia" w:ascii="宋体" w:hAnsi="宋体" w:cs="宋体"/>
          <w:szCs w:val="22"/>
          <w:highlight w:val="none"/>
          <w:u w:val="single"/>
        </w:rPr>
        <w:t>36.1乙方应充分考虑到在节假日、国家和省、市内重大活动期间以及在甲方需要的时间段内，可能会对施工作出某些限制和配合要求，乙方应予服从并按要求做出必要的配合，这可能会降低乙方的施工工效，甲方不会为此额外另增加费用支付且工期不得顺延，视同乙方在报价时已对此进行充分考虑。</w:t>
      </w:r>
    </w:p>
    <w:p w14:paraId="0B4D9025">
      <w:pPr>
        <w:spacing w:line="360" w:lineRule="auto"/>
        <w:ind w:firstLine="420"/>
        <w:rPr>
          <w:rFonts w:ascii="宋体" w:hAnsi="宋体" w:cs="宋体"/>
          <w:szCs w:val="22"/>
          <w:highlight w:val="none"/>
          <w:u w:val="single"/>
        </w:rPr>
      </w:pPr>
      <w:r>
        <w:rPr>
          <w:rFonts w:hint="eastAsia" w:ascii="宋体" w:hAnsi="宋体" w:cs="宋体"/>
          <w:szCs w:val="22"/>
          <w:highlight w:val="none"/>
          <w:u w:val="single"/>
        </w:rPr>
        <w:t>36.2所有废水、污水应按批准的方法处理后排入排污系统，不得污染环境，否则，由此而引起的后果由乙方自行负责。所有的施工垃圾应按照批准的方法运往批准的地点进行处理，生活垃圾应按照城市规定每天集中，纳入城市垃圾处理系统。</w:t>
      </w:r>
    </w:p>
    <w:p w14:paraId="4AB26219">
      <w:pPr>
        <w:spacing w:line="360" w:lineRule="auto"/>
        <w:ind w:firstLine="420"/>
        <w:rPr>
          <w:rFonts w:ascii="宋体" w:hAnsi="宋体" w:cs="宋体"/>
          <w:szCs w:val="22"/>
          <w:highlight w:val="none"/>
          <w:u w:val="single"/>
        </w:rPr>
      </w:pPr>
      <w:r>
        <w:rPr>
          <w:rFonts w:hint="eastAsia" w:ascii="宋体" w:hAnsi="宋体" w:cs="宋体"/>
          <w:szCs w:val="22"/>
          <w:highlight w:val="none"/>
          <w:u w:val="single"/>
        </w:rPr>
        <w:t>36.3工程施工期间，应控制噪音对环境的影响，乙方必须满足国家和市有关法规要求。在选择施工设施、设备时，乙方必须考虑由此产生的噪声对乙方的劳动力和周围地区居民的影响，由于施工噪声引起的任何民事纠纷由乙方负责解决。</w:t>
      </w:r>
    </w:p>
    <w:p w14:paraId="32C83ACC">
      <w:pPr>
        <w:spacing w:line="360" w:lineRule="auto"/>
        <w:ind w:firstLine="420"/>
        <w:rPr>
          <w:rFonts w:ascii="宋体" w:hAnsi="宋体" w:cs="宋体"/>
          <w:szCs w:val="22"/>
          <w:highlight w:val="none"/>
          <w:u w:val="single"/>
        </w:rPr>
      </w:pPr>
      <w:r>
        <w:rPr>
          <w:rFonts w:hint="eastAsia" w:ascii="宋体" w:hAnsi="宋体" w:cs="宋体"/>
          <w:szCs w:val="22"/>
          <w:highlight w:val="none"/>
          <w:u w:val="single"/>
        </w:rPr>
        <w:t>36.4由于强夯或其他工作所产生的震动不得影响周围建筑物的安全，不得破坏有关单位精密仪器设备的正常精度以及居民的身体健康。由于施工震动引起的任何民事纠纷由乙方负责解决。如震动超过极限值时，监理工程师可批示乙方改变其施工方法，使其符合有关规定。</w:t>
      </w:r>
    </w:p>
    <w:p w14:paraId="30B1A05E">
      <w:pPr>
        <w:spacing w:line="360" w:lineRule="auto"/>
        <w:ind w:firstLine="420"/>
        <w:rPr>
          <w:rFonts w:ascii="宋体" w:hAnsi="宋体" w:cs="宋体"/>
          <w:szCs w:val="22"/>
          <w:highlight w:val="none"/>
          <w:u w:val="single"/>
        </w:rPr>
      </w:pPr>
      <w:r>
        <w:rPr>
          <w:rFonts w:hint="eastAsia" w:ascii="宋体" w:hAnsi="宋体" w:cs="宋体"/>
          <w:szCs w:val="22"/>
          <w:highlight w:val="none"/>
          <w:u w:val="single"/>
        </w:rPr>
        <w:t>36.5乙方已在合同价中计入了本工程场地条件以及本工程周围地形、地貌、水文、地质、地下管线、交通道路、工期等风险费用。在整个工程施工期间乙方不得就上述条件的变化提出任何额外费用或延长竣工日期的要求。</w:t>
      </w:r>
    </w:p>
    <w:p w14:paraId="77CB3515">
      <w:pPr>
        <w:spacing w:line="360" w:lineRule="auto"/>
        <w:ind w:firstLine="420"/>
        <w:rPr>
          <w:rFonts w:ascii="宋体" w:hAnsi="宋体" w:cs="宋体"/>
          <w:szCs w:val="22"/>
          <w:highlight w:val="none"/>
          <w:u w:val="single"/>
        </w:rPr>
      </w:pPr>
      <w:r>
        <w:rPr>
          <w:rFonts w:hint="eastAsia" w:ascii="宋体" w:hAnsi="宋体" w:cs="宋体"/>
          <w:szCs w:val="22"/>
          <w:highlight w:val="none"/>
          <w:u w:val="single"/>
        </w:rPr>
        <w:t>36.6无论任何时期，甲方有权在本合同所属工程范围内根据整个项目的实际施工进度，将工程分阶段开工与竣工。乙方已被视为在报价中考虑此因素。</w:t>
      </w:r>
    </w:p>
    <w:p w14:paraId="0F3577BB">
      <w:pPr>
        <w:spacing w:line="360" w:lineRule="auto"/>
        <w:ind w:firstLine="420"/>
        <w:rPr>
          <w:rFonts w:ascii="宋体" w:hAnsi="宋体" w:cs="宋体"/>
          <w:szCs w:val="22"/>
          <w:highlight w:val="none"/>
          <w:u w:val="single"/>
        </w:rPr>
      </w:pPr>
      <w:r>
        <w:rPr>
          <w:rFonts w:hint="eastAsia" w:ascii="宋体" w:hAnsi="宋体" w:cs="宋体"/>
          <w:szCs w:val="22"/>
          <w:highlight w:val="none"/>
          <w:u w:val="single"/>
        </w:rPr>
        <w:t>36.7乙方应将施工中产生的多余建筑垃圾清运出场，其外运堆放场地及运距由乙方事先勘察现场情况进行考虑确定，费用包括在合同总价中，以后无论如何变化均不作调整。因乙方倾倒地点和处置方法不妥或运输途中泥土废渣掉落受到有关部门的处罚均由乙方自行承担。若乙方清除现场土方、垃圾不及时，甲方有权另请他人清除现场土方及垃圾，由此产生的费用由甲方直接从乙方的工程款中扣除，乙方不得对甲方代付的费用金额提出任何异议。</w:t>
      </w:r>
    </w:p>
    <w:p w14:paraId="0B0B257D">
      <w:pPr>
        <w:spacing w:line="360" w:lineRule="auto"/>
        <w:ind w:firstLine="420"/>
        <w:rPr>
          <w:rFonts w:ascii="宋体" w:hAnsi="宋体" w:cs="宋体"/>
          <w:szCs w:val="22"/>
          <w:highlight w:val="none"/>
          <w:u w:val="single"/>
        </w:rPr>
      </w:pPr>
      <w:r>
        <w:rPr>
          <w:rFonts w:hint="eastAsia" w:ascii="宋体" w:hAnsi="宋体" w:cs="宋体"/>
          <w:szCs w:val="22"/>
          <w:highlight w:val="none"/>
          <w:u w:val="single"/>
        </w:rPr>
        <w:t>36.8乙方应遵守当地政府有关主管部门对施工场地及城市道路、周边建筑排污、渣土、环保（含施工噪音、施工粉尘）、环卫、市容、城建、治安、交管、人口管理以及安全生产等的管理规定，按政府及有关主管部门规定缴纳上述各项费用，办理相关手续，并以书面形式将办理结果通知甲方。此费用已包含在合同价款中。</w:t>
      </w:r>
    </w:p>
    <w:p w14:paraId="7E4A8E16">
      <w:pPr>
        <w:spacing w:line="360" w:lineRule="auto"/>
        <w:ind w:firstLine="420"/>
        <w:rPr>
          <w:rFonts w:ascii="宋体" w:hAnsi="宋体" w:cs="宋体"/>
          <w:szCs w:val="22"/>
          <w:highlight w:val="none"/>
          <w:u w:val="single"/>
        </w:rPr>
      </w:pPr>
      <w:r>
        <w:rPr>
          <w:rFonts w:hint="eastAsia" w:ascii="宋体" w:hAnsi="宋体" w:cs="宋体"/>
          <w:szCs w:val="22"/>
          <w:highlight w:val="none"/>
          <w:u w:val="single"/>
        </w:rPr>
        <w:t>36.9本合同价中应包括防洪、防风、暴雨措施所需要的一切费用。</w:t>
      </w:r>
    </w:p>
    <w:p w14:paraId="74A0E27D">
      <w:pPr>
        <w:spacing w:line="360" w:lineRule="auto"/>
        <w:ind w:firstLine="420"/>
        <w:rPr>
          <w:rFonts w:ascii="宋体" w:hAnsi="宋体" w:cs="宋体"/>
          <w:szCs w:val="22"/>
          <w:highlight w:val="none"/>
          <w:u w:val="single"/>
        </w:rPr>
      </w:pPr>
      <w:r>
        <w:rPr>
          <w:rFonts w:hint="eastAsia" w:ascii="宋体" w:hAnsi="宋体" w:cs="宋体"/>
          <w:szCs w:val="22"/>
          <w:highlight w:val="none"/>
          <w:u w:val="single"/>
        </w:rPr>
        <w:t>36.10施工过程中与周围发生的纠纷由乙方自行协商解决，费用由乙方自理，该费用应包含在合同价中。</w:t>
      </w:r>
    </w:p>
    <w:p w14:paraId="464F81FE">
      <w:pPr>
        <w:spacing w:line="360" w:lineRule="auto"/>
        <w:ind w:firstLine="420"/>
        <w:rPr>
          <w:rFonts w:ascii="宋体" w:hAnsi="宋体" w:cs="宋体"/>
          <w:szCs w:val="22"/>
          <w:highlight w:val="none"/>
          <w:u w:val="single"/>
        </w:rPr>
      </w:pPr>
      <w:r>
        <w:rPr>
          <w:rFonts w:hint="eastAsia" w:ascii="宋体" w:hAnsi="宋体" w:cs="宋体"/>
          <w:szCs w:val="22"/>
          <w:highlight w:val="none"/>
          <w:u w:val="single"/>
        </w:rPr>
        <w:t>36.11如乙方转包或分包的行为造成甲方被第三方起诉、提起仲裁的，甲方因此受到的损失由乙方承担，且乙方应向甲方支付第三方诉求金额10%的违约金。甲方有权将乙方列入不良资信名单，并向相关行政主管部门举报。</w:t>
      </w:r>
    </w:p>
    <w:p w14:paraId="47315D48">
      <w:pPr>
        <w:spacing w:line="360" w:lineRule="auto"/>
        <w:ind w:firstLine="420"/>
        <w:rPr>
          <w:rFonts w:ascii="宋体" w:hAnsi="宋体" w:cs="宋体"/>
          <w:szCs w:val="22"/>
          <w:highlight w:val="none"/>
          <w:u w:val="single"/>
        </w:rPr>
      </w:pPr>
      <w:r>
        <w:rPr>
          <w:rFonts w:hint="eastAsia" w:ascii="宋体" w:hAnsi="宋体" w:cs="宋体"/>
          <w:szCs w:val="22"/>
          <w:highlight w:val="none"/>
          <w:u w:val="single"/>
        </w:rPr>
        <w:t>36.12乙方送审结算核减率应小于5%(含5%)，该部分的审计费用由甲方支付，若乙方送审结算核减率大于5%，超出部分的审计费用由乙方支付，并在结算款中扣除。甲方上级单位可以对分包结算成果进行抽查，已审定结算价款经二次抽查有核减的，甲方可依据二次抽查结算价款对已审定的分包结算价款进行调整。如果甲方上级单位对分包结算二次抽查扣减金额大于分包剩余尾款的，甲方有权追回超付工程款，乙方须无条件配合。</w:t>
      </w:r>
    </w:p>
    <w:p w14:paraId="2B41CEEB">
      <w:pPr>
        <w:spacing w:line="360" w:lineRule="auto"/>
        <w:ind w:firstLine="420"/>
        <w:rPr>
          <w:rFonts w:ascii="宋体" w:hAnsi="宋体" w:cs="宋体"/>
          <w:szCs w:val="22"/>
          <w:highlight w:val="none"/>
          <w:u w:val="single"/>
        </w:rPr>
      </w:pPr>
      <w:r>
        <w:rPr>
          <w:rFonts w:hint="eastAsia" w:ascii="宋体" w:hAnsi="宋体" w:cs="宋体"/>
          <w:szCs w:val="22"/>
          <w:highlight w:val="none"/>
          <w:u w:val="single"/>
        </w:rPr>
        <w:t>36.13如乙方原因引发社会矛盾或其他争议纠纷给甲方造成不良影响或损失的，乙方应积极处理解决社会矛盾，消除不良影响，并承担因此给甲方造成的损失，甲方根据情况不同有权扣除乙方总合同价款1%-5%的违约金。甲方视情况扣减乙方行业履约信誉分值，情况严重者将乙方列入不良资信名单，并向相关行政主管部门举报。</w:t>
      </w:r>
    </w:p>
    <w:p w14:paraId="326D9BA6">
      <w:pPr>
        <w:spacing w:line="360" w:lineRule="auto"/>
        <w:ind w:firstLine="420"/>
        <w:rPr>
          <w:rFonts w:ascii="宋体" w:hAnsi="宋体" w:cs="宋体"/>
          <w:szCs w:val="22"/>
          <w:highlight w:val="none"/>
          <w:u w:val="single"/>
        </w:rPr>
      </w:pPr>
      <w:r>
        <w:rPr>
          <w:rFonts w:hint="eastAsia" w:ascii="宋体" w:hAnsi="宋体" w:cs="宋体"/>
          <w:szCs w:val="22"/>
          <w:highlight w:val="none"/>
          <w:u w:val="single"/>
        </w:rPr>
        <w:t>36.14本工程临时设施等相关内容须按甲方房建工程安全防护标准化图册搭设，具体以甲方要求执行，相关费用已包括在合同价款中，临时设施方案需预先经甲方项目经理审批同意后方可实施，临时设施如未按照我公司标准化图册要求执行，每次、每项乙方支付违约金5000元。</w:t>
      </w:r>
    </w:p>
    <w:p w14:paraId="33A77EA2">
      <w:pPr>
        <w:spacing w:line="360" w:lineRule="auto"/>
        <w:ind w:firstLine="420"/>
        <w:rPr>
          <w:rFonts w:ascii="宋体" w:hAnsi="宋体" w:cs="宋体"/>
          <w:szCs w:val="22"/>
          <w:highlight w:val="none"/>
          <w:u w:val="single"/>
        </w:rPr>
      </w:pPr>
      <w:r>
        <w:rPr>
          <w:rFonts w:hint="eastAsia" w:ascii="宋体" w:hAnsi="宋体" w:cs="宋体"/>
          <w:szCs w:val="22"/>
          <w:highlight w:val="none"/>
          <w:u w:val="single"/>
        </w:rPr>
        <w:t xml:space="preserve">36.15如果乙方发生下述情况之一，甲方可向乙方发出解除合同的书面形式通知，并相应的通知监理人。如果在乙方收到甲方发出的上述通知后14天内仍然持续该等过失，则甲方有权解除本合同，并强制清场： </w:t>
      </w:r>
    </w:p>
    <w:p w14:paraId="781205CA">
      <w:pPr>
        <w:spacing w:line="360" w:lineRule="auto"/>
        <w:ind w:firstLine="420"/>
        <w:rPr>
          <w:rFonts w:ascii="宋体" w:hAnsi="宋体" w:cs="宋体"/>
          <w:szCs w:val="22"/>
          <w:highlight w:val="none"/>
          <w:u w:val="single"/>
        </w:rPr>
      </w:pPr>
      <w:r>
        <w:rPr>
          <w:rFonts w:hint="eastAsia" w:ascii="宋体" w:hAnsi="宋体" w:cs="宋体"/>
          <w:szCs w:val="22"/>
          <w:highlight w:val="none"/>
          <w:u w:val="single"/>
        </w:rPr>
        <w:t>36.16投入雾炮车、喷淋系统，确保施工现场无扬尘污染，施工现场湿法作业，裸土覆盖。严格按照“六个百分百要求”施工，相关费用已包括在投标报价中。</w:t>
      </w:r>
    </w:p>
    <w:p w14:paraId="708B3205">
      <w:pPr>
        <w:spacing w:line="360" w:lineRule="auto"/>
        <w:ind w:firstLine="420"/>
        <w:rPr>
          <w:rFonts w:ascii="宋体" w:hAnsi="宋体" w:cs="宋体"/>
          <w:szCs w:val="22"/>
          <w:highlight w:val="none"/>
          <w:u w:val="single"/>
        </w:rPr>
      </w:pPr>
      <w:r>
        <w:rPr>
          <w:rFonts w:hint="eastAsia" w:ascii="宋体" w:hAnsi="宋体" w:cs="宋体"/>
          <w:szCs w:val="22"/>
          <w:highlight w:val="none"/>
          <w:u w:val="single"/>
        </w:rPr>
        <w:t>36.17乙方必须配合甲方按徐圩新区要求办理农民工实名制登记，并保证每月按时支付农民工工资，若发生一次农民工上访讨薪等社会不良影响，乙方每次支付违约金10000元。</w:t>
      </w:r>
    </w:p>
    <w:p w14:paraId="5DB2A8C1">
      <w:pPr>
        <w:spacing w:line="360" w:lineRule="auto"/>
        <w:ind w:firstLine="420"/>
        <w:rPr>
          <w:rFonts w:ascii="宋体" w:hAnsi="宋体" w:cs="宋体"/>
          <w:szCs w:val="22"/>
          <w:highlight w:val="none"/>
          <w:u w:val="single"/>
        </w:rPr>
      </w:pPr>
      <w:r>
        <w:rPr>
          <w:rFonts w:hint="eastAsia" w:ascii="宋体" w:hAnsi="宋体" w:cs="宋体"/>
          <w:szCs w:val="22"/>
          <w:highlight w:val="none"/>
          <w:u w:val="single"/>
        </w:rPr>
        <w:t>36.18如果乙方发生下述情况之一，甲方可向乙方发出解除合同的书面形式通知，并相应的通知监理人。如果在乙方收到甲方发出的上述通知后14天内仍然持续该等过失，则甲方有权解除本合同，并强制清场：</w:t>
      </w:r>
    </w:p>
    <w:p w14:paraId="43F83F0C">
      <w:pPr>
        <w:spacing w:line="360" w:lineRule="auto"/>
        <w:ind w:firstLine="420"/>
        <w:rPr>
          <w:rFonts w:ascii="宋体" w:hAnsi="宋体" w:cs="宋体"/>
          <w:szCs w:val="22"/>
          <w:highlight w:val="none"/>
          <w:u w:val="single"/>
        </w:rPr>
      </w:pPr>
      <w:r>
        <w:rPr>
          <w:rFonts w:hint="eastAsia" w:ascii="宋体" w:hAnsi="宋体" w:cs="宋体"/>
          <w:szCs w:val="22"/>
          <w:highlight w:val="none"/>
          <w:u w:val="single"/>
        </w:rPr>
        <w:t xml:space="preserve">①明确表示或者以行为表明不履行合同主要义务，又不遵照甲方的要求，在约定的合理时间内改正此类过失或违约行为；  </w:t>
      </w:r>
    </w:p>
    <w:p w14:paraId="3B8418B6">
      <w:pPr>
        <w:spacing w:line="360" w:lineRule="auto"/>
        <w:ind w:firstLine="420"/>
        <w:rPr>
          <w:rFonts w:ascii="宋体" w:hAnsi="宋体" w:cs="宋体"/>
          <w:szCs w:val="22"/>
          <w:highlight w:val="none"/>
          <w:u w:val="single"/>
        </w:rPr>
      </w:pPr>
      <w:r>
        <w:rPr>
          <w:rFonts w:hint="eastAsia" w:ascii="宋体" w:hAnsi="宋体" w:cs="宋体"/>
          <w:szCs w:val="22"/>
          <w:highlight w:val="none"/>
          <w:u w:val="single"/>
        </w:rPr>
        <w:t>② 无正当理由而未能进场开工，又不能遵照甲方要求在约定的合理时间内改正此类过失或违约行为；</w:t>
      </w:r>
    </w:p>
    <w:p w14:paraId="17AD6C8B">
      <w:pPr>
        <w:spacing w:line="360" w:lineRule="auto"/>
        <w:ind w:firstLine="420"/>
        <w:rPr>
          <w:rFonts w:ascii="宋体" w:hAnsi="宋体" w:cs="宋体"/>
          <w:szCs w:val="22"/>
          <w:highlight w:val="none"/>
          <w:u w:val="single"/>
        </w:rPr>
      </w:pPr>
      <w:r>
        <w:rPr>
          <w:rFonts w:hint="eastAsia" w:ascii="宋体" w:hAnsi="宋体" w:cs="宋体"/>
          <w:szCs w:val="22"/>
          <w:highlight w:val="none"/>
          <w:u w:val="single"/>
        </w:rPr>
        <w:t xml:space="preserve">③工程材料、设备、工艺质量或工程不符合本竞争性谈判文件的规定及本合同约定的，乙方未能在收到甲方通知和指令后14天内进行调换或重新施工的； </w:t>
      </w:r>
    </w:p>
    <w:p w14:paraId="0CFBD29C">
      <w:pPr>
        <w:spacing w:line="360" w:lineRule="auto"/>
        <w:ind w:firstLine="420"/>
        <w:rPr>
          <w:rFonts w:ascii="宋体" w:hAnsi="宋体" w:cs="宋体"/>
          <w:szCs w:val="22"/>
          <w:highlight w:val="none"/>
          <w:u w:val="single"/>
        </w:rPr>
      </w:pPr>
      <w:r>
        <w:rPr>
          <w:rFonts w:hint="eastAsia" w:ascii="宋体" w:hAnsi="宋体" w:cs="宋体"/>
          <w:szCs w:val="22"/>
          <w:highlight w:val="none"/>
          <w:u w:val="single"/>
        </w:rPr>
        <w:t xml:space="preserve">④将承包的建设工程转包、违法分包的，转包及违法分包的认定执行2008 年12月17日通过的《江苏省高级人民法院关于审理建设工程施工合同纠纷案件若干问题的意见》的相关规定； </w:t>
      </w:r>
    </w:p>
    <w:p w14:paraId="13A824F5">
      <w:pPr>
        <w:spacing w:line="360" w:lineRule="auto"/>
        <w:ind w:firstLine="420"/>
        <w:rPr>
          <w:rFonts w:ascii="宋体" w:hAnsi="宋体" w:cs="宋体"/>
          <w:szCs w:val="22"/>
          <w:highlight w:val="none"/>
          <w:u w:val="single"/>
        </w:rPr>
      </w:pPr>
      <w:r>
        <w:rPr>
          <w:rFonts w:hint="eastAsia" w:ascii="宋体" w:hAnsi="宋体" w:cs="宋体"/>
          <w:szCs w:val="22"/>
          <w:highlight w:val="none"/>
          <w:u w:val="single"/>
        </w:rPr>
        <w:t xml:space="preserve">⑤已完成的建设工程质量不合格，并拒绝修复的； </w:t>
      </w:r>
    </w:p>
    <w:p w14:paraId="573F8D37">
      <w:pPr>
        <w:spacing w:line="360" w:lineRule="auto"/>
        <w:ind w:firstLine="420"/>
        <w:rPr>
          <w:rFonts w:ascii="宋体" w:hAnsi="宋体" w:cs="宋体"/>
          <w:szCs w:val="22"/>
          <w:highlight w:val="none"/>
          <w:u w:val="single"/>
        </w:rPr>
      </w:pPr>
      <w:r>
        <w:rPr>
          <w:rFonts w:hint="eastAsia" w:ascii="宋体" w:hAnsi="宋体" w:cs="宋体"/>
          <w:szCs w:val="22"/>
          <w:highlight w:val="none"/>
          <w:u w:val="single"/>
        </w:rPr>
        <w:t>⑥违反建设及相关部门关于安全防护、文明施工和环境保护工作的要求。</w:t>
      </w:r>
    </w:p>
    <w:p w14:paraId="4B85E1C9">
      <w:pPr>
        <w:spacing w:line="360" w:lineRule="auto"/>
        <w:ind w:firstLine="420"/>
        <w:rPr>
          <w:rFonts w:ascii="宋体" w:hAnsi="宋体" w:cs="宋体"/>
          <w:szCs w:val="22"/>
          <w:highlight w:val="none"/>
          <w:u w:val="single"/>
        </w:rPr>
      </w:pPr>
      <w:r>
        <w:rPr>
          <w:rFonts w:hint="eastAsia" w:ascii="宋体" w:hAnsi="宋体" w:cs="宋体"/>
          <w:szCs w:val="22"/>
          <w:highlight w:val="none"/>
          <w:u w:val="single"/>
        </w:rPr>
        <w:t>如果乙方破产、无力偿还债务、发生非重组重建或合并时、失去政府所颁发的实施本合同工作所必须的资质或资格，则甲方有权立即解除本合同。</w:t>
      </w:r>
    </w:p>
    <w:p w14:paraId="4EE57B40">
      <w:pPr>
        <w:spacing w:line="360" w:lineRule="auto"/>
        <w:ind w:firstLine="420"/>
        <w:rPr>
          <w:rFonts w:ascii="宋体" w:hAnsi="宋体" w:cs="宋体"/>
          <w:szCs w:val="22"/>
          <w:highlight w:val="none"/>
          <w:u w:val="single"/>
        </w:rPr>
      </w:pPr>
      <w:r>
        <w:rPr>
          <w:rFonts w:hint="eastAsia" w:ascii="宋体" w:hAnsi="宋体" w:cs="宋体"/>
          <w:szCs w:val="22"/>
          <w:highlight w:val="none"/>
          <w:u w:val="single"/>
        </w:rPr>
        <w:t>36.19在扬尘防治和安全文明施工方面被甲方层面通报的计取违约金5000元/次，被集团公司层面通报的计取违约金1万元/次，被管委会层面通报的计取违约金3万元/次，被市级及以上相关部门通报的计取违约金5万元/次。同种类型的安全隐患被上述部门累计通报两次的，计取违约金为合同总价中安全文明费用的1%；出现重大安全隐患被上述部门发现并通报的，计取违约金为合同总价中安全文明费用的1%。</w:t>
      </w:r>
    </w:p>
    <w:p w14:paraId="6B428436">
      <w:pPr>
        <w:spacing w:line="360" w:lineRule="auto"/>
        <w:ind w:firstLine="420"/>
        <w:rPr>
          <w:rFonts w:ascii="宋体" w:hAnsi="宋体" w:cs="宋体"/>
          <w:szCs w:val="22"/>
          <w:highlight w:val="none"/>
          <w:u w:val="single"/>
        </w:rPr>
      </w:pPr>
      <w:r>
        <w:rPr>
          <w:rFonts w:hint="eastAsia" w:ascii="宋体" w:hAnsi="宋体" w:cs="宋体"/>
          <w:szCs w:val="22"/>
          <w:highlight w:val="none"/>
          <w:u w:val="single"/>
        </w:rPr>
        <w:t>36.21本项目结算执行《</w:t>
      </w:r>
      <w:bookmarkStart w:id="211" w:name="结算执行"/>
      <w:r>
        <w:rPr>
          <w:rFonts w:hint="eastAsia" w:ascii="宋体" w:hAnsi="宋体" w:cs="宋体"/>
          <w:szCs w:val="22"/>
          <w:highlight w:val="none"/>
          <w:u w:val="single"/>
          <w:lang w:val="en-US" w:eastAsia="zh-CN"/>
        </w:rPr>
        <w:t xml:space="preserve"> </w:t>
      </w:r>
      <w:r>
        <w:rPr>
          <w:rFonts w:hint="eastAsia" w:ascii="Times New Roman" w:hAnsi="Times New Roman" w:eastAsia="宋体" w:cs="宋体"/>
          <w:highlight w:val="none"/>
          <w:u w:val="single"/>
          <w:shd w:val="clear" w:color="auto" w:fill="auto"/>
          <w:lang w:eastAsia="zh-CN"/>
        </w:rPr>
        <w:t>连云港徐圩城建工程有限公司工程分包结算审计管理办法（修订）</w:t>
      </w:r>
      <w:r>
        <w:rPr>
          <w:rFonts w:hint="eastAsia" w:ascii="宋体" w:hAnsi="宋体" w:cs="宋体"/>
          <w:szCs w:val="22"/>
          <w:highlight w:val="none"/>
          <w:u w:val="single"/>
          <w:lang w:val="en-US" w:eastAsia="zh-CN"/>
        </w:rPr>
        <w:t xml:space="preserve"> </w:t>
      </w:r>
      <w:bookmarkEnd w:id="211"/>
      <w:r>
        <w:rPr>
          <w:rFonts w:hint="eastAsia" w:ascii="宋体" w:hAnsi="宋体" w:cs="宋体"/>
          <w:szCs w:val="22"/>
          <w:highlight w:val="none"/>
          <w:u w:val="single"/>
        </w:rPr>
        <w:t>》，结算的送审资料须提供分包人结算授权委托书，结算的一切资料需要分包人签字的必须为授权代理人签字。</w:t>
      </w:r>
    </w:p>
    <w:p w14:paraId="09E06B06">
      <w:pPr>
        <w:spacing w:line="360" w:lineRule="auto"/>
        <w:ind w:firstLine="420"/>
        <w:rPr>
          <w:rFonts w:ascii="宋体" w:hAnsi="宋体" w:cs="宋体"/>
          <w:szCs w:val="22"/>
          <w:highlight w:val="none"/>
          <w:u w:val="single"/>
        </w:rPr>
      </w:pPr>
      <w:r>
        <w:rPr>
          <w:rFonts w:hint="eastAsia" w:ascii="宋体" w:hAnsi="宋体" w:cs="宋体"/>
          <w:szCs w:val="22"/>
          <w:highlight w:val="none"/>
          <w:u w:val="single"/>
        </w:rPr>
        <w:t>36.22甲方上级单位可以对分包结算成果进行抽查，已审定结算价款经二次抽查有核减的，甲方可依据二次抽查结算价款对已审定的分包结算价款进行调整。如果甲方上级单位对分包结算二次抽查扣减金额大于分包剩余尾款的，甲方有权追回超付工程款，乙方须无条件配合。</w:t>
      </w:r>
    </w:p>
    <w:p w14:paraId="6ED41285">
      <w:pPr>
        <w:spacing w:line="360" w:lineRule="auto"/>
        <w:ind w:firstLine="420"/>
        <w:rPr>
          <w:rFonts w:ascii="宋体" w:hAnsi="宋体" w:cs="宋体"/>
          <w:szCs w:val="22"/>
          <w:highlight w:val="none"/>
          <w:u w:val="single"/>
        </w:rPr>
      </w:pPr>
      <w:r>
        <w:rPr>
          <w:rFonts w:hint="eastAsia" w:ascii="宋体" w:hAnsi="宋体" w:cs="宋体"/>
          <w:szCs w:val="22"/>
          <w:highlight w:val="none"/>
          <w:u w:val="single"/>
        </w:rPr>
        <w:t>36.23所有甲供材料不论多少到场后由乙方指定接收人负责接收并办理手续，遗失或损坏由乙方赔偿；所有甲供材的卸车费、水平垂直运输费、二次周转、仓储、看管费用均包含在投标报价中，同时须无条件配合检查过程当中的搬运；前道工序施工需满足后续施工工序的要求。</w:t>
      </w:r>
    </w:p>
    <w:p w14:paraId="76A3283C">
      <w:pPr>
        <w:spacing w:line="360" w:lineRule="auto"/>
        <w:ind w:firstLine="420"/>
        <w:rPr>
          <w:rFonts w:ascii="宋体" w:hAnsi="宋体" w:cs="宋体"/>
          <w:szCs w:val="22"/>
          <w:highlight w:val="none"/>
          <w:u w:val="single"/>
        </w:rPr>
      </w:pPr>
      <w:r>
        <w:rPr>
          <w:rFonts w:hint="eastAsia" w:ascii="宋体" w:hAnsi="宋体" w:cs="宋体"/>
          <w:szCs w:val="22"/>
          <w:highlight w:val="none"/>
          <w:u w:val="single"/>
        </w:rPr>
        <w:t>36.24乙方须负责甲供材放样、对接材料供应商深化及下料工作，并协助上报甲供材的需求计划，计划中明确规格参数尺寸。</w:t>
      </w:r>
    </w:p>
    <w:p w14:paraId="22AC3E5E">
      <w:pPr>
        <w:spacing w:line="360" w:lineRule="auto"/>
        <w:ind w:firstLine="420"/>
        <w:rPr>
          <w:rFonts w:ascii="宋体" w:hAnsi="宋体" w:cs="宋体"/>
          <w:szCs w:val="22"/>
          <w:highlight w:val="none"/>
          <w:u w:val="single"/>
        </w:rPr>
      </w:pPr>
      <w:r>
        <w:rPr>
          <w:rFonts w:hint="eastAsia" w:ascii="宋体" w:hAnsi="宋体" w:cs="宋体"/>
          <w:szCs w:val="22"/>
          <w:highlight w:val="none"/>
          <w:u w:val="single"/>
        </w:rPr>
        <w:t>36.25本项目要求工完场清，所有涉及的垃圾（含甲供材）由乙方委托有资质的单位集中清运处理（垃圾池自行砌筑），运输车辆需在徐圩政务服务中心进行报备，相关费用包含在投标报价中，否则由采购人自行安排清理，费用由乙方承担并从结算款中扣除；</w:t>
      </w:r>
    </w:p>
    <w:p w14:paraId="5BAC0B23">
      <w:pPr>
        <w:spacing w:line="360" w:lineRule="auto"/>
        <w:ind w:firstLine="420"/>
        <w:rPr>
          <w:rFonts w:ascii="宋体" w:hAnsi="宋体" w:cs="宋体"/>
          <w:szCs w:val="22"/>
          <w:highlight w:val="none"/>
          <w:u w:val="single"/>
        </w:rPr>
      </w:pPr>
      <w:r>
        <w:rPr>
          <w:rFonts w:hint="eastAsia" w:ascii="宋体" w:hAnsi="宋体" w:cs="宋体"/>
          <w:szCs w:val="22"/>
          <w:highlight w:val="none"/>
          <w:u w:val="single"/>
        </w:rPr>
        <w:t>36.26乙方须无条件配合甲方现场各种迎检工作，由此造成的窝工或其他损失，由乙方自行承担。</w:t>
      </w:r>
    </w:p>
    <w:p w14:paraId="5EDA5635">
      <w:pPr>
        <w:spacing w:line="360" w:lineRule="auto"/>
        <w:ind w:firstLine="420"/>
        <w:rPr>
          <w:rFonts w:hint="eastAsia" w:ascii="宋体" w:hAnsi="宋体" w:cs="宋体"/>
          <w:szCs w:val="22"/>
          <w:highlight w:val="none"/>
          <w:u w:val="single"/>
        </w:rPr>
      </w:pPr>
      <w:r>
        <w:rPr>
          <w:rFonts w:hint="eastAsia" w:ascii="宋体" w:hAnsi="宋体" w:cs="宋体"/>
          <w:szCs w:val="22"/>
          <w:highlight w:val="none"/>
          <w:u w:val="single"/>
        </w:rPr>
        <w:t>36.27因乙方原因导致甲方产生的各种罚款，费用由乙方承担。</w:t>
      </w:r>
    </w:p>
    <w:p w14:paraId="0B3397B8">
      <w:pPr>
        <w:spacing w:line="360" w:lineRule="auto"/>
        <w:ind w:firstLine="420"/>
        <w:rPr>
          <w:rFonts w:hint="default" w:ascii="宋体" w:hAnsi="宋体" w:eastAsia="宋体" w:cs="宋体"/>
          <w:szCs w:val="22"/>
          <w:highlight w:val="green"/>
          <w:u w:val="single"/>
          <w:lang w:val="en-US" w:eastAsia="zh-CN"/>
        </w:rPr>
      </w:pPr>
      <w:r>
        <w:rPr>
          <w:rFonts w:hint="eastAsia" w:ascii="宋体" w:hAnsi="宋体" w:cs="宋体"/>
          <w:szCs w:val="22"/>
          <w:highlight w:val="green"/>
          <w:u w:val="single"/>
          <w:lang w:val="en-US" w:eastAsia="zh-CN"/>
        </w:rPr>
        <w:t xml:space="preserve">         </w:t>
      </w:r>
    </w:p>
    <w:p w14:paraId="22051BE3">
      <w:pPr>
        <w:spacing w:line="360" w:lineRule="auto"/>
        <w:ind w:firstLine="420"/>
        <w:rPr>
          <w:rFonts w:ascii="宋体" w:hAnsi="宋体" w:cs="宋体"/>
          <w:highlight w:val="none"/>
        </w:rPr>
      </w:pPr>
      <w:r>
        <w:rPr>
          <w:rFonts w:hint="eastAsia" w:ascii="宋体" w:hAnsi="宋体" w:cs="宋体"/>
          <w:highlight w:val="none"/>
        </w:rPr>
        <w:t>36、合同生效</w:t>
      </w:r>
    </w:p>
    <w:p w14:paraId="0F36DDF7">
      <w:pPr>
        <w:spacing w:line="360" w:lineRule="auto"/>
        <w:ind w:firstLine="420"/>
        <w:rPr>
          <w:rFonts w:ascii="宋体" w:hAnsi="宋体" w:cs="宋体"/>
          <w:highlight w:val="none"/>
        </w:rPr>
      </w:pPr>
      <w:r>
        <w:rPr>
          <w:rFonts w:hint="eastAsia" w:ascii="宋体" w:hAnsi="宋体" w:cs="宋体"/>
          <w:highlight w:val="none"/>
        </w:rPr>
        <w:t xml:space="preserve">    合同订立时间：</w:t>
      </w:r>
      <w:bookmarkStart w:id="212" w:name="合同订立日期2"/>
      <w:r>
        <w:rPr>
          <w:rFonts w:hint="eastAsia" w:ascii="宋体" w:hAnsi="宋体" w:cs="宋体"/>
          <w:highlight w:val="none"/>
          <w:u w:val="single"/>
        </w:rPr>
        <w:t xml:space="preserve">        </w:t>
      </w:r>
      <w:r>
        <w:rPr>
          <w:rFonts w:hint="eastAsia" w:ascii="宋体" w:hAnsi="宋体" w:cs="宋体"/>
          <w:highlight w:val="none"/>
        </w:rPr>
        <w:t>年</w:t>
      </w:r>
      <w:r>
        <w:rPr>
          <w:rFonts w:hint="eastAsia" w:ascii="宋体" w:hAnsi="宋体" w:cs="宋体"/>
          <w:highlight w:val="none"/>
          <w:u w:val="single"/>
        </w:rPr>
        <w:t xml:space="preserve">        </w:t>
      </w:r>
      <w:r>
        <w:rPr>
          <w:rFonts w:hint="eastAsia" w:ascii="宋体" w:hAnsi="宋体" w:cs="宋体"/>
          <w:highlight w:val="none"/>
        </w:rPr>
        <w:t>月</w:t>
      </w:r>
      <w:r>
        <w:rPr>
          <w:rFonts w:hint="eastAsia" w:ascii="宋体" w:hAnsi="宋体" w:cs="宋体"/>
          <w:highlight w:val="none"/>
          <w:u w:val="single"/>
        </w:rPr>
        <w:t xml:space="preserve">      </w:t>
      </w:r>
      <w:r>
        <w:rPr>
          <w:rFonts w:hint="eastAsia" w:ascii="宋体" w:hAnsi="宋体" w:cs="宋体"/>
          <w:highlight w:val="none"/>
        </w:rPr>
        <w:t>日</w:t>
      </w:r>
      <w:bookmarkEnd w:id="212"/>
    </w:p>
    <w:p w14:paraId="4E52BA01">
      <w:pPr>
        <w:spacing w:line="360" w:lineRule="auto"/>
        <w:ind w:firstLine="420"/>
        <w:rPr>
          <w:rFonts w:ascii="宋体" w:hAnsi="宋体" w:cs="宋体"/>
          <w:highlight w:val="none"/>
        </w:rPr>
      </w:pPr>
      <w:r>
        <w:rPr>
          <w:rFonts w:hint="eastAsia" w:ascii="宋体" w:hAnsi="宋体" w:cs="宋体"/>
          <w:highlight w:val="none"/>
        </w:rPr>
        <w:t xml:space="preserve">   </w:t>
      </w:r>
      <w:r>
        <w:rPr>
          <w:rFonts w:hint="eastAsia" w:ascii="宋体" w:hAnsi="宋体" w:cs="宋体"/>
          <w:highlight w:val="red"/>
        </w:rPr>
        <w:t xml:space="preserve"> 合同订立地点：</w:t>
      </w:r>
      <w:r>
        <w:rPr>
          <w:rFonts w:hint="eastAsia" w:ascii="宋体" w:hAnsi="宋体" w:cs="宋体"/>
          <w:highlight w:val="red"/>
          <w:u w:val="single"/>
        </w:rPr>
        <w:t xml:space="preserve">  </w:t>
      </w:r>
      <w:r>
        <w:rPr>
          <w:rFonts w:hint="eastAsia" w:ascii="宋体" w:hAnsi="宋体" w:cs="宋体"/>
          <w:b/>
          <w:bCs/>
          <w:highlight w:val="red"/>
          <w:u w:val="single"/>
        </w:rPr>
        <w:t>连云港市徐圩新区</w:t>
      </w:r>
      <w:r>
        <w:rPr>
          <w:rFonts w:hint="eastAsia" w:ascii="宋体" w:hAnsi="宋体" w:cs="宋体"/>
          <w:highlight w:val="red"/>
          <w:u w:val="single"/>
        </w:rPr>
        <w:t xml:space="preserve">  </w:t>
      </w:r>
      <w:r>
        <w:rPr>
          <w:rFonts w:hint="eastAsia" w:ascii="宋体" w:hAnsi="宋体" w:cs="宋体"/>
          <w:highlight w:val="red"/>
        </w:rPr>
        <w:t xml:space="preserve"> </w:t>
      </w:r>
      <w:r>
        <w:rPr>
          <w:rFonts w:hint="eastAsia" w:ascii="宋体" w:hAnsi="宋体" w:cs="宋体"/>
          <w:highlight w:val="none"/>
        </w:rPr>
        <w:t xml:space="preserve">     </w:t>
      </w:r>
    </w:p>
    <w:p w14:paraId="0157AF4A">
      <w:pPr>
        <w:spacing w:line="360" w:lineRule="auto"/>
        <w:ind w:firstLine="840" w:firstLineChars="400"/>
        <w:rPr>
          <w:rFonts w:ascii="宋体" w:hAnsi="宋体" w:cs="宋体"/>
          <w:highlight w:val="none"/>
        </w:rPr>
      </w:pPr>
      <w:r>
        <w:rPr>
          <w:rFonts w:hint="eastAsia" w:ascii="宋体" w:hAnsi="宋体" w:cs="宋体"/>
          <w:highlight w:val="none"/>
        </w:rPr>
        <w:t>本合同双方约定</w:t>
      </w:r>
      <w:r>
        <w:rPr>
          <w:rFonts w:hint="eastAsia" w:ascii="宋体" w:hAnsi="宋体" w:cs="宋体"/>
          <w:highlight w:val="none"/>
          <w:u w:val="single"/>
        </w:rPr>
        <w:t xml:space="preserve">   签字盖章  </w:t>
      </w:r>
      <w:r>
        <w:rPr>
          <w:rFonts w:hint="eastAsia" w:ascii="宋体" w:hAnsi="宋体" w:cs="宋体"/>
          <w:highlight w:val="none"/>
        </w:rPr>
        <w:t>后生效。</w:t>
      </w:r>
    </w:p>
    <w:p w14:paraId="55F467A6">
      <w:pPr>
        <w:spacing w:line="360" w:lineRule="auto"/>
        <w:ind w:firstLine="420"/>
        <w:rPr>
          <w:rFonts w:ascii="宋体" w:hAnsi="宋体" w:cs="宋体"/>
          <w:bCs/>
          <w:szCs w:val="21"/>
          <w:highlight w:val="none"/>
        </w:rPr>
      </w:pPr>
      <w:r>
        <w:rPr>
          <w:rFonts w:hint="eastAsia" w:ascii="宋体" w:hAnsi="宋体" w:cs="宋体"/>
          <w:bCs/>
          <w:szCs w:val="21"/>
          <w:highlight w:val="none"/>
        </w:rPr>
        <w:t>（以下无正文）</w:t>
      </w:r>
    </w:p>
    <w:p w14:paraId="72C30C99">
      <w:pPr>
        <w:spacing w:line="360" w:lineRule="auto"/>
        <w:ind w:firstLine="420"/>
        <w:rPr>
          <w:rFonts w:ascii="宋体" w:hAnsi="宋体" w:cs="宋体"/>
          <w:bCs/>
          <w:szCs w:val="21"/>
          <w:highlight w:val="none"/>
        </w:rPr>
      </w:pPr>
      <w:r>
        <w:rPr>
          <w:rFonts w:hint="eastAsia" w:ascii="宋体" w:hAnsi="宋体" w:cs="宋体"/>
          <w:bCs/>
          <w:szCs w:val="21"/>
          <w:highlight w:val="none"/>
        </w:rPr>
        <w:t xml:space="preserve">甲方：(盖章)                     乙方：(盖章)                                 </w:t>
      </w:r>
    </w:p>
    <w:p w14:paraId="7DDC4945">
      <w:pPr>
        <w:spacing w:line="360" w:lineRule="auto"/>
        <w:ind w:firstLine="420"/>
        <w:rPr>
          <w:rFonts w:ascii="宋体" w:hAnsi="宋体" w:cs="宋体"/>
          <w:bCs/>
          <w:szCs w:val="21"/>
          <w:highlight w:val="none"/>
        </w:rPr>
      </w:pPr>
    </w:p>
    <w:p w14:paraId="12DA2287">
      <w:pPr>
        <w:spacing w:line="360" w:lineRule="auto"/>
        <w:ind w:firstLine="420"/>
        <w:rPr>
          <w:rFonts w:ascii="宋体" w:hAnsi="宋体" w:cs="宋体"/>
          <w:bCs/>
          <w:szCs w:val="21"/>
          <w:highlight w:val="none"/>
        </w:rPr>
      </w:pPr>
      <w:r>
        <w:rPr>
          <w:rFonts w:hint="eastAsia" w:ascii="宋体" w:hAnsi="宋体" w:cs="宋体"/>
          <w:bCs/>
          <w:szCs w:val="21"/>
          <w:highlight w:val="none"/>
        </w:rPr>
        <w:t>法定代表人或委托代理人：               法定代表人或委托代理人：</w:t>
      </w:r>
    </w:p>
    <w:p w14:paraId="794A8E25">
      <w:pPr>
        <w:spacing w:line="360" w:lineRule="auto"/>
        <w:ind w:firstLine="420"/>
        <w:rPr>
          <w:rFonts w:ascii="宋体" w:hAnsi="宋体" w:cs="宋体"/>
          <w:bCs/>
          <w:szCs w:val="21"/>
          <w:highlight w:val="none"/>
        </w:rPr>
      </w:pPr>
      <w:r>
        <w:rPr>
          <w:rFonts w:hint="eastAsia" w:ascii="宋体" w:hAnsi="宋体" w:cs="宋体"/>
          <w:bCs/>
          <w:szCs w:val="21"/>
          <w:highlight w:val="none"/>
        </w:rPr>
        <w:t xml:space="preserve">（盖章或签字）                          （盖章或签字）                        </w:t>
      </w:r>
    </w:p>
    <w:p w14:paraId="74A9BBB4">
      <w:pPr>
        <w:spacing w:line="360" w:lineRule="auto"/>
        <w:ind w:firstLine="420"/>
        <w:rPr>
          <w:rFonts w:ascii="宋体" w:hAnsi="宋体" w:cs="宋体"/>
          <w:bCs/>
          <w:szCs w:val="21"/>
          <w:highlight w:val="none"/>
        </w:rPr>
      </w:pPr>
      <w:r>
        <w:rPr>
          <w:rFonts w:hint="eastAsia" w:ascii="宋体" w:hAnsi="宋体" w:cs="宋体"/>
          <w:bCs/>
          <w:szCs w:val="21"/>
          <w:highlight w:val="none"/>
        </w:rPr>
        <w:t>项目负责人：</w:t>
      </w:r>
    </w:p>
    <w:tbl>
      <w:tblPr>
        <w:tblStyle w:val="49"/>
        <w:tblW w:w="0" w:type="auto"/>
        <w:tblInd w:w="0" w:type="dxa"/>
        <w:tblLayout w:type="autofit"/>
        <w:tblCellMar>
          <w:top w:w="0" w:type="dxa"/>
          <w:left w:w="108" w:type="dxa"/>
          <w:bottom w:w="0" w:type="dxa"/>
          <w:right w:w="108" w:type="dxa"/>
        </w:tblCellMar>
      </w:tblPr>
      <w:tblGrid>
        <w:gridCol w:w="4569"/>
        <w:gridCol w:w="4435"/>
      </w:tblGrid>
      <w:tr w14:paraId="7CCEAF72">
        <w:tblPrEx>
          <w:tblCellMar>
            <w:top w:w="0" w:type="dxa"/>
            <w:left w:w="108" w:type="dxa"/>
            <w:bottom w:w="0" w:type="dxa"/>
            <w:right w:w="108" w:type="dxa"/>
          </w:tblCellMar>
        </w:tblPrEx>
        <w:trPr>
          <w:trHeight w:val="565" w:hRule="atLeast"/>
        </w:trPr>
        <w:tc>
          <w:tcPr>
            <w:tcW w:w="4569" w:type="dxa"/>
            <w:vAlign w:val="center"/>
          </w:tcPr>
          <w:p w14:paraId="1BD135E8">
            <w:pPr>
              <w:keepNext w:val="0"/>
              <w:keepLines w:val="0"/>
              <w:suppressLineNumbers w:val="0"/>
              <w:spacing w:before="0" w:beforeAutospacing="0" w:after="0" w:afterAutospacing="0" w:line="360" w:lineRule="auto"/>
              <w:ind w:left="0" w:leftChars="0" w:right="0" w:rightChars="0" w:firstLine="0" w:firstLineChars="0"/>
              <w:rPr>
                <w:rFonts w:hint="default" w:ascii="宋体" w:hAnsi="宋体" w:cs="宋体"/>
                <w:bCs/>
                <w:szCs w:val="21"/>
                <w:highlight w:val="green"/>
              </w:rPr>
            </w:pPr>
            <w:r>
              <w:rPr>
                <w:rFonts w:hint="eastAsia" w:ascii="宋体" w:hAnsi="宋体" w:eastAsia="宋体" w:cs="宋体"/>
                <w:bCs/>
                <w:szCs w:val="21"/>
                <w:highlight w:val="none"/>
              </w:rPr>
              <w:t>统一社会信用代码：</w:t>
            </w:r>
            <w:r>
              <w:rPr>
                <w:rFonts w:hint="eastAsia" w:ascii="宋体" w:hAnsi="宋体" w:eastAsia="宋体" w:cs="宋体"/>
                <w:bCs/>
                <w:color w:val="000000"/>
                <w:sz w:val="21"/>
                <w:szCs w:val="21"/>
                <w:highlight w:val="none"/>
                <w:u w:val="single"/>
              </w:rPr>
              <w:t>91320700MA1MBNHP4C</w:t>
            </w:r>
          </w:p>
        </w:tc>
        <w:tc>
          <w:tcPr>
            <w:tcW w:w="4435" w:type="dxa"/>
            <w:vAlign w:val="center"/>
          </w:tcPr>
          <w:p w14:paraId="279557B6">
            <w:pPr>
              <w:keepNext w:val="0"/>
              <w:keepLines w:val="0"/>
              <w:suppressLineNumbers w:val="0"/>
              <w:spacing w:before="0" w:beforeAutospacing="0" w:after="0" w:afterAutospacing="0" w:line="360" w:lineRule="auto"/>
              <w:ind w:left="0" w:right="0" w:firstLine="0" w:firstLineChars="0"/>
              <w:rPr>
                <w:rFonts w:hint="default" w:ascii="宋体" w:hAnsi="宋体" w:cs="宋体"/>
                <w:bCs/>
                <w:szCs w:val="21"/>
                <w:highlight w:val="green"/>
              </w:rPr>
            </w:pPr>
            <w:r>
              <w:rPr>
                <w:rFonts w:hint="eastAsia" w:ascii="宋体" w:hAnsi="宋体" w:cs="宋体"/>
                <w:bCs/>
                <w:szCs w:val="21"/>
                <w:highlight w:val="green"/>
              </w:rPr>
              <w:t>统一社会信用代码：</w:t>
            </w:r>
            <w:r>
              <w:rPr>
                <w:rFonts w:hint="eastAsia" w:ascii="宋体" w:hAnsi="宋体" w:cs="宋体"/>
                <w:bCs/>
                <w:szCs w:val="21"/>
                <w:highlight w:val="green"/>
                <w:u w:val="single"/>
              </w:rPr>
              <w:t xml:space="preserve">                        </w:t>
            </w:r>
          </w:p>
        </w:tc>
      </w:tr>
      <w:tr w14:paraId="3E797D16">
        <w:tblPrEx>
          <w:tblCellMar>
            <w:top w:w="0" w:type="dxa"/>
            <w:left w:w="108" w:type="dxa"/>
            <w:bottom w:w="0" w:type="dxa"/>
            <w:right w:w="108" w:type="dxa"/>
          </w:tblCellMar>
        </w:tblPrEx>
        <w:trPr>
          <w:trHeight w:val="565" w:hRule="atLeast"/>
        </w:trPr>
        <w:tc>
          <w:tcPr>
            <w:tcW w:w="4569" w:type="dxa"/>
            <w:vAlign w:val="center"/>
          </w:tcPr>
          <w:p w14:paraId="7BE99A26">
            <w:pPr>
              <w:keepNext w:val="0"/>
              <w:keepLines w:val="0"/>
              <w:suppressLineNumbers w:val="0"/>
              <w:spacing w:before="0" w:beforeAutospacing="0" w:after="0" w:afterAutospacing="0" w:line="360" w:lineRule="auto"/>
              <w:ind w:left="0" w:leftChars="0" w:right="0" w:rightChars="0" w:firstLine="0" w:firstLineChars="0"/>
              <w:rPr>
                <w:rFonts w:hint="default" w:ascii="宋体" w:hAnsi="宋体" w:cs="宋体"/>
                <w:bCs/>
                <w:szCs w:val="21"/>
                <w:highlight w:val="green"/>
              </w:rPr>
            </w:pPr>
            <w:r>
              <w:rPr>
                <w:rFonts w:hint="eastAsia" w:ascii="宋体" w:hAnsi="宋体" w:eastAsia="宋体" w:cs="宋体"/>
                <w:bCs/>
                <w:szCs w:val="21"/>
                <w:highlight w:val="none"/>
              </w:rPr>
              <w:t>地址：</w:t>
            </w:r>
            <w:r>
              <w:rPr>
                <w:rFonts w:hint="eastAsia" w:ascii="宋体" w:hAnsi="宋体" w:eastAsia="宋体" w:cs="宋体"/>
                <w:bCs/>
                <w:color w:val="000000"/>
                <w:sz w:val="21"/>
                <w:szCs w:val="21"/>
                <w:highlight w:val="none"/>
                <w:u w:val="single"/>
              </w:rPr>
              <w:t>连云港市徐圩新区应急救援指挥中心F楼</w:t>
            </w:r>
            <w:r>
              <w:rPr>
                <w:rFonts w:hint="eastAsia" w:ascii="宋体" w:hAnsi="宋体" w:eastAsia="宋体" w:cs="宋体"/>
                <w:bCs/>
                <w:color w:val="000000"/>
                <w:sz w:val="21"/>
                <w:szCs w:val="21"/>
                <w:highlight w:val="none"/>
              </w:rPr>
              <w:t xml:space="preserve"> </w:t>
            </w:r>
          </w:p>
        </w:tc>
        <w:tc>
          <w:tcPr>
            <w:tcW w:w="4435" w:type="dxa"/>
            <w:vAlign w:val="center"/>
          </w:tcPr>
          <w:p w14:paraId="18551368">
            <w:pPr>
              <w:keepNext w:val="0"/>
              <w:keepLines w:val="0"/>
              <w:suppressLineNumbers w:val="0"/>
              <w:spacing w:before="0" w:beforeAutospacing="0" w:after="0" w:afterAutospacing="0" w:line="360" w:lineRule="auto"/>
              <w:ind w:left="0" w:right="0" w:firstLine="0" w:firstLineChars="0"/>
              <w:rPr>
                <w:rFonts w:hint="default" w:ascii="宋体" w:hAnsi="宋体" w:cs="宋体"/>
                <w:bCs/>
                <w:szCs w:val="21"/>
                <w:highlight w:val="green"/>
              </w:rPr>
            </w:pPr>
            <w:r>
              <w:rPr>
                <w:rFonts w:hint="eastAsia" w:ascii="宋体" w:hAnsi="宋体" w:cs="宋体"/>
                <w:bCs/>
                <w:szCs w:val="21"/>
                <w:highlight w:val="green"/>
              </w:rPr>
              <w:t>地址：</w:t>
            </w:r>
            <w:r>
              <w:rPr>
                <w:rFonts w:hint="eastAsia" w:ascii="宋体" w:hAnsi="宋体" w:cs="宋体"/>
                <w:bCs/>
                <w:szCs w:val="21"/>
                <w:highlight w:val="green"/>
                <w:u w:val="single"/>
              </w:rPr>
              <w:t xml:space="preserve">                      </w:t>
            </w:r>
          </w:p>
        </w:tc>
      </w:tr>
      <w:tr w14:paraId="3CE0E7F4">
        <w:tblPrEx>
          <w:tblCellMar>
            <w:top w:w="0" w:type="dxa"/>
            <w:left w:w="108" w:type="dxa"/>
            <w:bottom w:w="0" w:type="dxa"/>
            <w:right w:w="108" w:type="dxa"/>
          </w:tblCellMar>
        </w:tblPrEx>
        <w:trPr>
          <w:trHeight w:val="565" w:hRule="atLeast"/>
        </w:trPr>
        <w:tc>
          <w:tcPr>
            <w:tcW w:w="4569" w:type="dxa"/>
            <w:vAlign w:val="center"/>
          </w:tcPr>
          <w:p w14:paraId="38CD15D2">
            <w:pPr>
              <w:keepNext w:val="0"/>
              <w:keepLines w:val="0"/>
              <w:suppressLineNumbers w:val="0"/>
              <w:spacing w:before="0" w:beforeAutospacing="0" w:after="0" w:afterAutospacing="0" w:line="360" w:lineRule="auto"/>
              <w:ind w:left="0" w:leftChars="0" w:right="0" w:rightChars="0" w:firstLine="0" w:firstLineChars="0"/>
              <w:rPr>
                <w:rFonts w:hint="default" w:ascii="宋体" w:hAnsi="宋体" w:cs="宋体"/>
                <w:bCs/>
                <w:szCs w:val="21"/>
                <w:highlight w:val="green"/>
              </w:rPr>
            </w:pPr>
            <w:r>
              <w:rPr>
                <w:rFonts w:hint="eastAsia" w:ascii="宋体" w:hAnsi="宋体" w:eastAsia="宋体" w:cs="宋体"/>
                <w:bCs/>
                <w:szCs w:val="21"/>
                <w:highlight w:val="none"/>
              </w:rPr>
              <w:t>邮政编码：</w:t>
            </w:r>
            <w:r>
              <w:rPr>
                <w:rFonts w:hint="eastAsia" w:ascii="宋体" w:hAnsi="宋体" w:eastAsia="宋体" w:cs="宋体"/>
                <w:bCs/>
                <w:color w:val="000000"/>
                <w:sz w:val="21"/>
                <w:szCs w:val="21"/>
                <w:highlight w:val="none"/>
                <w:u w:val="single"/>
              </w:rPr>
              <w:t>222000</w:t>
            </w:r>
          </w:p>
        </w:tc>
        <w:tc>
          <w:tcPr>
            <w:tcW w:w="4435" w:type="dxa"/>
            <w:vAlign w:val="center"/>
          </w:tcPr>
          <w:p w14:paraId="690EEF54">
            <w:pPr>
              <w:keepNext w:val="0"/>
              <w:keepLines w:val="0"/>
              <w:suppressLineNumbers w:val="0"/>
              <w:spacing w:before="0" w:beforeAutospacing="0" w:after="0" w:afterAutospacing="0" w:line="360" w:lineRule="auto"/>
              <w:ind w:left="0" w:right="0" w:firstLine="0" w:firstLineChars="0"/>
              <w:rPr>
                <w:rFonts w:hint="default" w:ascii="宋体" w:hAnsi="宋体" w:cs="宋体"/>
                <w:bCs/>
                <w:szCs w:val="21"/>
                <w:highlight w:val="green"/>
              </w:rPr>
            </w:pPr>
            <w:r>
              <w:rPr>
                <w:rFonts w:hint="eastAsia" w:ascii="宋体" w:hAnsi="宋体" w:cs="宋体"/>
                <w:bCs/>
                <w:szCs w:val="21"/>
                <w:highlight w:val="green"/>
              </w:rPr>
              <w:t>邮政编码：</w:t>
            </w:r>
            <w:r>
              <w:rPr>
                <w:rFonts w:hint="eastAsia" w:ascii="宋体" w:hAnsi="宋体" w:cs="宋体"/>
                <w:bCs/>
                <w:szCs w:val="21"/>
                <w:highlight w:val="green"/>
                <w:u w:val="single"/>
              </w:rPr>
              <w:t xml:space="preserve">                      </w:t>
            </w:r>
          </w:p>
        </w:tc>
      </w:tr>
      <w:tr w14:paraId="14AC25D4">
        <w:tblPrEx>
          <w:tblCellMar>
            <w:top w:w="0" w:type="dxa"/>
            <w:left w:w="108" w:type="dxa"/>
            <w:bottom w:w="0" w:type="dxa"/>
            <w:right w:w="108" w:type="dxa"/>
          </w:tblCellMar>
        </w:tblPrEx>
        <w:trPr>
          <w:trHeight w:val="610" w:hRule="atLeast"/>
        </w:trPr>
        <w:tc>
          <w:tcPr>
            <w:tcW w:w="4569" w:type="dxa"/>
            <w:vAlign w:val="center"/>
          </w:tcPr>
          <w:p w14:paraId="24A03C5E">
            <w:pPr>
              <w:keepNext w:val="0"/>
              <w:keepLines w:val="0"/>
              <w:suppressLineNumbers w:val="0"/>
              <w:spacing w:before="0" w:beforeAutospacing="0" w:after="0" w:afterAutospacing="0" w:line="360" w:lineRule="auto"/>
              <w:ind w:left="0" w:leftChars="0" w:right="0" w:rightChars="0" w:firstLine="0" w:firstLineChars="0"/>
              <w:rPr>
                <w:rFonts w:hint="default" w:ascii="宋体" w:hAnsi="宋体" w:cs="宋体"/>
                <w:bCs/>
                <w:szCs w:val="21"/>
                <w:highlight w:val="green"/>
              </w:rPr>
            </w:pPr>
            <w:r>
              <w:rPr>
                <w:rFonts w:hint="eastAsia" w:ascii="宋体" w:hAnsi="宋体" w:eastAsia="宋体" w:cs="宋体"/>
                <w:bCs/>
                <w:szCs w:val="21"/>
                <w:highlight w:val="none"/>
              </w:rPr>
              <w:t>法定代表人：</w:t>
            </w:r>
            <w:r>
              <w:rPr>
                <w:rFonts w:hint="eastAsia" w:ascii="宋体" w:hAnsi="宋体" w:eastAsia="宋体" w:cs="宋体"/>
                <w:bCs/>
                <w:color w:val="000000"/>
                <w:sz w:val="21"/>
                <w:szCs w:val="21"/>
                <w:highlight w:val="none"/>
                <w:u w:val="single"/>
                <w:lang w:val="en-US" w:eastAsia="zh-CN"/>
              </w:rPr>
              <w:t>张永慧</w:t>
            </w:r>
          </w:p>
        </w:tc>
        <w:tc>
          <w:tcPr>
            <w:tcW w:w="4435" w:type="dxa"/>
            <w:vAlign w:val="center"/>
          </w:tcPr>
          <w:p w14:paraId="42DDAC68">
            <w:pPr>
              <w:keepNext w:val="0"/>
              <w:keepLines w:val="0"/>
              <w:suppressLineNumbers w:val="0"/>
              <w:spacing w:before="0" w:beforeAutospacing="0" w:after="0" w:afterAutospacing="0" w:line="360" w:lineRule="auto"/>
              <w:ind w:left="0" w:right="0" w:firstLine="0" w:firstLineChars="0"/>
              <w:rPr>
                <w:rFonts w:hint="default" w:ascii="宋体" w:hAnsi="宋体" w:cs="宋体"/>
                <w:bCs/>
                <w:szCs w:val="21"/>
                <w:highlight w:val="green"/>
              </w:rPr>
            </w:pPr>
            <w:r>
              <w:rPr>
                <w:rFonts w:hint="eastAsia" w:ascii="宋体" w:hAnsi="宋体" w:cs="宋体"/>
                <w:bCs/>
                <w:szCs w:val="21"/>
                <w:highlight w:val="green"/>
              </w:rPr>
              <w:t>法定代表人：</w:t>
            </w:r>
            <w:r>
              <w:rPr>
                <w:rFonts w:hint="eastAsia" w:ascii="宋体" w:hAnsi="宋体" w:cs="宋体"/>
                <w:bCs/>
                <w:szCs w:val="21"/>
                <w:highlight w:val="green"/>
                <w:u w:val="single"/>
              </w:rPr>
              <w:t xml:space="preserve">                      </w:t>
            </w:r>
          </w:p>
        </w:tc>
      </w:tr>
      <w:tr w14:paraId="041BA5AA">
        <w:tblPrEx>
          <w:tblCellMar>
            <w:top w:w="0" w:type="dxa"/>
            <w:left w:w="108" w:type="dxa"/>
            <w:bottom w:w="0" w:type="dxa"/>
            <w:right w:w="108" w:type="dxa"/>
          </w:tblCellMar>
        </w:tblPrEx>
        <w:trPr>
          <w:trHeight w:val="565" w:hRule="atLeast"/>
        </w:trPr>
        <w:tc>
          <w:tcPr>
            <w:tcW w:w="4569" w:type="dxa"/>
            <w:vAlign w:val="center"/>
          </w:tcPr>
          <w:p w14:paraId="22504716">
            <w:pPr>
              <w:keepNext w:val="0"/>
              <w:keepLines w:val="0"/>
              <w:suppressLineNumbers w:val="0"/>
              <w:spacing w:before="0" w:beforeAutospacing="0" w:after="0" w:afterAutospacing="0" w:line="360" w:lineRule="auto"/>
              <w:ind w:left="0" w:leftChars="0" w:right="0" w:rightChars="0" w:firstLine="0" w:firstLineChars="0"/>
              <w:rPr>
                <w:rFonts w:hint="default" w:ascii="宋体" w:hAnsi="宋体" w:cs="宋体"/>
                <w:bCs/>
                <w:szCs w:val="21"/>
                <w:highlight w:val="green"/>
              </w:rPr>
            </w:pPr>
            <w:r>
              <w:rPr>
                <w:rFonts w:hint="eastAsia" w:ascii="宋体" w:hAnsi="宋体" w:eastAsia="宋体" w:cs="宋体"/>
                <w:bCs/>
                <w:szCs w:val="21"/>
                <w:highlight w:val="none"/>
              </w:rPr>
              <w:t>电话：</w:t>
            </w:r>
            <w:r>
              <w:rPr>
                <w:rFonts w:hint="eastAsia" w:ascii="宋体" w:hAnsi="宋体" w:eastAsia="宋体" w:cs="宋体"/>
                <w:bCs/>
                <w:color w:val="000000"/>
                <w:sz w:val="21"/>
                <w:szCs w:val="21"/>
                <w:highlight w:val="none"/>
                <w:u w:val="single"/>
              </w:rPr>
              <w:t>0518-82256199</w:t>
            </w:r>
          </w:p>
        </w:tc>
        <w:tc>
          <w:tcPr>
            <w:tcW w:w="4435" w:type="dxa"/>
            <w:vAlign w:val="center"/>
          </w:tcPr>
          <w:p w14:paraId="02E8837B">
            <w:pPr>
              <w:keepNext w:val="0"/>
              <w:keepLines w:val="0"/>
              <w:suppressLineNumbers w:val="0"/>
              <w:spacing w:before="0" w:beforeAutospacing="0" w:after="0" w:afterAutospacing="0" w:line="360" w:lineRule="auto"/>
              <w:ind w:left="0" w:right="0" w:firstLine="0" w:firstLineChars="0"/>
              <w:rPr>
                <w:rFonts w:hint="default" w:ascii="宋体" w:hAnsi="宋体" w:cs="宋体"/>
                <w:bCs/>
                <w:szCs w:val="21"/>
                <w:highlight w:val="green"/>
              </w:rPr>
            </w:pPr>
            <w:r>
              <w:rPr>
                <w:rFonts w:hint="eastAsia" w:ascii="宋体" w:hAnsi="宋体" w:cs="宋体"/>
                <w:bCs/>
                <w:szCs w:val="21"/>
                <w:highlight w:val="green"/>
              </w:rPr>
              <w:t>电话：</w:t>
            </w:r>
            <w:r>
              <w:rPr>
                <w:rFonts w:hint="eastAsia" w:ascii="宋体" w:hAnsi="宋体"/>
                <w:bCs/>
                <w:color w:val="000000"/>
                <w:szCs w:val="21"/>
                <w:highlight w:val="green"/>
                <w:u w:val="single"/>
              </w:rPr>
              <w:t xml:space="preserve"> </w:t>
            </w:r>
            <w:r>
              <w:rPr>
                <w:rFonts w:hint="eastAsia" w:ascii="宋体" w:hAnsi="宋体" w:cs="宋体"/>
                <w:bCs/>
                <w:szCs w:val="21"/>
                <w:highlight w:val="green"/>
                <w:u w:val="single"/>
              </w:rPr>
              <w:t xml:space="preserve">                      </w:t>
            </w:r>
          </w:p>
        </w:tc>
      </w:tr>
      <w:tr w14:paraId="5D408B2F">
        <w:tblPrEx>
          <w:tblCellMar>
            <w:top w:w="0" w:type="dxa"/>
            <w:left w:w="108" w:type="dxa"/>
            <w:bottom w:w="0" w:type="dxa"/>
            <w:right w:w="108" w:type="dxa"/>
          </w:tblCellMar>
        </w:tblPrEx>
        <w:trPr>
          <w:trHeight w:val="565" w:hRule="atLeast"/>
        </w:trPr>
        <w:tc>
          <w:tcPr>
            <w:tcW w:w="4569" w:type="dxa"/>
            <w:vAlign w:val="center"/>
          </w:tcPr>
          <w:p w14:paraId="498F97B0">
            <w:pPr>
              <w:keepNext w:val="0"/>
              <w:keepLines w:val="0"/>
              <w:suppressLineNumbers w:val="0"/>
              <w:snapToGrid w:val="0"/>
              <w:spacing w:before="0" w:beforeAutospacing="0" w:after="0" w:afterAutospacing="0" w:line="360" w:lineRule="auto"/>
              <w:ind w:left="0" w:leftChars="0" w:right="0" w:rightChars="0" w:firstLine="0" w:firstLineChars="0"/>
              <w:rPr>
                <w:rFonts w:hint="default" w:ascii="宋体" w:hAnsi="宋体" w:cs="宋体"/>
                <w:bCs/>
                <w:szCs w:val="21"/>
                <w:highlight w:val="green"/>
              </w:rPr>
            </w:pPr>
            <w:r>
              <w:rPr>
                <w:rFonts w:hint="eastAsia" w:ascii="宋体" w:hAnsi="宋体" w:eastAsia="宋体" w:cs="宋体"/>
                <w:bCs/>
                <w:szCs w:val="21"/>
                <w:highlight w:val="none"/>
              </w:rPr>
              <w:t>开户银行：</w:t>
            </w:r>
            <w:r>
              <w:rPr>
                <w:rFonts w:hint="eastAsia" w:ascii="宋体" w:hAnsi="宋体" w:eastAsia="宋体" w:cs="宋体"/>
                <w:bCs/>
                <w:color w:val="000000"/>
                <w:sz w:val="21"/>
                <w:szCs w:val="21"/>
                <w:highlight w:val="none"/>
                <w:u w:val="single"/>
              </w:rPr>
              <w:t>中国银行连云港徐圩支行</w:t>
            </w:r>
          </w:p>
        </w:tc>
        <w:tc>
          <w:tcPr>
            <w:tcW w:w="4435" w:type="dxa"/>
            <w:vAlign w:val="center"/>
          </w:tcPr>
          <w:p w14:paraId="258B8696">
            <w:pPr>
              <w:keepNext w:val="0"/>
              <w:keepLines w:val="0"/>
              <w:suppressLineNumbers w:val="0"/>
              <w:snapToGrid w:val="0"/>
              <w:spacing w:before="0" w:beforeAutospacing="0" w:after="0" w:afterAutospacing="0" w:line="360" w:lineRule="auto"/>
              <w:ind w:left="0" w:right="0" w:firstLine="0" w:firstLineChars="0"/>
              <w:rPr>
                <w:rFonts w:hint="default" w:ascii="宋体" w:hAnsi="宋体" w:cs="宋体"/>
                <w:bCs/>
                <w:szCs w:val="21"/>
                <w:highlight w:val="green"/>
              </w:rPr>
            </w:pPr>
            <w:r>
              <w:rPr>
                <w:rFonts w:hint="eastAsia" w:ascii="宋体" w:hAnsi="宋体" w:cs="宋体"/>
                <w:bCs/>
                <w:szCs w:val="21"/>
                <w:highlight w:val="green"/>
              </w:rPr>
              <w:t>开户银行：</w:t>
            </w:r>
            <w:r>
              <w:rPr>
                <w:rFonts w:hint="eastAsia" w:ascii="宋体" w:hAnsi="宋体" w:cs="宋体"/>
                <w:bCs/>
                <w:szCs w:val="21"/>
                <w:highlight w:val="green"/>
                <w:u w:val="single"/>
              </w:rPr>
              <w:t xml:space="preserve">                       </w:t>
            </w:r>
          </w:p>
        </w:tc>
      </w:tr>
      <w:tr w14:paraId="7178471E">
        <w:tblPrEx>
          <w:tblCellMar>
            <w:top w:w="0" w:type="dxa"/>
            <w:left w:w="108" w:type="dxa"/>
            <w:bottom w:w="0" w:type="dxa"/>
            <w:right w:w="108" w:type="dxa"/>
          </w:tblCellMar>
        </w:tblPrEx>
        <w:trPr>
          <w:trHeight w:val="565" w:hRule="atLeast"/>
        </w:trPr>
        <w:tc>
          <w:tcPr>
            <w:tcW w:w="4569" w:type="dxa"/>
            <w:vAlign w:val="center"/>
          </w:tcPr>
          <w:p w14:paraId="1BA7E0CF">
            <w:pPr>
              <w:keepNext w:val="0"/>
              <w:keepLines w:val="0"/>
              <w:suppressLineNumbers w:val="0"/>
              <w:snapToGrid w:val="0"/>
              <w:spacing w:before="0" w:beforeAutospacing="0" w:after="0" w:afterAutospacing="0" w:line="360" w:lineRule="auto"/>
              <w:ind w:left="0" w:leftChars="0" w:right="0" w:rightChars="0" w:firstLine="0" w:firstLineChars="0"/>
              <w:rPr>
                <w:rFonts w:hint="default" w:ascii="宋体" w:hAnsi="宋体" w:cs="宋体"/>
                <w:bCs/>
                <w:szCs w:val="21"/>
                <w:highlight w:val="green"/>
              </w:rPr>
            </w:pPr>
            <w:r>
              <w:rPr>
                <w:rFonts w:hint="eastAsia" w:ascii="宋体" w:hAnsi="宋体" w:eastAsia="宋体" w:cs="宋体"/>
                <w:bCs/>
                <w:szCs w:val="21"/>
                <w:highlight w:val="none"/>
              </w:rPr>
              <w:t>账号：</w:t>
            </w:r>
            <w:r>
              <w:rPr>
                <w:rFonts w:hint="eastAsia" w:ascii="宋体" w:hAnsi="宋体" w:eastAsia="宋体" w:cs="宋体"/>
                <w:bCs/>
                <w:color w:val="000000"/>
                <w:sz w:val="21"/>
                <w:szCs w:val="21"/>
                <w:highlight w:val="none"/>
                <w:u w:val="single"/>
              </w:rPr>
              <w:t>501467832118</w:t>
            </w:r>
          </w:p>
        </w:tc>
        <w:tc>
          <w:tcPr>
            <w:tcW w:w="4435" w:type="dxa"/>
            <w:vAlign w:val="center"/>
          </w:tcPr>
          <w:p w14:paraId="51FDC47F">
            <w:pPr>
              <w:keepNext w:val="0"/>
              <w:keepLines w:val="0"/>
              <w:suppressLineNumbers w:val="0"/>
              <w:snapToGrid w:val="0"/>
              <w:spacing w:before="0" w:beforeAutospacing="0" w:after="0" w:afterAutospacing="0" w:line="360" w:lineRule="auto"/>
              <w:ind w:left="0" w:right="0" w:firstLine="0" w:firstLineChars="0"/>
              <w:rPr>
                <w:rFonts w:hint="default" w:ascii="宋体" w:hAnsi="宋体" w:cs="宋体"/>
                <w:bCs/>
                <w:szCs w:val="21"/>
                <w:highlight w:val="green"/>
              </w:rPr>
            </w:pPr>
            <w:r>
              <w:rPr>
                <w:rFonts w:hint="eastAsia" w:ascii="宋体" w:hAnsi="宋体" w:cs="宋体"/>
                <w:bCs/>
                <w:szCs w:val="21"/>
                <w:highlight w:val="green"/>
              </w:rPr>
              <w:t>账号：</w:t>
            </w:r>
            <w:r>
              <w:rPr>
                <w:rFonts w:hint="eastAsia" w:ascii="宋体" w:hAnsi="宋体" w:cs="宋体"/>
                <w:bCs/>
                <w:szCs w:val="21"/>
                <w:highlight w:val="green"/>
                <w:u w:val="single"/>
              </w:rPr>
              <w:t xml:space="preserve">                      </w:t>
            </w:r>
          </w:p>
        </w:tc>
      </w:tr>
    </w:tbl>
    <w:p w14:paraId="2684DA30">
      <w:pPr>
        <w:pStyle w:val="18"/>
        <w:spacing w:line="360" w:lineRule="auto"/>
        <w:ind w:firstLine="420"/>
        <w:jc w:val="left"/>
        <w:rPr>
          <w:rFonts w:ascii="宋体" w:hAnsi="宋体" w:cs="宋体"/>
          <w:szCs w:val="21"/>
          <w:highlight w:val="none"/>
        </w:rPr>
      </w:pPr>
      <w:r>
        <w:rPr>
          <w:rFonts w:hint="eastAsia" w:ascii="宋体" w:hAnsi="宋体" w:cs="宋体"/>
          <w:szCs w:val="22"/>
          <w:highlight w:val="none"/>
        </w:rPr>
        <w:br w:type="page"/>
      </w:r>
      <w:r>
        <w:rPr>
          <w:rFonts w:hint="eastAsia" w:ascii="宋体" w:hAnsi="宋体" w:cs="宋体"/>
          <w:szCs w:val="21"/>
          <w:highlight w:val="none"/>
        </w:rPr>
        <w:t>（本页无正文）</w:t>
      </w:r>
    </w:p>
    <w:p w14:paraId="103BDB2D">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textAlignment w:val="auto"/>
        <w:rPr>
          <w:rFonts w:hint="eastAsia" w:ascii="Times New Roman" w:hAnsi="Times New Roman" w:eastAsia="宋体" w:cs="宋体"/>
          <w:color w:val="auto"/>
          <w:highlight w:val="none"/>
          <w:shd w:val="clear" w:color="auto" w:fill="auto"/>
        </w:rPr>
      </w:pPr>
      <w:r>
        <w:rPr>
          <w:rFonts w:hint="eastAsia" w:ascii="Times New Roman" w:hAnsi="Times New Roman" w:eastAsia="宋体" w:cs="宋体"/>
          <w:color w:val="auto"/>
          <w:highlight w:val="none"/>
          <w:shd w:val="clear" w:color="auto" w:fill="auto"/>
        </w:rPr>
        <w:t>附件1：工程质量保修书</w:t>
      </w:r>
    </w:p>
    <w:p w14:paraId="02A49CA3">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textAlignment w:val="auto"/>
        <w:rPr>
          <w:rFonts w:hint="eastAsia" w:ascii="Times New Roman" w:hAnsi="Times New Roman" w:eastAsia="宋体" w:cs="宋体"/>
          <w:color w:val="auto"/>
          <w:highlight w:val="none"/>
          <w:shd w:val="clear" w:color="auto" w:fill="auto"/>
        </w:rPr>
      </w:pPr>
      <w:r>
        <w:rPr>
          <w:rFonts w:hint="eastAsia" w:ascii="Times New Roman" w:hAnsi="Times New Roman" w:eastAsia="宋体" w:cs="宋体"/>
          <w:color w:val="auto"/>
          <w:highlight w:val="none"/>
          <w:shd w:val="clear" w:color="auto" w:fill="auto"/>
        </w:rPr>
        <w:t>附件2：工程廉政合同</w:t>
      </w:r>
    </w:p>
    <w:p w14:paraId="704DA5F3">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textAlignment w:val="auto"/>
        <w:rPr>
          <w:rFonts w:hint="eastAsia" w:ascii="Times New Roman" w:hAnsi="Times New Roman" w:eastAsia="宋体" w:cs="宋体"/>
          <w:color w:val="auto"/>
          <w:highlight w:val="none"/>
          <w:shd w:val="clear" w:color="auto" w:fill="auto"/>
        </w:rPr>
      </w:pPr>
      <w:r>
        <w:rPr>
          <w:rFonts w:hint="eastAsia" w:ascii="Times New Roman" w:hAnsi="Times New Roman" w:eastAsia="宋体" w:cs="宋体"/>
          <w:color w:val="auto"/>
          <w:highlight w:val="none"/>
          <w:shd w:val="clear" w:color="auto" w:fill="auto"/>
        </w:rPr>
        <w:t>附件3：农民工工资支付承诺书</w:t>
      </w:r>
    </w:p>
    <w:p w14:paraId="0A9390C0">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textAlignment w:val="auto"/>
        <w:rPr>
          <w:rFonts w:hint="eastAsia" w:ascii="Times New Roman" w:hAnsi="Times New Roman" w:eastAsia="宋体" w:cs="宋体"/>
          <w:color w:val="auto"/>
          <w:highlight w:val="none"/>
          <w:shd w:val="clear" w:color="auto" w:fill="auto"/>
        </w:rPr>
      </w:pPr>
      <w:r>
        <w:rPr>
          <w:rFonts w:hint="eastAsia" w:ascii="Times New Roman" w:hAnsi="Times New Roman" w:eastAsia="宋体" w:cs="宋体"/>
          <w:color w:val="auto"/>
          <w:highlight w:val="none"/>
          <w:shd w:val="clear" w:color="auto" w:fill="auto"/>
        </w:rPr>
        <w:t>附件4：不拖欠农民工工资承诺书</w:t>
      </w:r>
    </w:p>
    <w:p w14:paraId="2F22126C">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textAlignment w:val="auto"/>
        <w:rPr>
          <w:rFonts w:hint="eastAsia" w:ascii="Times New Roman" w:hAnsi="Times New Roman" w:eastAsia="宋体" w:cs="宋体"/>
          <w:color w:val="auto"/>
          <w:highlight w:val="none"/>
          <w:shd w:val="clear" w:color="auto" w:fill="auto"/>
        </w:rPr>
      </w:pPr>
      <w:r>
        <w:rPr>
          <w:rFonts w:hint="eastAsia" w:ascii="Times New Roman" w:hAnsi="Times New Roman" w:eastAsia="宋体" w:cs="宋体"/>
          <w:color w:val="auto"/>
          <w:highlight w:val="none"/>
          <w:shd w:val="clear" w:color="auto" w:fill="auto"/>
        </w:rPr>
        <w:t>附件5：中标人诚信承诺书</w:t>
      </w:r>
    </w:p>
    <w:p w14:paraId="7EAF39EC">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textAlignment w:val="auto"/>
        <w:rPr>
          <w:rFonts w:hint="eastAsia" w:ascii="Times New Roman" w:hAnsi="Times New Roman" w:eastAsia="宋体" w:cs="宋体"/>
          <w:color w:val="auto"/>
          <w:highlight w:val="none"/>
          <w:shd w:val="clear" w:color="auto" w:fill="auto"/>
        </w:rPr>
      </w:pPr>
      <w:r>
        <w:rPr>
          <w:rFonts w:hint="eastAsia" w:ascii="Times New Roman" w:hAnsi="Times New Roman" w:eastAsia="宋体" w:cs="宋体"/>
          <w:color w:val="auto"/>
          <w:highlight w:val="none"/>
          <w:shd w:val="clear" w:color="auto" w:fill="auto"/>
        </w:rPr>
        <w:t>附件</w:t>
      </w:r>
      <w:r>
        <w:rPr>
          <w:rFonts w:hint="eastAsia" w:ascii="Times New Roman" w:hAnsi="Times New Roman" w:eastAsia="宋体" w:cs="宋体"/>
          <w:color w:val="auto"/>
          <w:highlight w:val="none"/>
          <w:shd w:val="clear" w:color="auto" w:fill="auto"/>
          <w:lang w:val="en-US" w:eastAsia="zh-CN"/>
        </w:rPr>
        <w:t>6</w:t>
      </w:r>
      <w:r>
        <w:rPr>
          <w:rFonts w:hint="eastAsia" w:ascii="Times New Roman" w:hAnsi="Times New Roman" w:eastAsia="宋体" w:cs="宋体"/>
          <w:color w:val="auto"/>
          <w:highlight w:val="none"/>
          <w:shd w:val="clear" w:color="auto" w:fill="auto"/>
        </w:rPr>
        <w:t>：工程质量管理协议书</w:t>
      </w:r>
    </w:p>
    <w:p w14:paraId="1A46D78A">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textAlignment w:val="auto"/>
        <w:rPr>
          <w:rFonts w:hint="eastAsia" w:ascii="Times New Roman" w:hAnsi="Times New Roman" w:eastAsia="宋体" w:cs="宋体"/>
          <w:color w:val="auto"/>
          <w:highlight w:val="none"/>
          <w:shd w:val="clear" w:color="auto" w:fill="auto"/>
        </w:rPr>
      </w:pPr>
      <w:r>
        <w:rPr>
          <w:rFonts w:hint="eastAsia" w:ascii="Times New Roman" w:hAnsi="Times New Roman" w:eastAsia="宋体" w:cs="宋体"/>
          <w:color w:val="auto"/>
          <w:highlight w:val="none"/>
          <w:shd w:val="clear" w:color="auto" w:fill="auto"/>
        </w:rPr>
        <w:t>附件</w:t>
      </w:r>
      <w:r>
        <w:rPr>
          <w:rFonts w:hint="eastAsia" w:ascii="Times New Roman" w:hAnsi="Times New Roman" w:eastAsia="宋体" w:cs="宋体"/>
          <w:color w:val="auto"/>
          <w:highlight w:val="none"/>
          <w:shd w:val="clear" w:color="auto" w:fill="auto"/>
          <w:lang w:val="en-US" w:eastAsia="zh-CN"/>
        </w:rPr>
        <w:t>7</w:t>
      </w:r>
      <w:r>
        <w:rPr>
          <w:rFonts w:hint="eastAsia" w:ascii="Times New Roman" w:hAnsi="Times New Roman" w:eastAsia="宋体" w:cs="宋体"/>
          <w:color w:val="auto"/>
          <w:highlight w:val="none"/>
          <w:shd w:val="clear" w:color="auto" w:fill="auto"/>
        </w:rPr>
        <w:t>：安全生产管理与文明施工协议（试行）</w:t>
      </w:r>
    </w:p>
    <w:p w14:paraId="6386BAAB">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textAlignment w:val="auto"/>
        <w:rPr>
          <w:rFonts w:hint="eastAsia" w:ascii="Times New Roman" w:hAnsi="Times New Roman" w:eastAsia="宋体" w:cs="宋体"/>
          <w:color w:val="auto"/>
          <w:highlight w:val="none"/>
          <w:shd w:val="clear" w:color="auto" w:fill="auto"/>
        </w:rPr>
      </w:pPr>
      <w:r>
        <w:rPr>
          <w:rFonts w:hint="eastAsia" w:ascii="Times New Roman" w:hAnsi="Times New Roman" w:eastAsia="宋体" w:cs="宋体"/>
          <w:color w:val="auto"/>
          <w:highlight w:val="none"/>
          <w:shd w:val="clear" w:color="auto" w:fill="auto"/>
        </w:rPr>
        <w:t>附件</w:t>
      </w:r>
      <w:r>
        <w:rPr>
          <w:rFonts w:hint="eastAsia" w:ascii="Times New Roman" w:hAnsi="Times New Roman" w:eastAsia="宋体" w:cs="宋体"/>
          <w:color w:val="auto"/>
          <w:highlight w:val="none"/>
          <w:shd w:val="clear" w:color="auto" w:fill="auto"/>
          <w:lang w:val="en-US" w:eastAsia="zh-CN"/>
        </w:rPr>
        <w:t>8</w:t>
      </w:r>
      <w:r>
        <w:rPr>
          <w:rFonts w:hint="eastAsia" w:ascii="Times New Roman" w:hAnsi="Times New Roman" w:eastAsia="宋体" w:cs="宋体"/>
          <w:color w:val="auto"/>
          <w:highlight w:val="none"/>
          <w:shd w:val="clear" w:color="auto" w:fill="auto"/>
        </w:rPr>
        <w:t>：施工现场环境保护与扬尘防治管理协议（试行）</w:t>
      </w:r>
    </w:p>
    <w:p w14:paraId="2428C417">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textAlignment w:val="auto"/>
        <w:rPr>
          <w:rFonts w:hint="eastAsia" w:ascii="Times New Roman" w:hAnsi="Times New Roman" w:eastAsia="宋体" w:cs="宋体"/>
          <w:color w:val="auto"/>
          <w:highlight w:val="none"/>
          <w:shd w:val="clear" w:color="auto" w:fill="auto"/>
        </w:rPr>
      </w:pPr>
      <w:r>
        <w:rPr>
          <w:rFonts w:hint="eastAsia" w:ascii="Times New Roman" w:hAnsi="Times New Roman" w:eastAsia="宋体" w:cs="宋体"/>
          <w:color w:val="auto"/>
          <w:highlight w:val="none"/>
          <w:shd w:val="clear" w:color="auto" w:fill="auto"/>
        </w:rPr>
        <w:t>附件</w:t>
      </w:r>
      <w:r>
        <w:rPr>
          <w:rFonts w:hint="eastAsia" w:ascii="Times New Roman" w:hAnsi="Times New Roman" w:eastAsia="宋体" w:cs="宋体"/>
          <w:color w:val="auto"/>
          <w:highlight w:val="none"/>
          <w:shd w:val="clear" w:color="auto" w:fill="auto"/>
          <w:lang w:val="en-US" w:eastAsia="zh-CN"/>
        </w:rPr>
        <w:t>9</w:t>
      </w:r>
      <w:r>
        <w:rPr>
          <w:rFonts w:hint="eastAsia" w:ascii="Times New Roman" w:hAnsi="Times New Roman" w:eastAsia="宋体" w:cs="宋体"/>
          <w:color w:val="auto"/>
          <w:highlight w:val="none"/>
          <w:shd w:val="clear" w:color="auto" w:fill="auto"/>
        </w:rPr>
        <w:t>：质量施工违约赔偿协议（试行）</w:t>
      </w:r>
    </w:p>
    <w:p w14:paraId="00FADC94">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textAlignment w:val="auto"/>
        <w:rPr>
          <w:rFonts w:hint="eastAsia" w:ascii="Times New Roman" w:hAnsi="Times New Roman" w:eastAsia="宋体" w:cs="宋体"/>
          <w:highlight w:val="none"/>
          <w:shd w:val="clear" w:color="auto" w:fill="auto"/>
        </w:rPr>
      </w:pPr>
      <w:r>
        <w:rPr>
          <w:rFonts w:hint="eastAsia" w:ascii="Times New Roman" w:hAnsi="Times New Roman" w:eastAsia="宋体" w:cs="宋体"/>
          <w:color w:val="auto"/>
          <w:highlight w:val="none"/>
          <w:shd w:val="clear" w:color="auto" w:fill="auto"/>
        </w:rPr>
        <w:t>附件1</w:t>
      </w:r>
      <w:r>
        <w:rPr>
          <w:rFonts w:hint="eastAsia" w:ascii="Times New Roman" w:hAnsi="Times New Roman" w:eastAsia="宋体" w:cs="宋体"/>
          <w:color w:val="auto"/>
          <w:highlight w:val="none"/>
          <w:shd w:val="clear" w:color="auto" w:fill="auto"/>
          <w:lang w:val="en-US" w:eastAsia="zh-CN"/>
        </w:rPr>
        <w:t>0</w:t>
      </w:r>
      <w:r>
        <w:rPr>
          <w:rFonts w:hint="eastAsia" w:ascii="Times New Roman" w:hAnsi="Times New Roman" w:eastAsia="宋体" w:cs="宋体"/>
          <w:color w:val="auto"/>
          <w:highlight w:val="none"/>
          <w:shd w:val="clear" w:color="auto" w:fill="auto"/>
        </w:rPr>
        <w:t>：安全生产费用投入取费标准</w:t>
      </w:r>
      <w:r>
        <w:rPr>
          <w:rFonts w:hint="eastAsia" w:ascii="Times New Roman" w:hAnsi="Times New Roman" w:eastAsia="宋体" w:cs="宋体"/>
          <w:highlight w:val="none"/>
          <w:shd w:val="clear" w:color="auto" w:fill="auto"/>
        </w:rPr>
        <w:t xml:space="preserve"> </w:t>
      </w:r>
    </w:p>
    <w:p w14:paraId="035016E2">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textAlignment w:val="auto"/>
        <w:rPr>
          <w:rFonts w:hint="default" w:ascii="Times New Roman" w:hAnsi="Times New Roman" w:eastAsia="宋体" w:cs="宋体"/>
          <w:highlight w:val="none"/>
          <w:shd w:val="clear" w:color="auto" w:fill="auto"/>
          <w:lang w:val="en-US" w:eastAsia="zh-CN"/>
        </w:rPr>
      </w:pPr>
      <w:r>
        <w:rPr>
          <w:rFonts w:hint="eastAsia" w:ascii="Times New Roman" w:hAnsi="Times New Roman" w:eastAsia="宋体" w:cs="宋体"/>
          <w:highlight w:val="none"/>
          <w:shd w:val="clear" w:color="auto" w:fill="auto"/>
          <w:lang w:eastAsia="zh-CN"/>
        </w:rPr>
        <w:t>附件</w:t>
      </w:r>
      <w:r>
        <w:rPr>
          <w:rFonts w:hint="eastAsia" w:ascii="Times New Roman" w:hAnsi="Times New Roman" w:eastAsia="宋体" w:cs="宋体"/>
          <w:highlight w:val="none"/>
          <w:shd w:val="clear" w:color="auto" w:fill="auto"/>
          <w:lang w:val="en-US" w:eastAsia="zh-CN"/>
        </w:rPr>
        <w:t>11：已标价的工程量清单</w:t>
      </w:r>
    </w:p>
    <w:p w14:paraId="250D3F1D">
      <w:pPr>
        <w:spacing w:line="360" w:lineRule="auto"/>
        <w:ind w:firstLine="420"/>
        <w:rPr>
          <w:rFonts w:hint="eastAsia" w:ascii="宋体" w:hAnsi="宋体" w:cs="宋体"/>
          <w:szCs w:val="22"/>
          <w:highlight w:val="none"/>
        </w:rPr>
      </w:pPr>
    </w:p>
    <w:p w14:paraId="0BE32B99">
      <w:pPr>
        <w:adjustRightInd w:val="0"/>
        <w:snapToGrid w:val="0"/>
        <w:spacing w:line="480" w:lineRule="exact"/>
        <w:ind w:firstLine="0" w:firstLineChars="0"/>
        <w:jc w:val="left"/>
        <w:rPr>
          <w:rFonts w:hint="eastAsia" w:ascii="Times New Roman" w:hAnsi="Times New Roman" w:eastAsia="宋体" w:cs="宋体"/>
          <w:b/>
          <w:color w:val="auto"/>
          <w:szCs w:val="21"/>
          <w:highlight w:val="none"/>
          <w:shd w:val="clear" w:color="auto" w:fill="auto"/>
        </w:rPr>
      </w:pPr>
    </w:p>
    <w:p w14:paraId="7D55CFE6">
      <w:pPr>
        <w:adjustRightInd w:val="0"/>
        <w:snapToGrid w:val="0"/>
        <w:spacing w:line="480" w:lineRule="exact"/>
        <w:ind w:firstLine="0" w:firstLineChars="0"/>
        <w:jc w:val="left"/>
        <w:rPr>
          <w:rFonts w:hint="eastAsia" w:ascii="Times New Roman" w:hAnsi="Times New Roman" w:eastAsia="宋体" w:cs="宋体"/>
          <w:b/>
          <w:color w:val="auto"/>
          <w:szCs w:val="21"/>
          <w:highlight w:val="none"/>
          <w:shd w:val="clear" w:color="auto" w:fill="auto"/>
        </w:rPr>
      </w:pPr>
    </w:p>
    <w:p w14:paraId="154C301E">
      <w:pPr>
        <w:adjustRightInd w:val="0"/>
        <w:snapToGrid w:val="0"/>
        <w:spacing w:line="480" w:lineRule="exact"/>
        <w:ind w:firstLine="0" w:firstLineChars="0"/>
        <w:jc w:val="left"/>
        <w:rPr>
          <w:rFonts w:hint="eastAsia" w:ascii="Times New Roman" w:hAnsi="Times New Roman" w:eastAsia="宋体" w:cs="宋体"/>
          <w:b/>
          <w:color w:val="auto"/>
          <w:szCs w:val="21"/>
          <w:highlight w:val="none"/>
          <w:shd w:val="clear" w:color="auto" w:fill="auto"/>
        </w:rPr>
      </w:pPr>
    </w:p>
    <w:p w14:paraId="0209E69E">
      <w:pPr>
        <w:adjustRightInd w:val="0"/>
        <w:snapToGrid w:val="0"/>
        <w:spacing w:line="480" w:lineRule="exact"/>
        <w:ind w:firstLine="0" w:firstLineChars="0"/>
        <w:jc w:val="left"/>
        <w:rPr>
          <w:rFonts w:hint="eastAsia" w:ascii="Times New Roman" w:hAnsi="Times New Roman" w:eastAsia="宋体" w:cs="宋体"/>
          <w:b/>
          <w:color w:val="auto"/>
          <w:szCs w:val="21"/>
          <w:highlight w:val="none"/>
          <w:shd w:val="clear" w:color="auto" w:fill="auto"/>
        </w:rPr>
      </w:pPr>
    </w:p>
    <w:p w14:paraId="046CA56A">
      <w:pPr>
        <w:adjustRightInd w:val="0"/>
        <w:snapToGrid w:val="0"/>
        <w:spacing w:line="480" w:lineRule="exact"/>
        <w:ind w:firstLine="0" w:firstLineChars="0"/>
        <w:jc w:val="left"/>
        <w:rPr>
          <w:rFonts w:hint="eastAsia" w:ascii="Times New Roman" w:hAnsi="Times New Roman" w:eastAsia="宋体" w:cs="宋体"/>
          <w:b/>
          <w:color w:val="auto"/>
          <w:szCs w:val="21"/>
          <w:highlight w:val="none"/>
          <w:shd w:val="clear" w:color="auto" w:fill="auto"/>
        </w:rPr>
      </w:pPr>
    </w:p>
    <w:p w14:paraId="33CFE948">
      <w:pPr>
        <w:adjustRightInd w:val="0"/>
        <w:snapToGrid w:val="0"/>
        <w:spacing w:line="480" w:lineRule="exact"/>
        <w:ind w:firstLine="0" w:firstLineChars="0"/>
        <w:jc w:val="left"/>
        <w:rPr>
          <w:rFonts w:hint="eastAsia" w:ascii="Times New Roman" w:hAnsi="Times New Roman" w:eastAsia="宋体" w:cs="宋体"/>
          <w:b/>
          <w:color w:val="auto"/>
          <w:szCs w:val="21"/>
          <w:highlight w:val="none"/>
          <w:shd w:val="clear" w:color="auto" w:fill="auto"/>
        </w:rPr>
      </w:pPr>
    </w:p>
    <w:p w14:paraId="60E8EE93">
      <w:pPr>
        <w:adjustRightInd w:val="0"/>
        <w:snapToGrid w:val="0"/>
        <w:spacing w:line="480" w:lineRule="exact"/>
        <w:ind w:firstLine="0" w:firstLineChars="0"/>
        <w:jc w:val="left"/>
        <w:rPr>
          <w:rFonts w:hint="eastAsia" w:ascii="Times New Roman" w:hAnsi="Times New Roman" w:eastAsia="宋体" w:cs="宋体"/>
          <w:b/>
          <w:color w:val="auto"/>
          <w:szCs w:val="21"/>
          <w:highlight w:val="none"/>
          <w:shd w:val="clear" w:color="auto" w:fill="auto"/>
        </w:rPr>
      </w:pPr>
    </w:p>
    <w:p w14:paraId="2C6144BD">
      <w:pPr>
        <w:adjustRightInd w:val="0"/>
        <w:snapToGrid w:val="0"/>
        <w:spacing w:line="480" w:lineRule="exact"/>
        <w:ind w:firstLine="0" w:firstLineChars="0"/>
        <w:jc w:val="left"/>
        <w:rPr>
          <w:rFonts w:hint="eastAsia" w:ascii="Times New Roman" w:hAnsi="Times New Roman" w:eastAsia="宋体" w:cs="宋体"/>
          <w:b/>
          <w:color w:val="auto"/>
          <w:szCs w:val="21"/>
          <w:highlight w:val="none"/>
          <w:shd w:val="clear" w:color="auto" w:fill="auto"/>
        </w:rPr>
      </w:pPr>
    </w:p>
    <w:p w14:paraId="36F500A6">
      <w:pPr>
        <w:adjustRightInd w:val="0"/>
        <w:snapToGrid w:val="0"/>
        <w:spacing w:line="480" w:lineRule="exact"/>
        <w:ind w:firstLine="0" w:firstLineChars="0"/>
        <w:jc w:val="left"/>
        <w:rPr>
          <w:rFonts w:hint="eastAsia" w:ascii="Times New Roman" w:hAnsi="Times New Roman" w:eastAsia="宋体" w:cs="宋体"/>
          <w:b/>
          <w:color w:val="auto"/>
          <w:szCs w:val="21"/>
          <w:highlight w:val="none"/>
          <w:shd w:val="clear" w:color="auto" w:fill="auto"/>
        </w:rPr>
      </w:pPr>
    </w:p>
    <w:p w14:paraId="5A759A62">
      <w:pPr>
        <w:adjustRightInd w:val="0"/>
        <w:snapToGrid w:val="0"/>
        <w:spacing w:line="480" w:lineRule="exact"/>
        <w:ind w:firstLine="0" w:firstLineChars="0"/>
        <w:jc w:val="left"/>
        <w:rPr>
          <w:rFonts w:hint="eastAsia" w:ascii="Times New Roman" w:hAnsi="Times New Roman" w:eastAsia="宋体" w:cs="宋体"/>
          <w:b/>
          <w:color w:val="auto"/>
          <w:szCs w:val="21"/>
          <w:highlight w:val="none"/>
          <w:shd w:val="clear" w:color="auto" w:fill="auto"/>
        </w:rPr>
      </w:pPr>
    </w:p>
    <w:p w14:paraId="36FC7E1A">
      <w:pPr>
        <w:adjustRightInd w:val="0"/>
        <w:snapToGrid w:val="0"/>
        <w:spacing w:line="480" w:lineRule="exact"/>
        <w:ind w:firstLine="0" w:firstLineChars="0"/>
        <w:jc w:val="left"/>
        <w:rPr>
          <w:rFonts w:hint="eastAsia" w:ascii="Times New Roman" w:hAnsi="Times New Roman" w:eastAsia="宋体" w:cs="宋体"/>
          <w:b/>
          <w:color w:val="auto"/>
          <w:szCs w:val="21"/>
          <w:highlight w:val="none"/>
          <w:shd w:val="clear" w:color="auto" w:fill="auto"/>
        </w:rPr>
      </w:pPr>
    </w:p>
    <w:p w14:paraId="75631E5D">
      <w:pPr>
        <w:adjustRightInd w:val="0"/>
        <w:snapToGrid w:val="0"/>
        <w:spacing w:line="480" w:lineRule="exact"/>
        <w:ind w:firstLine="0" w:firstLineChars="0"/>
        <w:jc w:val="left"/>
        <w:rPr>
          <w:rFonts w:hint="eastAsia" w:ascii="Times New Roman" w:hAnsi="Times New Roman" w:eastAsia="宋体" w:cs="宋体"/>
          <w:b/>
          <w:color w:val="auto"/>
          <w:szCs w:val="21"/>
          <w:highlight w:val="none"/>
          <w:shd w:val="clear" w:color="auto" w:fill="auto"/>
        </w:rPr>
      </w:pPr>
    </w:p>
    <w:p w14:paraId="745CC6F2">
      <w:pPr>
        <w:adjustRightInd w:val="0"/>
        <w:snapToGrid w:val="0"/>
        <w:spacing w:line="480" w:lineRule="exact"/>
        <w:ind w:firstLine="0" w:firstLineChars="0"/>
        <w:jc w:val="left"/>
        <w:rPr>
          <w:rFonts w:hint="eastAsia" w:ascii="Times New Roman" w:hAnsi="Times New Roman" w:eastAsia="宋体" w:cs="宋体"/>
          <w:b/>
          <w:color w:val="auto"/>
          <w:szCs w:val="21"/>
          <w:highlight w:val="none"/>
          <w:shd w:val="clear" w:color="auto" w:fill="auto"/>
        </w:rPr>
      </w:pPr>
    </w:p>
    <w:p w14:paraId="1F54FBE0">
      <w:pPr>
        <w:adjustRightInd w:val="0"/>
        <w:snapToGrid w:val="0"/>
        <w:spacing w:line="480" w:lineRule="exact"/>
        <w:ind w:firstLine="0" w:firstLineChars="0"/>
        <w:jc w:val="left"/>
        <w:rPr>
          <w:rFonts w:hint="eastAsia" w:ascii="Times New Roman" w:hAnsi="Times New Roman" w:eastAsia="宋体" w:cs="宋体"/>
          <w:b/>
          <w:color w:val="auto"/>
          <w:szCs w:val="21"/>
          <w:highlight w:val="none"/>
          <w:shd w:val="clear" w:color="auto" w:fill="auto"/>
        </w:rPr>
      </w:pPr>
    </w:p>
    <w:p w14:paraId="1E7B5081">
      <w:pPr>
        <w:adjustRightInd w:val="0"/>
        <w:snapToGrid w:val="0"/>
        <w:spacing w:line="480" w:lineRule="exact"/>
        <w:ind w:firstLine="0" w:firstLineChars="0"/>
        <w:jc w:val="left"/>
        <w:rPr>
          <w:rFonts w:hint="eastAsia" w:ascii="Times New Roman" w:hAnsi="Times New Roman" w:eastAsia="宋体" w:cs="宋体"/>
          <w:b/>
          <w:color w:val="auto"/>
          <w:szCs w:val="21"/>
          <w:highlight w:val="none"/>
          <w:shd w:val="clear" w:color="auto" w:fill="auto"/>
        </w:rPr>
      </w:pPr>
    </w:p>
    <w:p w14:paraId="234C0E22">
      <w:pPr>
        <w:adjustRightInd w:val="0"/>
        <w:snapToGrid w:val="0"/>
        <w:spacing w:line="480" w:lineRule="exact"/>
        <w:ind w:firstLine="0" w:firstLineChars="0"/>
        <w:jc w:val="left"/>
        <w:rPr>
          <w:rFonts w:hint="eastAsia" w:ascii="Times New Roman" w:hAnsi="Times New Roman" w:eastAsia="宋体" w:cs="宋体"/>
          <w:b/>
          <w:color w:val="auto"/>
          <w:szCs w:val="21"/>
          <w:highlight w:val="none"/>
          <w:shd w:val="clear" w:color="auto" w:fill="auto"/>
        </w:rPr>
      </w:pPr>
    </w:p>
    <w:p w14:paraId="48F8C55C">
      <w:pPr>
        <w:adjustRightInd w:val="0"/>
        <w:snapToGrid w:val="0"/>
        <w:spacing w:line="480" w:lineRule="exact"/>
        <w:ind w:firstLine="0" w:firstLineChars="0"/>
        <w:jc w:val="left"/>
        <w:rPr>
          <w:rFonts w:hint="eastAsia" w:ascii="Times New Roman" w:hAnsi="Times New Roman" w:eastAsia="宋体" w:cs="宋体"/>
          <w:b/>
          <w:color w:val="auto"/>
          <w:szCs w:val="21"/>
          <w:highlight w:val="none"/>
          <w:shd w:val="clear" w:color="auto" w:fill="auto"/>
        </w:rPr>
      </w:pPr>
    </w:p>
    <w:p w14:paraId="395E17C7">
      <w:pPr>
        <w:adjustRightInd w:val="0"/>
        <w:snapToGrid w:val="0"/>
        <w:spacing w:line="480" w:lineRule="exact"/>
        <w:ind w:firstLine="0" w:firstLineChars="0"/>
        <w:jc w:val="left"/>
        <w:rPr>
          <w:rFonts w:hint="eastAsia" w:ascii="Times New Roman" w:hAnsi="Times New Roman" w:eastAsia="宋体" w:cs="宋体"/>
          <w:b/>
          <w:color w:val="auto"/>
          <w:szCs w:val="21"/>
          <w:highlight w:val="none"/>
          <w:shd w:val="clear" w:color="auto" w:fill="auto"/>
        </w:rPr>
      </w:pPr>
    </w:p>
    <w:p w14:paraId="26A45511">
      <w:pPr>
        <w:adjustRightInd w:val="0"/>
        <w:snapToGrid w:val="0"/>
        <w:spacing w:line="480" w:lineRule="exact"/>
        <w:ind w:firstLine="0" w:firstLineChars="0"/>
        <w:jc w:val="left"/>
        <w:rPr>
          <w:rFonts w:ascii="Times New Roman" w:hAnsi="Times New Roman" w:eastAsia="宋体" w:cs="宋体"/>
          <w:b/>
          <w:color w:val="auto"/>
          <w:szCs w:val="21"/>
          <w:highlight w:val="none"/>
          <w:shd w:val="clear" w:color="auto" w:fill="auto"/>
        </w:rPr>
      </w:pPr>
      <w:r>
        <w:rPr>
          <w:rFonts w:hint="eastAsia" w:ascii="Times New Roman" w:hAnsi="Times New Roman" w:eastAsia="宋体" w:cs="宋体"/>
          <w:b/>
          <w:color w:val="auto"/>
          <w:szCs w:val="21"/>
          <w:highlight w:val="none"/>
          <w:shd w:val="clear" w:color="auto" w:fill="auto"/>
        </w:rPr>
        <w:t>附件</w:t>
      </w:r>
      <w:r>
        <w:rPr>
          <w:rFonts w:hint="eastAsia" w:ascii="Times New Roman" w:hAnsi="Times New Roman" w:eastAsia="宋体" w:cs="宋体"/>
          <w:b/>
          <w:color w:val="auto"/>
          <w:szCs w:val="21"/>
          <w:highlight w:val="none"/>
          <w:shd w:val="clear" w:color="auto" w:fill="auto"/>
          <w:lang w:val="en-US" w:eastAsia="zh-CN"/>
        </w:rPr>
        <w:t>1</w:t>
      </w:r>
      <w:r>
        <w:rPr>
          <w:rFonts w:hint="eastAsia" w:ascii="Times New Roman" w:hAnsi="Times New Roman" w:eastAsia="宋体" w:cs="宋体"/>
          <w:b/>
          <w:color w:val="auto"/>
          <w:szCs w:val="21"/>
          <w:highlight w:val="none"/>
          <w:shd w:val="clear" w:color="auto" w:fill="auto"/>
        </w:rPr>
        <w:t>：</w:t>
      </w:r>
    </w:p>
    <w:p w14:paraId="1ECC0C81">
      <w:pPr>
        <w:spacing w:beforeLines="50" w:afterLines="50" w:line="440" w:lineRule="exact"/>
        <w:ind w:firstLine="0" w:firstLineChars="0"/>
        <w:jc w:val="center"/>
        <w:rPr>
          <w:rFonts w:ascii="Times New Roman" w:hAnsi="Times New Roman" w:eastAsia="宋体" w:cs="宋体"/>
          <w:b/>
          <w:bCs/>
          <w:color w:val="auto"/>
          <w:sz w:val="28"/>
          <w:szCs w:val="28"/>
          <w:highlight w:val="none"/>
          <w:shd w:val="clear" w:color="auto" w:fill="auto"/>
        </w:rPr>
      </w:pPr>
      <w:r>
        <w:rPr>
          <w:rFonts w:hint="eastAsia" w:ascii="Times New Roman" w:hAnsi="Times New Roman" w:eastAsia="宋体" w:cs="宋体"/>
          <w:b/>
          <w:bCs/>
          <w:color w:val="auto"/>
          <w:sz w:val="28"/>
          <w:szCs w:val="28"/>
          <w:highlight w:val="none"/>
          <w:shd w:val="clear" w:color="auto" w:fill="auto"/>
        </w:rPr>
        <w:t>工程质量保修书</w:t>
      </w:r>
    </w:p>
    <w:p w14:paraId="372C6DBE">
      <w:pPr>
        <w:keepNext w:val="0"/>
        <w:keepLines w:val="0"/>
        <w:pageBreakBefore w:val="0"/>
        <w:kinsoku/>
        <w:wordWrap/>
        <w:overflowPunct/>
        <w:topLinePunct w:val="0"/>
        <w:autoSpaceDE/>
        <w:autoSpaceDN/>
        <w:bidi w:val="0"/>
        <w:spacing w:line="360" w:lineRule="auto"/>
        <w:ind w:left="0" w:leftChars="0" w:firstLine="420" w:firstLineChars="200"/>
        <w:textAlignment w:val="auto"/>
        <w:rPr>
          <w:rFonts w:hint="eastAsia" w:ascii="Times New Roman" w:hAnsi="Times New Roman" w:eastAsia="宋体" w:cs="宋体"/>
          <w:color w:val="auto"/>
          <w:szCs w:val="21"/>
          <w:highlight w:val="none"/>
          <w:shd w:val="clear" w:color="auto" w:fill="auto"/>
          <w:lang w:eastAsia="zh-CN"/>
        </w:rPr>
      </w:pPr>
      <w:r>
        <w:rPr>
          <w:rFonts w:hint="eastAsia" w:ascii="Times New Roman" w:hAnsi="Times New Roman" w:eastAsia="宋体" w:cs="宋体"/>
          <w:color w:val="auto"/>
          <w:szCs w:val="21"/>
          <w:highlight w:val="none"/>
          <w:shd w:val="clear" w:color="auto" w:fill="auto"/>
          <w:lang w:eastAsia="zh-CN"/>
        </w:rPr>
        <w:t>甲方</w:t>
      </w:r>
      <w:r>
        <w:rPr>
          <w:rFonts w:hint="eastAsia" w:ascii="Times New Roman" w:hAnsi="Times New Roman" w:eastAsia="宋体" w:cs="宋体"/>
          <w:color w:val="auto"/>
          <w:szCs w:val="21"/>
          <w:highlight w:val="none"/>
          <w:shd w:val="clear" w:color="auto" w:fill="auto"/>
        </w:rPr>
        <w:t>（全称）：</w:t>
      </w:r>
      <w:r>
        <w:rPr>
          <w:rFonts w:hint="eastAsia" w:ascii="Times New Roman" w:hAnsi="Times New Roman" w:eastAsia="宋体" w:cs="宋体"/>
          <w:color w:val="auto"/>
          <w:szCs w:val="21"/>
          <w:highlight w:val="none"/>
          <w:u w:val="single"/>
          <w:shd w:val="clear" w:color="auto" w:fill="auto"/>
          <w:lang w:eastAsia="zh-CN"/>
        </w:rPr>
        <w:t>连云港徐圩城建工程有限公司</w:t>
      </w:r>
    </w:p>
    <w:p w14:paraId="2581321E">
      <w:pPr>
        <w:keepNext w:val="0"/>
        <w:keepLines w:val="0"/>
        <w:pageBreakBefore w:val="0"/>
        <w:kinsoku/>
        <w:wordWrap/>
        <w:overflowPunct/>
        <w:topLinePunct w:val="0"/>
        <w:autoSpaceDE/>
        <w:autoSpaceDN/>
        <w:bidi w:val="0"/>
        <w:spacing w:line="360" w:lineRule="auto"/>
        <w:ind w:left="0" w:leftChars="0" w:firstLine="420" w:firstLineChars="200"/>
        <w:textAlignment w:val="auto"/>
        <w:rPr>
          <w:rFonts w:hint="default" w:ascii="Times New Roman" w:hAnsi="Times New Roman" w:eastAsia="宋体" w:cs="宋体"/>
          <w:color w:val="auto"/>
          <w:szCs w:val="21"/>
          <w:highlight w:val="none"/>
          <w:shd w:val="clear" w:color="auto" w:fill="auto"/>
          <w:lang w:val="en-US" w:eastAsia="zh-CN"/>
        </w:rPr>
      </w:pPr>
      <w:r>
        <w:rPr>
          <w:rFonts w:hint="eastAsia" w:ascii="Times New Roman" w:hAnsi="Times New Roman" w:eastAsia="宋体" w:cs="宋体"/>
          <w:color w:val="auto"/>
          <w:szCs w:val="21"/>
          <w:highlight w:val="none"/>
          <w:shd w:val="clear" w:color="auto" w:fill="auto"/>
          <w:lang w:eastAsia="zh-CN"/>
        </w:rPr>
        <w:t>乙方</w:t>
      </w:r>
      <w:r>
        <w:rPr>
          <w:rFonts w:hint="eastAsia" w:ascii="Times New Roman" w:hAnsi="Times New Roman" w:eastAsia="宋体" w:cs="宋体"/>
          <w:color w:val="auto"/>
          <w:szCs w:val="21"/>
          <w:highlight w:val="none"/>
          <w:shd w:val="clear" w:color="auto" w:fill="auto"/>
        </w:rPr>
        <w:t>（全称）：</w:t>
      </w:r>
      <w:r>
        <w:rPr>
          <w:rFonts w:hint="eastAsia" w:ascii="Times New Roman" w:hAnsi="Times New Roman" w:eastAsia="宋体" w:cs="宋体"/>
          <w:color w:val="auto"/>
          <w:szCs w:val="21"/>
          <w:highlight w:val="none"/>
          <w:u w:val="single"/>
          <w:shd w:val="clear" w:color="auto" w:fill="auto"/>
          <w:lang w:val="en-US" w:eastAsia="zh-CN"/>
        </w:rPr>
        <w:t xml:space="preserve">                        </w:t>
      </w:r>
    </w:p>
    <w:p w14:paraId="3B883B0F">
      <w:pPr>
        <w:spacing w:line="400" w:lineRule="exact"/>
        <w:ind w:firstLine="0" w:firstLineChars="0"/>
        <w:rPr>
          <w:rFonts w:ascii="Times New Roman" w:hAnsi="Times New Roman" w:eastAsia="宋体" w:cs="宋体"/>
          <w:color w:val="000000"/>
          <w:szCs w:val="21"/>
          <w:highlight w:val="none"/>
          <w:shd w:val="clear" w:color="auto" w:fill="auto"/>
        </w:rPr>
      </w:pPr>
      <w:r>
        <w:rPr>
          <w:rFonts w:hint="eastAsia" w:ascii="Times New Roman" w:hAnsi="Times New Roman" w:eastAsia="宋体" w:cs="宋体"/>
          <w:color w:val="000000"/>
          <w:szCs w:val="21"/>
          <w:highlight w:val="none"/>
          <w:shd w:val="clear" w:color="auto" w:fill="auto"/>
          <w:lang w:eastAsia="zh-CN"/>
        </w:rPr>
        <w:t>甲方</w:t>
      </w:r>
      <w:r>
        <w:rPr>
          <w:rFonts w:hint="eastAsia" w:ascii="Times New Roman" w:hAnsi="Times New Roman" w:eastAsia="宋体" w:cs="宋体"/>
          <w:color w:val="000000"/>
          <w:szCs w:val="21"/>
          <w:highlight w:val="none"/>
          <w:shd w:val="clear" w:color="auto" w:fill="auto"/>
        </w:rPr>
        <w:t>和</w:t>
      </w:r>
      <w:r>
        <w:rPr>
          <w:rFonts w:hint="eastAsia" w:ascii="Times New Roman" w:hAnsi="Times New Roman" w:eastAsia="宋体" w:cs="宋体"/>
          <w:color w:val="000000"/>
          <w:szCs w:val="21"/>
          <w:highlight w:val="none"/>
          <w:shd w:val="clear" w:color="auto" w:fill="auto"/>
          <w:lang w:eastAsia="zh-CN"/>
        </w:rPr>
        <w:t>乙方</w:t>
      </w:r>
      <w:r>
        <w:rPr>
          <w:rFonts w:hint="eastAsia" w:ascii="Times New Roman" w:hAnsi="Times New Roman" w:eastAsia="宋体" w:cs="宋体"/>
          <w:color w:val="000000"/>
          <w:szCs w:val="21"/>
          <w:highlight w:val="none"/>
          <w:shd w:val="clear" w:color="auto" w:fill="auto"/>
        </w:rPr>
        <w:t>根据《中华人民共和国建筑法》和《建设工程质量管理条例》，经协商一致就</w:t>
      </w:r>
      <w:r>
        <w:rPr>
          <w:rFonts w:hint="eastAsia" w:ascii="Times New Roman" w:hAnsi="Times New Roman" w:eastAsia="宋体" w:cs="宋体"/>
          <w:color w:val="000000"/>
          <w:szCs w:val="21"/>
          <w:highlight w:val="none"/>
          <w:u w:val="single"/>
          <w:shd w:val="clear" w:color="auto" w:fill="auto"/>
        </w:rPr>
        <w:t xml:space="preserve"> </w:t>
      </w:r>
      <w:r>
        <w:rPr>
          <w:rFonts w:hint="eastAsia" w:cs="宋体"/>
          <w:color w:val="000000"/>
          <w:szCs w:val="21"/>
          <w:highlight w:val="none"/>
          <w:u w:val="single"/>
          <w:shd w:val="clear" w:color="auto" w:fill="auto"/>
          <w:lang w:eastAsia="zh-CN"/>
        </w:rPr>
        <w:t>物流集散道路工程EPC项目-道路工程劳务</w:t>
      </w:r>
      <w:r>
        <w:rPr>
          <w:rFonts w:hint="eastAsia" w:ascii="Times New Roman" w:hAnsi="Times New Roman" w:eastAsia="宋体" w:cs="宋体"/>
          <w:color w:val="000000"/>
          <w:szCs w:val="21"/>
          <w:highlight w:val="none"/>
          <w:shd w:val="clear" w:color="auto" w:fill="auto"/>
        </w:rPr>
        <w:t>（工程全称）签订工程质量保修书。</w:t>
      </w:r>
    </w:p>
    <w:p w14:paraId="488B5592">
      <w:pPr>
        <w:spacing w:line="400" w:lineRule="exact"/>
        <w:ind w:firstLine="0" w:firstLineChars="0"/>
        <w:outlineLvl w:val="0"/>
        <w:rPr>
          <w:rFonts w:ascii="Times New Roman" w:hAnsi="Times New Roman" w:eastAsia="宋体" w:cs="宋体"/>
          <w:color w:val="000000"/>
          <w:szCs w:val="21"/>
          <w:highlight w:val="none"/>
          <w:shd w:val="clear" w:color="auto" w:fill="auto"/>
        </w:rPr>
      </w:pPr>
      <w:r>
        <w:rPr>
          <w:rFonts w:hint="eastAsia" w:ascii="Times New Roman" w:hAnsi="Times New Roman" w:eastAsia="宋体" w:cs="宋体"/>
          <w:color w:val="000000"/>
          <w:szCs w:val="21"/>
          <w:highlight w:val="none"/>
          <w:shd w:val="clear" w:color="auto" w:fill="auto"/>
        </w:rPr>
        <w:t>一、工程质量保修范围和内容</w:t>
      </w:r>
    </w:p>
    <w:p w14:paraId="0DD9E949">
      <w:pPr>
        <w:spacing w:line="400" w:lineRule="exact"/>
        <w:ind w:firstLine="0" w:firstLineChars="0"/>
        <w:rPr>
          <w:rFonts w:ascii="Times New Roman" w:hAnsi="Times New Roman" w:eastAsia="宋体" w:cs="宋体"/>
          <w:color w:val="000000"/>
          <w:szCs w:val="21"/>
          <w:highlight w:val="none"/>
          <w:shd w:val="clear" w:color="auto" w:fill="auto"/>
        </w:rPr>
      </w:pPr>
      <w:r>
        <w:rPr>
          <w:rFonts w:hint="eastAsia" w:ascii="Times New Roman" w:hAnsi="Times New Roman" w:eastAsia="宋体" w:cs="宋体"/>
          <w:color w:val="000000"/>
          <w:szCs w:val="21"/>
          <w:highlight w:val="none"/>
          <w:shd w:val="clear" w:color="auto" w:fill="auto"/>
          <w:lang w:eastAsia="zh-CN"/>
        </w:rPr>
        <w:t>乙方</w:t>
      </w:r>
      <w:r>
        <w:rPr>
          <w:rFonts w:hint="eastAsia" w:ascii="Times New Roman" w:hAnsi="Times New Roman" w:eastAsia="宋体" w:cs="宋体"/>
          <w:color w:val="000000"/>
          <w:szCs w:val="21"/>
          <w:highlight w:val="none"/>
          <w:shd w:val="clear" w:color="auto" w:fill="auto"/>
        </w:rPr>
        <w:t>在质量保修期内，按照有关法律规定和合同约定，承担工程质量保修责任。</w:t>
      </w:r>
    </w:p>
    <w:p w14:paraId="5DD276EE">
      <w:pPr>
        <w:spacing w:line="400" w:lineRule="exact"/>
        <w:ind w:firstLine="0" w:firstLineChars="0"/>
        <w:rPr>
          <w:rFonts w:hint="eastAsia" w:ascii="Times New Roman" w:hAnsi="Times New Roman" w:eastAsia="宋体" w:cs="宋体"/>
          <w:color w:val="000000"/>
          <w:szCs w:val="21"/>
          <w:highlight w:val="none"/>
          <w:shd w:val="clear" w:color="auto" w:fill="auto"/>
        </w:rPr>
      </w:pPr>
      <w:r>
        <w:rPr>
          <w:rFonts w:hint="eastAsia" w:ascii="Times New Roman" w:hAnsi="Times New Roman" w:eastAsia="宋体" w:cs="宋体"/>
          <w:color w:val="000000"/>
          <w:szCs w:val="21"/>
          <w:highlight w:val="none"/>
          <w:shd w:val="clear" w:color="auto" w:fill="auto"/>
        </w:rPr>
        <w:t>质量保修范围：包括地基基础工程、主体结构工程，屋面防水工程、有防水要求的卫生间、房间和外墙面的防渗漏，供热与供冷系统，电气管线、给排水管道、设备安装和装修工程，以及双方约定的其他项目。</w:t>
      </w:r>
    </w:p>
    <w:p w14:paraId="0B16F897">
      <w:pPr>
        <w:spacing w:line="400" w:lineRule="exact"/>
        <w:ind w:firstLine="0" w:firstLineChars="0"/>
        <w:rPr>
          <w:rFonts w:ascii="Times New Roman" w:hAnsi="Times New Roman" w:eastAsia="宋体" w:cs="宋体"/>
          <w:color w:val="000000"/>
          <w:szCs w:val="21"/>
          <w:highlight w:val="none"/>
          <w:shd w:val="clear" w:color="auto" w:fill="auto"/>
        </w:rPr>
      </w:pPr>
      <w:r>
        <w:rPr>
          <w:rFonts w:hint="eastAsia" w:ascii="Times New Roman" w:hAnsi="Times New Roman" w:eastAsia="宋体" w:cs="宋体"/>
          <w:color w:val="000000"/>
          <w:szCs w:val="21"/>
          <w:highlight w:val="none"/>
          <w:shd w:val="clear" w:color="auto" w:fill="auto"/>
        </w:rPr>
        <w:t>具体保修的内容，双方约定如下：</w:t>
      </w:r>
      <w:r>
        <w:rPr>
          <w:rFonts w:hint="eastAsia" w:ascii="Times New Roman" w:hAnsi="Times New Roman" w:eastAsia="宋体" w:cs="宋体"/>
          <w:color w:val="000000"/>
          <w:szCs w:val="21"/>
          <w:highlight w:val="none"/>
          <w:u w:val="single"/>
          <w:shd w:val="clear" w:color="auto" w:fill="auto"/>
        </w:rPr>
        <w:t>与本工程相关的任何工程，在合理的理解和公允的判断下应当由</w:t>
      </w:r>
      <w:r>
        <w:rPr>
          <w:rFonts w:hint="eastAsia" w:ascii="Times New Roman" w:hAnsi="Times New Roman" w:eastAsia="宋体" w:cs="宋体"/>
          <w:color w:val="000000"/>
          <w:szCs w:val="21"/>
          <w:highlight w:val="none"/>
          <w:u w:val="single"/>
          <w:shd w:val="clear" w:color="auto" w:fill="auto"/>
          <w:lang w:eastAsia="zh-CN"/>
        </w:rPr>
        <w:t>乙方</w:t>
      </w:r>
      <w:r>
        <w:rPr>
          <w:rFonts w:hint="eastAsia" w:ascii="Times New Roman" w:hAnsi="Times New Roman" w:eastAsia="宋体" w:cs="宋体"/>
          <w:color w:val="000000"/>
          <w:szCs w:val="21"/>
          <w:highlight w:val="none"/>
          <w:u w:val="single"/>
          <w:shd w:val="clear" w:color="auto" w:fill="auto"/>
        </w:rPr>
        <w:t>承担责任的，</w:t>
      </w:r>
      <w:r>
        <w:rPr>
          <w:rFonts w:hint="eastAsia" w:ascii="Times New Roman" w:hAnsi="Times New Roman" w:eastAsia="宋体" w:cs="宋体"/>
          <w:color w:val="000000"/>
          <w:szCs w:val="21"/>
          <w:highlight w:val="none"/>
          <w:u w:val="single"/>
          <w:shd w:val="clear" w:color="auto" w:fill="auto"/>
          <w:lang w:eastAsia="zh-CN"/>
        </w:rPr>
        <w:t>乙方</w:t>
      </w:r>
      <w:r>
        <w:rPr>
          <w:rFonts w:hint="eastAsia" w:ascii="Times New Roman" w:hAnsi="Times New Roman" w:eastAsia="宋体" w:cs="宋体"/>
          <w:color w:val="000000"/>
          <w:szCs w:val="21"/>
          <w:highlight w:val="none"/>
          <w:u w:val="single"/>
          <w:shd w:val="clear" w:color="auto" w:fill="auto"/>
        </w:rPr>
        <w:t>应承担相应的质量保证责任</w:t>
      </w:r>
      <w:r>
        <w:rPr>
          <w:rFonts w:hint="eastAsia" w:ascii="Times New Roman" w:hAnsi="Times New Roman" w:eastAsia="宋体" w:cs="宋体"/>
          <w:color w:val="000000"/>
          <w:szCs w:val="21"/>
          <w:highlight w:val="none"/>
          <w:shd w:val="clear" w:color="auto" w:fill="auto"/>
        </w:rPr>
        <w:t>。</w:t>
      </w:r>
    </w:p>
    <w:p w14:paraId="2C5B54C0">
      <w:pPr>
        <w:spacing w:line="400" w:lineRule="exact"/>
        <w:ind w:firstLine="0" w:firstLineChars="0"/>
        <w:rPr>
          <w:rFonts w:ascii="Times New Roman" w:hAnsi="Times New Roman" w:eastAsia="宋体" w:cs="宋体"/>
          <w:color w:val="000000"/>
          <w:szCs w:val="21"/>
          <w:highlight w:val="none"/>
          <w:shd w:val="clear" w:color="auto" w:fill="auto"/>
        </w:rPr>
      </w:pPr>
      <w:r>
        <w:rPr>
          <w:rFonts w:hint="eastAsia" w:ascii="Times New Roman" w:hAnsi="Times New Roman" w:eastAsia="宋体" w:cs="宋体"/>
          <w:color w:val="000000"/>
          <w:szCs w:val="21"/>
          <w:highlight w:val="none"/>
          <w:shd w:val="clear" w:color="auto" w:fill="auto"/>
        </w:rPr>
        <w:t>二、质量保修期</w:t>
      </w:r>
    </w:p>
    <w:p w14:paraId="241E2379">
      <w:pPr>
        <w:spacing w:line="400" w:lineRule="exact"/>
        <w:ind w:firstLine="420" w:firstLineChars="200"/>
        <w:rPr>
          <w:rFonts w:ascii="Times New Roman" w:hAnsi="Times New Roman" w:eastAsia="宋体" w:cs="宋体"/>
          <w:color w:val="000000"/>
          <w:szCs w:val="21"/>
          <w:highlight w:val="none"/>
          <w:shd w:val="clear" w:color="auto" w:fill="auto"/>
        </w:rPr>
      </w:pPr>
      <w:r>
        <w:rPr>
          <w:rFonts w:hint="eastAsia" w:ascii="Times New Roman" w:hAnsi="Times New Roman" w:eastAsia="宋体" w:cs="宋体"/>
          <w:color w:val="000000"/>
          <w:szCs w:val="21"/>
          <w:highlight w:val="none"/>
          <w:shd w:val="clear" w:color="auto" w:fill="auto"/>
        </w:rPr>
        <w:t>根据《建设工程质量管理条例》及有关规定，工程的质量保修期如下：</w:t>
      </w:r>
    </w:p>
    <w:p w14:paraId="73EF772A">
      <w:pPr>
        <w:spacing w:line="400" w:lineRule="exact"/>
        <w:ind w:firstLine="420" w:firstLineChars="200"/>
        <w:rPr>
          <w:rFonts w:ascii="Times New Roman" w:hAnsi="Times New Roman" w:eastAsia="宋体" w:cs="宋体"/>
          <w:color w:val="000000"/>
          <w:szCs w:val="21"/>
          <w:highlight w:val="none"/>
          <w:shd w:val="clear" w:color="auto" w:fill="auto"/>
        </w:rPr>
      </w:pPr>
      <w:r>
        <w:rPr>
          <w:rFonts w:hint="eastAsia" w:ascii="Times New Roman" w:hAnsi="Times New Roman" w:eastAsia="宋体" w:cs="宋体"/>
          <w:color w:val="000000"/>
          <w:szCs w:val="21"/>
          <w:highlight w:val="none"/>
          <w:shd w:val="clear" w:color="auto" w:fill="auto"/>
        </w:rPr>
        <w:t>1．地基基础工程和主体结构工程为设计文件规定的工程合理使用年限；</w:t>
      </w:r>
    </w:p>
    <w:p w14:paraId="0FAD865E">
      <w:pPr>
        <w:spacing w:line="400" w:lineRule="exact"/>
        <w:ind w:firstLine="420" w:firstLineChars="200"/>
        <w:rPr>
          <w:rFonts w:ascii="Times New Roman" w:hAnsi="Times New Roman" w:eastAsia="宋体" w:cs="宋体"/>
          <w:color w:val="000000"/>
          <w:szCs w:val="21"/>
          <w:highlight w:val="none"/>
          <w:shd w:val="clear" w:color="auto" w:fill="auto"/>
        </w:rPr>
      </w:pPr>
      <w:r>
        <w:rPr>
          <w:rFonts w:hint="eastAsia" w:ascii="Times New Roman" w:hAnsi="Times New Roman" w:eastAsia="宋体" w:cs="宋体"/>
          <w:color w:val="000000"/>
          <w:szCs w:val="21"/>
          <w:highlight w:val="none"/>
          <w:shd w:val="clear" w:color="auto" w:fill="auto"/>
        </w:rPr>
        <w:t>2．屋面防水工程、有防水要求的卫生间、房间和外墙面的防渗为</w:t>
      </w:r>
      <w:r>
        <w:rPr>
          <w:rFonts w:hint="eastAsia" w:ascii="Times New Roman" w:hAnsi="Times New Roman" w:eastAsia="宋体" w:cs="宋体"/>
          <w:color w:val="000000"/>
          <w:szCs w:val="21"/>
          <w:highlight w:val="none"/>
          <w:u w:val="single"/>
          <w:shd w:val="clear" w:color="auto" w:fill="auto"/>
        </w:rPr>
        <w:t xml:space="preserve">  5  </w:t>
      </w:r>
      <w:r>
        <w:rPr>
          <w:rFonts w:hint="eastAsia" w:ascii="Times New Roman" w:hAnsi="Times New Roman" w:eastAsia="宋体" w:cs="宋体"/>
          <w:color w:val="000000"/>
          <w:szCs w:val="21"/>
          <w:highlight w:val="none"/>
          <w:shd w:val="clear" w:color="auto" w:fill="auto"/>
        </w:rPr>
        <w:t>年；</w:t>
      </w:r>
    </w:p>
    <w:p w14:paraId="3189F4E2">
      <w:pPr>
        <w:spacing w:line="400" w:lineRule="exact"/>
        <w:ind w:firstLine="420" w:firstLineChars="200"/>
        <w:rPr>
          <w:rFonts w:ascii="Times New Roman" w:hAnsi="Times New Roman" w:eastAsia="宋体" w:cs="宋体"/>
          <w:color w:val="000000"/>
          <w:szCs w:val="21"/>
          <w:highlight w:val="none"/>
          <w:shd w:val="clear" w:color="auto" w:fill="auto"/>
        </w:rPr>
      </w:pPr>
      <w:r>
        <w:rPr>
          <w:rFonts w:hint="eastAsia" w:ascii="Times New Roman" w:hAnsi="Times New Roman" w:eastAsia="宋体" w:cs="宋体"/>
          <w:color w:val="000000"/>
          <w:szCs w:val="21"/>
          <w:highlight w:val="none"/>
          <w:shd w:val="clear" w:color="auto" w:fill="auto"/>
        </w:rPr>
        <w:t>3．装修工程为</w:t>
      </w:r>
      <w:r>
        <w:rPr>
          <w:rFonts w:hint="eastAsia" w:ascii="Times New Roman" w:hAnsi="Times New Roman" w:eastAsia="宋体" w:cs="宋体"/>
          <w:color w:val="000000"/>
          <w:szCs w:val="21"/>
          <w:highlight w:val="none"/>
          <w:u w:val="single"/>
          <w:shd w:val="clear" w:color="auto" w:fill="auto"/>
        </w:rPr>
        <w:t xml:space="preserve">  2  </w:t>
      </w:r>
      <w:r>
        <w:rPr>
          <w:rFonts w:hint="eastAsia" w:ascii="Times New Roman" w:hAnsi="Times New Roman" w:eastAsia="宋体" w:cs="宋体"/>
          <w:color w:val="000000"/>
          <w:szCs w:val="21"/>
          <w:highlight w:val="none"/>
          <w:shd w:val="clear" w:color="auto" w:fill="auto"/>
        </w:rPr>
        <w:t>年；</w:t>
      </w:r>
    </w:p>
    <w:p w14:paraId="7AA9962D">
      <w:pPr>
        <w:spacing w:line="400" w:lineRule="exact"/>
        <w:ind w:firstLine="420" w:firstLineChars="200"/>
        <w:rPr>
          <w:rFonts w:ascii="Times New Roman" w:hAnsi="Times New Roman" w:eastAsia="宋体" w:cs="宋体"/>
          <w:color w:val="000000"/>
          <w:szCs w:val="21"/>
          <w:highlight w:val="none"/>
          <w:shd w:val="clear" w:color="auto" w:fill="auto"/>
        </w:rPr>
      </w:pPr>
      <w:r>
        <w:rPr>
          <w:rFonts w:hint="eastAsia" w:ascii="Times New Roman" w:hAnsi="Times New Roman" w:eastAsia="宋体" w:cs="宋体"/>
          <w:color w:val="000000"/>
          <w:szCs w:val="21"/>
          <w:highlight w:val="none"/>
          <w:shd w:val="clear" w:color="auto" w:fill="auto"/>
        </w:rPr>
        <w:t>4．电气管线、给排水管道、设备安装工程为</w:t>
      </w:r>
      <w:r>
        <w:rPr>
          <w:rFonts w:hint="eastAsia" w:ascii="Times New Roman" w:hAnsi="Times New Roman" w:eastAsia="宋体" w:cs="宋体"/>
          <w:color w:val="000000"/>
          <w:szCs w:val="21"/>
          <w:highlight w:val="none"/>
          <w:u w:val="single"/>
          <w:shd w:val="clear" w:color="auto" w:fill="auto"/>
        </w:rPr>
        <w:t xml:space="preserve">  2  </w:t>
      </w:r>
      <w:r>
        <w:rPr>
          <w:rFonts w:hint="eastAsia" w:ascii="Times New Roman" w:hAnsi="Times New Roman" w:eastAsia="宋体" w:cs="宋体"/>
          <w:color w:val="000000"/>
          <w:szCs w:val="21"/>
          <w:highlight w:val="none"/>
          <w:shd w:val="clear" w:color="auto" w:fill="auto"/>
        </w:rPr>
        <w:t>年；</w:t>
      </w:r>
    </w:p>
    <w:p w14:paraId="0B517B10">
      <w:pPr>
        <w:spacing w:line="400" w:lineRule="exact"/>
        <w:ind w:firstLine="420" w:firstLineChars="200"/>
        <w:rPr>
          <w:rFonts w:ascii="Times New Roman" w:hAnsi="Times New Roman" w:eastAsia="宋体" w:cs="宋体"/>
          <w:color w:val="000000"/>
          <w:szCs w:val="21"/>
          <w:highlight w:val="none"/>
          <w:shd w:val="clear" w:color="auto" w:fill="auto"/>
        </w:rPr>
      </w:pPr>
      <w:r>
        <w:rPr>
          <w:rFonts w:hint="eastAsia" w:ascii="Times New Roman" w:hAnsi="Times New Roman" w:eastAsia="宋体" w:cs="宋体"/>
          <w:color w:val="000000"/>
          <w:szCs w:val="21"/>
          <w:highlight w:val="none"/>
          <w:shd w:val="clear" w:color="auto" w:fill="auto"/>
        </w:rPr>
        <w:t>5．供热与供冷系统为</w:t>
      </w:r>
      <w:r>
        <w:rPr>
          <w:rFonts w:hint="eastAsia" w:ascii="Times New Roman" w:hAnsi="Times New Roman" w:eastAsia="宋体" w:cs="宋体"/>
          <w:color w:val="000000"/>
          <w:szCs w:val="21"/>
          <w:highlight w:val="none"/>
          <w:u w:val="single"/>
          <w:shd w:val="clear" w:color="auto" w:fill="auto"/>
        </w:rPr>
        <w:t xml:space="preserve">  2  </w:t>
      </w:r>
      <w:r>
        <w:rPr>
          <w:rFonts w:hint="eastAsia" w:ascii="Times New Roman" w:hAnsi="Times New Roman" w:eastAsia="宋体" w:cs="宋体"/>
          <w:color w:val="000000"/>
          <w:szCs w:val="21"/>
          <w:highlight w:val="none"/>
          <w:shd w:val="clear" w:color="auto" w:fill="auto"/>
        </w:rPr>
        <w:t>个采暖期、供冷期；</w:t>
      </w:r>
    </w:p>
    <w:p w14:paraId="61762621">
      <w:pPr>
        <w:spacing w:line="400" w:lineRule="exact"/>
        <w:ind w:firstLine="420" w:firstLineChars="200"/>
        <w:rPr>
          <w:rFonts w:ascii="Times New Roman" w:hAnsi="Times New Roman" w:eastAsia="宋体" w:cs="宋体"/>
          <w:color w:val="000000"/>
          <w:szCs w:val="21"/>
          <w:highlight w:val="none"/>
          <w:shd w:val="clear" w:color="auto" w:fill="auto"/>
        </w:rPr>
      </w:pPr>
      <w:r>
        <w:rPr>
          <w:rFonts w:hint="eastAsia" w:ascii="Times New Roman" w:hAnsi="Times New Roman" w:eastAsia="宋体" w:cs="宋体"/>
          <w:color w:val="000000"/>
          <w:szCs w:val="21"/>
          <w:highlight w:val="none"/>
          <w:shd w:val="clear" w:color="auto" w:fill="auto"/>
        </w:rPr>
        <w:t>6．住宅小区内的给排水设施、道路等配套工程为</w:t>
      </w:r>
      <w:r>
        <w:rPr>
          <w:rFonts w:hint="eastAsia" w:ascii="Times New Roman" w:hAnsi="Times New Roman" w:eastAsia="宋体" w:cs="宋体"/>
          <w:color w:val="000000"/>
          <w:szCs w:val="21"/>
          <w:highlight w:val="none"/>
          <w:u w:val="single"/>
          <w:shd w:val="clear" w:color="auto" w:fill="auto"/>
        </w:rPr>
        <w:t xml:space="preserve">  2  </w:t>
      </w:r>
      <w:r>
        <w:rPr>
          <w:rFonts w:hint="eastAsia" w:ascii="Times New Roman" w:hAnsi="Times New Roman" w:eastAsia="宋体" w:cs="宋体"/>
          <w:color w:val="000000"/>
          <w:szCs w:val="21"/>
          <w:highlight w:val="none"/>
          <w:shd w:val="clear" w:color="auto" w:fill="auto"/>
        </w:rPr>
        <w:t>年；</w:t>
      </w:r>
    </w:p>
    <w:p w14:paraId="3F1E3F8D">
      <w:pPr>
        <w:spacing w:line="400" w:lineRule="exact"/>
        <w:ind w:firstLine="420" w:firstLineChars="200"/>
        <w:rPr>
          <w:rFonts w:ascii="Times New Roman" w:hAnsi="Times New Roman" w:eastAsia="宋体" w:cs="宋体"/>
          <w:color w:val="000000"/>
          <w:szCs w:val="21"/>
          <w:highlight w:val="none"/>
          <w:shd w:val="clear" w:color="auto" w:fill="auto"/>
        </w:rPr>
      </w:pPr>
      <w:r>
        <w:rPr>
          <w:rFonts w:hint="eastAsia" w:ascii="Times New Roman" w:hAnsi="Times New Roman" w:eastAsia="宋体" w:cs="宋体"/>
          <w:color w:val="000000"/>
          <w:szCs w:val="21"/>
          <w:highlight w:val="none"/>
          <w:shd w:val="clear" w:color="auto" w:fill="auto"/>
        </w:rPr>
        <w:t>7．其他项目保修期限约定如下：</w:t>
      </w:r>
      <w:r>
        <w:rPr>
          <w:rFonts w:hint="eastAsia" w:ascii="Times New Roman" w:hAnsi="Times New Roman" w:eastAsia="宋体" w:cs="宋体"/>
          <w:bCs/>
          <w:color w:val="000000"/>
          <w:highlight w:val="none"/>
          <w:u w:val="single"/>
          <w:shd w:val="clear" w:color="auto" w:fill="auto"/>
        </w:rPr>
        <w:t>保温工程为5年；其他项目保修期限均不低于2年</w:t>
      </w:r>
      <w:r>
        <w:rPr>
          <w:rFonts w:hint="eastAsia" w:ascii="Times New Roman" w:hAnsi="Times New Roman" w:eastAsia="宋体" w:cs="宋体"/>
          <w:bCs/>
          <w:color w:val="000000"/>
          <w:highlight w:val="none"/>
          <w:u w:val="none"/>
          <w:shd w:val="clear" w:color="auto" w:fill="auto"/>
        </w:rPr>
        <w:t>。</w:t>
      </w:r>
    </w:p>
    <w:p w14:paraId="7536EEBD">
      <w:pPr>
        <w:spacing w:line="400" w:lineRule="exact"/>
        <w:ind w:firstLine="405" w:firstLineChars="0"/>
        <w:rPr>
          <w:rFonts w:ascii="Times New Roman" w:hAnsi="Times New Roman" w:eastAsia="宋体" w:cs="宋体"/>
          <w:color w:val="000000"/>
          <w:szCs w:val="21"/>
          <w:highlight w:val="none"/>
          <w:shd w:val="clear" w:color="auto" w:fill="auto"/>
        </w:rPr>
      </w:pPr>
      <w:r>
        <w:rPr>
          <w:rFonts w:hint="eastAsia" w:ascii="Times New Roman" w:hAnsi="Times New Roman" w:eastAsia="宋体" w:cs="宋体"/>
          <w:color w:val="000000"/>
          <w:szCs w:val="21"/>
          <w:highlight w:val="none"/>
          <w:shd w:val="clear" w:color="auto" w:fill="auto"/>
        </w:rPr>
        <w:t>质量保修期自工程竣工验收合格之日起计算。</w:t>
      </w:r>
    </w:p>
    <w:p w14:paraId="6902425E">
      <w:pPr>
        <w:spacing w:line="400" w:lineRule="exact"/>
        <w:ind w:firstLine="0" w:firstLineChars="0"/>
        <w:rPr>
          <w:rFonts w:ascii="Times New Roman" w:hAnsi="Times New Roman" w:eastAsia="宋体" w:cs="宋体"/>
          <w:color w:val="000000"/>
          <w:szCs w:val="21"/>
          <w:highlight w:val="none"/>
          <w:shd w:val="clear" w:color="auto" w:fill="auto"/>
        </w:rPr>
      </w:pPr>
      <w:r>
        <w:rPr>
          <w:rFonts w:hint="eastAsia" w:ascii="Times New Roman" w:hAnsi="Times New Roman" w:eastAsia="宋体" w:cs="宋体"/>
          <w:color w:val="000000"/>
          <w:szCs w:val="21"/>
          <w:highlight w:val="none"/>
          <w:shd w:val="clear" w:color="auto" w:fill="auto"/>
        </w:rPr>
        <w:t>三、缺陷责任期</w:t>
      </w:r>
    </w:p>
    <w:p w14:paraId="496A83AE">
      <w:pPr>
        <w:spacing w:line="400" w:lineRule="exact"/>
        <w:ind w:firstLine="420" w:firstLineChars="200"/>
        <w:rPr>
          <w:rFonts w:ascii="Times New Roman" w:hAnsi="Times New Roman" w:eastAsia="宋体" w:cs="宋体"/>
          <w:color w:val="000000"/>
          <w:szCs w:val="21"/>
          <w:highlight w:val="none"/>
          <w:shd w:val="clear" w:color="auto" w:fill="auto"/>
        </w:rPr>
      </w:pPr>
      <w:r>
        <w:rPr>
          <w:rFonts w:hint="eastAsia" w:ascii="Times New Roman" w:hAnsi="Times New Roman" w:eastAsia="宋体" w:cs="宋体"/>
          <w:color w:val="000000"/>
          <w:szCs w:val="21"/>
          <w:highlight w:val="none"/>
          <w:shd w:val="clear" w:color="auto" w:fill="auto"/>
        </w:rPr>
        <w:t>工程缺陷责任期为</w:t>
      </w:r>
      <w:r>
        <w:rPr>
          <w:rFonts w:hint="eastAsia" w:ascii="Times New Roman" w:hAnsi="Times New Roman" w:eastAsia="宋体" w:cs="宋体"/>
          <w:color w:val="000000"/>
          <w:szCs w:val="21"/>
          <w:highlight w:val="none"/>
          <w:u w:val="single"/>
          <w:shd w:val="clear" w:color="auto" w:fill="auto"/>
        </w:rPr>
        <w:t xml:space="preserve"> </w:t>
      </w:r>
      <w:r>
        <w:rPr>
          <w:rFonts w:hint="eastAsia" w:cs="宋体"/>
          <w:b/>
          <w:bCs/>
          <w:color w:val="000000"/>
          <w:szCs w:val="21"/>
          <w:highlight w:val="none"/>
          <w:u w:val="single"/>
          <w:shd w:val="clear" w:color="auto" w:fill="auto"/>
          <w:lang w:val="en-US" w:eastAsia="zh-CN"/>
        </w:rPr>
        <w:t>24</w:t>
      </w:r>
      <w:r>
        <w:rPr>
          <w:rFonts w:hint="eastAsia" w:ascii="Times New Roman" w:hAnsi="Times New Roman" w:eastAsia="宋体" w:cs="宋体"/>
          <w:b/>
          <w:bCs/>
          <w:color w:val="000000"/>
          <w:szCs w:val="21"/>
          <w:highlight w:val="none"/>
          <w:u w:val="single"/>
          <w:shd w:val="clear" w:color="auto" w:fill="auto"/>
          <w:lang w:val="en-US" w:eastAsia="zh-CN"/>
        </w:rPr>
        <w:t xml:space="preserve"> </w:t>
      </w:r>
      <w:r>
        <w:rPr>
          <w:rFonts w:hint="eastAsia" w:ascii="Times New Roman" w:hAnsi="Times New Roman" w:eastAsia="宋体" w:cs="宋体"/>
          <w:color w:val="000000"/>
          <w:szCs w:val="21"/>
          <w:highlight w:val="none"/>
          <w:shd w:val="clear" w:color="auto" w:fill="auto"/>
        </w:rPr>
        <w:t>个月，缺陷责任期自</w:t>
      </w:r>
      <w:r>
        <w:rPr>
          <w:rFonts w:hint="eastAsia" w:ascii="Times New Roman" w:hAnsi="Times New Roman" w:eastAsia="宋体" w:cs="宋体"/>
          <w:b/>
          <w:color w:val="000000"/>
          <w:szCs w:val="21"/>
          <w:highlight w:val="none"/>
          <w:u w:val="single"/>
          <w:shd w:val="clear" w:color="auto" w:fill="auto"/>
        </w:rPr>
        <w:t>工程</w:t>
      </w:r>
      <w:r>
        <w:rPr>
          <w:rFonts w:hint="eastAsia" w:ascii="Times New Roman" w:hAnsi="Times New Roman" w:eastAsia="宋体" w:cs="宋体"/>
          <w:b/>
          <w:color w:val="000000"/>
          <w:szCs w:val="21"/>
          <w:highlight w:val="none"/>
          <w:u w:val="single"/>
          <w:shd w:val="clear" w:color="auto" w:fill="auto"/>
          <w:lang w:eastAsia="zh-CN"/>
        </w:rPr>
        <w:t>整体</w:t>
      </w:r>
      <w:r>
        <w:rPr>
          <w:rFonts w:hint="eastAsia" w:ascii="Times New Roman" w:hAnsi="Times New Roman" w:eastAsia="宋体" w:cs="宋体"/>
          <w:b/>
          <w:color w:val="000000"/>
          <w:szCs w:val="21"/>
          <w:highlight w:val="none"/>
          <w:u w:val="single"/>
          <w:shd w:val="clear" w:color="auto" w:fill="auto"/>
        </w:rPr>
        <w:t xml:space="preserve">完工验收通过之日 </w:t>
      </w:r>
      <w:r>
        <w:rPr>
          <w:rFonts w:hint="eastAsia" w:ascii="Times New Roman" w:hAnsi="Times New Roman" w:eastAsia="宋体" w:cs="宋体"/>
          <w:color w:val="000000"/>
          <w:szCs w:val="21"/>
          <w:highlight w:val="none"/>
          <w:shd w:val="clear" w:color="auto" w:fill="auto"/>
        </w:rPr>
        <w:t>起计算。单位工程先于全部工程进行验收，单位工程缺陷责任期自单位工程验收合格之日起算。</w:t>
      </w:r>
    </w:p>
    <w:p w14:paraId="46C5BAC0">
      <w:pPr>
        <w:spacing w:line="400" w:lineRule="exact"/>
        <w:ind w:firstLine="420" w:firstLineChars="200"/>
        <w:rPr>
          <w:rFonts w:ascii="Times New Roman" w:hAnsi="Times New Roman" w:eastAsia="宋体" w:cs="宋体"/>
          <w:color w:val="000000"/>
          <w:szCs w:val="21"/>
          <w:highlight w:val="none"/>
          <w:shd w:val="clear" w:color="auto" w:fill="auto"/>
        </w:rPr>
      </w:pPr>
      <w:r>
        <w:rPr>
          <w:rFonts w:hint="eastAsia" w:ascii="Times New Roman" w:hAnsi="Times New Roman" w:eastAsia="宋体" w:cs="宋体"/>
          <w:color w:val="000000"/>
          <w:szCs w:val="21"/>
          <w:highlight w:val="none"/>
          <w:shd w:val="clear" w:color="auto" w:fill="auto"/>
        </w:rPr>
        <w:t>缺陷责任期终止后，</w:t>
      </w:r>
      <w:r>
        <w:rPr>
          <w:rFonts w:hint="eastAsia" w:ascii="Times New Roman" w:hAnsi="Times New Roman" w:eastAsia="宋体" w:cs="宋体"/>
          <w:color w:val="000000"/>
          <w:szCs w:val="21"/>
          <w:highlight w:val="none"/>
          <w:shd w:val="clear" w:color="auto" w:fill="auto"/>
          <w:lang w:eastAsia="zh-CN"/>
        </w:rPr>
        <w:t>甲方</w:t>
      </w:r>
      <w:r>
        <w:rPr>
          <w:rFonts w:hint="eastAsia" w:ascii="Times New Roman" w:hAnsi="Times New Roman" w:eastAsia="宋体" w:cs="宋体"/>
          <w:color w:val="000000"/>
          <w:szCs w:val="21"/>
          <w:highlight w:val="none"/>
          <w:shd w:val="clear" w:color="auto" w:fill="auto"/>
        </w:rPr>
        <w:t>应退还剩余的质量保证金。</w:t>
      </w:r>
    </w:p>
    <w:p w14:paraId="4351B099">
      <w:pPr>
        <w:spacing w:line="400" w:lineRule="exact"/>
        <w:ind w:firstLine="0" w:firstLineChars="0"/>
        <w:outlineLvl w:val="0"/>
        <w:rPr>
          <w:rFonts w:ascii="Times New Roman" w:hAnsi="Times New Roman" w:eastAsia="宋体" w:cs="宋体"/>
          <w:color w:val="000000"/>
          <w:szCs w:val="21"/>
          <w:highlight w:val="none"/>
          <w:shd w:val="clear" w:color="auto" w:fill="auto"/>
        </w:rPr>
      </w:pPr>
      <w:r>
        <w:rPr>
          <w:rFonts w:hint="eastAsia" w:ascii="Times New Roman" w:hAnsi="Times New Roman" w:eastAsia="宋体" w:cs="宋体"/>
          <w:color w:val="000000"/>
          <w:szCs w:val="21"/>
          <w:highlight w:val="none"/>
          <w:shd w:val="clear" w:color="auto" w:fill="auto"/>
        </w:rPr>
        <w:t>四、质量保修责任</w:t>
      </w:r>
    </w:p>
    <w:p w14:paraId="401B4067">
      <w:pPr>
        <w:keepNext w:val="0"/>
        <w:keepLines w:val="0"/>
        <w:pageBreakBefore w:val="0"/>
        <w:widowControl w:val="0"/>
        <w:kinsoku/>
        <w:wordWrap/>
        <w:overflowPunct/>
        <w:topLinePunct w:val="0"/>
        <w:autoSpaceDE/>
        <w:autoSpaceDN/>
        <w:bidi w:val="0"/>
        <w:adjustRightInd/>
        <w:snapToGrid/>
        <w:spacing w:line="400" w:lineRule="exact"/>
        <w:ind w:left="0" w:leftChars="0" w:firstLine="420" w:firstLineChars="200"/>
        <w:textAlignment w:val="auto"/>
        <w:rPr>
          <w:rFonts w:hint="eastAsia" w:ascii="Times New Roman" w:hAnsi="Times New Roman" w:eastAsia="宋体" w:cs="宋体"/>
          <w:color w:val="000000"/>
          <w:szCs w:val="21"/>
          <w:highlight w:val="none"/>
          <w:shd w:val="clear" w:color="auto" w:fill="auto"/>
        </w:rPr>
      </w:pPr>
      <w:r>
        <w:rPr>
          <w:rFonts w:hint="eastAsia" w:ascii="Times New Roman" w:hAnsi="Times New Roman" w:eastAsia="宋体" w:cs="宋体"/>
          <w:color w:val="000000"/>
          <w:szCs w:val="21"/>
          <w:highlight w:val="none"/>
          <w:shd w:val="clear" w:color="auto" w:fill="auto"/>
        </w:rPr>
        <w:t>1．属于保修范围、内容的项目，</w:t>
      </w:r>
      <w:r>
        <w:rPr>
          <w:rFonts w:hint="eastAsia" w:ascii="Times New Roman" w:hAnsi="Times New Roman" w:eastAsia="宋体" w:cs="宋体"/>
          <w:color w:val="000000"/>
          <w:szCs w:val="21"/>
          <w:highlight w:val="none"/>
          <w:shd w:val="clear" w:color="auto" w:fill="auto"/>
          <w:lang w:eastAsia="zh-CN"/>
        </w:rPr>
        <w:t>乙方</w:t>
      </w:r>
      <w:r>
        <w:rPr>
          <w:rFonts w:hint="eastAsia" w:ascii="Times New Roman" w:hAnsi="Times New Roman" w:eastAsia="宋体" w:cs="宋体"/>
          <w:color w:val="000000"/>
          <w:szCs w:val="21"/>
          <w:highlight w:val="none"/>
          <w:shd w:val="clear" w:color="auto" w:fill="auto"/>
        </w:rPr>
        <w:t>应当在接到保修通知之日起24小时内派人保修。</w:t>
      </w:r>
      <w:r>
        <w:rPr>
          <w:rFonts w:hint="eastAsia" w:ascii="Times New Roman" w:hAnsi="Times New Roman" w:eastAsia="宋体" w:cs="宋体"/>
          <w:color w:val="000000"/>
          <w:szCs w:val="21"/>
          <w:highlight w:val="none"/>
          <w:shd w:val="clear" w:color="auto" w:fill="auto"/>
          <w:lang w:eastAsia="zh-CN"/>
        </w:rPr>
        <w:t>乙方</w:t>
      </w:r>
      <w:r>
        <w:rPr>
          <w:rFonts w:hint="eastAsia" w:ascii="Times New Roman" w:hAnsi="Times New Roman" w:eastAsia="宋体" w:cs="宋体"/>
          <w:color w:val="000000"/>
          <w:szCs w:val="21"/>
          <w:highlight w:val="none"/>
          <w:shd w:val="clear" w:color="auto" w:fill="auto"/>
        </w:rPr>
        <w:t>不在约定期限内派人保修的，</w:t>
      </w:r>
      <w:r>
        <w:rPr>
          <w:rFonts w:hint="eastAsia" w:ascii="Times New Roman" w:hAnsi="Times New Roman" w:eastAsia="宋体" w:cs="宋体"/>
          <w:color w:val="000000"/>
          <w:szCs w:val="21"/>
          <w:highlight w:val="none"/>
          <w:shd w:val="clear" w:color="auto" w:fill="auto"/>
          <w:lang w:eastAsia="zh-CN"/>
        </w:rPr>
        <w:t>甲方</w:t>
      </w:r>
      <w:r>
        <w:rPr>
          <w:rFonts w:hint="eastAsia" w:ascii="Times New Roman" w:hAnsi="Times New Roman" w:eastAsia="宋体" w:cs="宋体"/>
          <w:color w:val="000000"/>
          <w:szCs w:val="21"/>
          <w:highlight w:val="none"/>
          <w:shd w:val="clear" w:color="auto" w:fill="auto"/>
        </w:rPr>
        <w:t>可以委托他人修理，保修费用从质量保修金内扣除。</w:t>
      </w:r>
    </w:p>
    <w:p w14:paraId="17A75588">
      <w:pPr>
        <w:keepNext w:val="0"/>
        <w:keepLines w:val="0"/>
        <w:pageBreakBefore w:val="0"/>
        <w:widowControl w:val="0"/>
        <w:kinsoku/>
        <w:wordWrap/>
        <w:overflowPunct/>
        <w:topLinePunct w:val="0"/>
        <w:autoSpaceDE/>
        <w:autoSpaceDN/>
        <w:bidi w:val="0"/>
        <w:adjustRightInd/>
        <w:snapToGrid/>
        <w:spacing w:line="400" w:lineRule="exact"/>
        <w:ind w:left="0" w:leftChars="0" w:firstLine="420" w:firstLineChars="200"/>
        <w:textAlignment w:val="auto"/>
        <w:rPr>
          <w:rFonts w:hint="eastAsia" w:ascii="Times New Roman" w:hAnsi="Times New Roman" w:eastAsia="宋体" w:cs="宋体"/>
          <w:color w:val="000000"/>
          <w:szCs w:val="21"/>
          <w:highlight w:val="none"/>
          <w:shd w:val="clear" w:color="auto" w:fill="auto"/>
        </w:rPr>
      </w:pPr>
      <w:r>
        <w:rPr>
          <w:rFonts w:hint="eastAsia" w:ascii="Times New Roman" w:hAnsi="Times New Roman" w:eastAsia="宋体" w:cs="宋体"/>
          <w:color w:val="000000"/>
          <w:szCs w:val="21"/>
          <w:highlight w:val="none"/>
          <w:shd w:val="clear" w:color="auto" w:fill="auto"/>
        </w:rPr>
        <w:t>2．发生紧急事故需抢修的，</w:t>
      </w:r>
      <w:r>
        <w:rPr>
          <w:rFonts w:hint="eastAsia" w:ascii="Times New Roman" w:hAnsi="Times New Roman" w:eastAsia="宋体" w:cs="宋体"/>
          <w:color w:val="000000"/>
          <w:szCs w:val="21"/>
          <w:highlight w:val="none"/>
          <w:shd w:val="clear" w:color="auto" w:fill="auto"/>
          <w:lang w:eastAsia="zh-CN"/>
        </w:rPr>
        <w:t>乙方</w:t>
      </w:r>
      <w:r>
        <w:rPr>
          <w:rFonts w:hint="eastAsia" w:ascii="Times New Roman" w:hAnsi="Times New Roman" w:eastAsia="宋体" w:cs="宋体"/>
          <w:color w:val="000000"/>
          <w:szCs w:val="21"/>
          <w:highlight w:val="none"/>
          <w:shd w:val="clear" w:color="auto" w:fill="auto"/>
        </w:rPr>
        <w:t>在接到事故通知后，应当立即到达事故现场抢修。非</w:t>
      </w:r>
      <w:r>
        <w:rPr>
          <w:rFonts w:hint="eastAsia" w:ascii="Times New Roman" w:hAnsi="Times New Roman" w:eastAsia="宋体" w:cs="宋体"/>
          <w:color w:val="000000"/>
          <w:szCs w:val="21"/>
          <w:highlight w:val="none"/>
          <w:shd w:val="clear" w:color="auto" w:fill="auto"/>
          <w:lang w:eastAsia="zh-CN"/>
        </w:rPr>
        <w:t>乙方</w:t>
      </w:r>
      <w:r>
        <w:rPr>
          <w:rFonts w:hint="eastAsia" w:ascii="Times New Roman" w:hAnsi="Times New Roman" w:eastAsia="宋体" w:cs="宋体"/>
          <w:color w:val="000000"/>
          <w:szCs w:val="21"/>
          <w:highlight w:val="none"/>
          <w:shd w:val="clear" w:color="auto" w:fill="auto"/>
        </w:rPr>
        <w:t>施工质量引起的事故，抢修费用由</w:t>
      </w:r>
      <w:r>
        <w:rPr>
          <w:rFonts w:hint="eastAsia" w:ascii="Times New Roman" w:hAnsi="Times New Roman" w:eastAsia="宋体" w:cs="宋体"/>
          <w:color w:val="000000"/>
          <w:szCs w:val="21"/>
          <w:highlight w:val="none"/>
          <w:shd w:val="clear" w:color="auto" w:fill="auto"/>
          <w:lang w:eastAsia="zh-CN"/>
        </w:rPr>
        <w:t>甲方</w:t>
      </w:r>
      <w:r>
        <w:rPr>
          <w:rFonts w:hint="eastAsia" w:ascii="Times New Roman" w:hAnsi="Times New Roman" w:eastAsia="宋体" w:cs="宋体"/>
          <w:color w:val="000000"/>
          <w:szCs w:val="21"/>
          <w:highlight w:val="none"/>
          <w:shd w:val="clear" w:color="auto" w:fill="auto"/>
        </w:rPr>
        <w:t>承担。</w:t>
      </w:r>
    </w:p>
    <w:p w14:paraId="6E6162AB">
      <w:pPr>
        <w:keepNext w:val="0"/>
        <w:keepLines w:val="0"/>
        <w:pageBreakBefore w:val="0"/>
        <w:widowControl w:val="0"/>
        <w:kinsoku/>
        <w:wordWrap/>
        <w:overflowPunct/>
        <w:topLinePunct w:val="0"/>
        <w:autoSpaceDE/>
        <w:autoSpaceDN/>
        <w:bidi w:val="0"/>
        <w:adjustRightInd/>
        <w:snapToGrid/>
        <w:spacing w:line="400" w:lineRule="exact"/>
        <w:ind w:left="0" w:leftChars="0" w:firstLine="420" w:firstLineChars="200"/>
        <w:textAlignment w:val="auto"/>
        <w:rPr>
          <w:rFonts w:ascii="Times New Roman" w:hAnsi="Times New Roman" w:eastAsia="宋体" w:cs="宋体"/>
          <w:color w:val="000000"/>
          <w:szCs w:val="21"/>
          <w:highlight w:val="none"/>
          <w:shd w:val="clear" w:color="auto" w:fill="auto"/>
        </w:rPr>
      </w:pPr>
      <w:r>
        <w:rPr>
          <w:rFonts w:hint="eastAsia" w:ascii="Times New Roman" w:hAnsi="Times New Roman" w:eastAsia="宋体" w:cs="宋体"/>
          <w:color w:val="000000"/>
          <w:szCs w:val="21"/>
          <w:highlight w:val="none"/>
          <w:shd w:val="clear" w:color="auto" w:fill="auto"/>
        </w:rPr>
        <w:t>3.在国家规定的工程合理使用期限内，</w:t>
      </w:r>
      <w:r>
        <w:rPr>
          <w:rFonts w:hint="eastAsia" w:ascii="Times New Roman" w:hAnsi="Times New Roman" w:eastAsia="宋体" w:cs="宋体"/>
          <w:color w:val="000000"/>
          <w:szCs w:val="21"/>
          <w:highlight w:val="none"/>
          <w:shd w:val="clear" w:color="auto" w:fill="auto"/>
          <w:lang w:eastAsia="zh-CN"/>
        </w:rPr>
        <w:t>乙方</w:t>
      </w:r>
      <w:r>
        <w:rPr>
          <w:rFonts w:hint="eastAsia" w:ascii="Times New Roman" w:hAnsi="Times New Roman" w:eastAsia="宋体" w:cs="宋体"/>
          <w:color w:val="000000"/>
          <w:szCs w:val="21"/>
          <w:highlight w:val="none"/>
          <w:shd w:val="clear" w:color="auto" w:fill="auto"/>
        </w:rPr>
        <w:t>确保承包工程和质量。因</w:t>
      </w:r>
      <w:r>
        <w:rPr>
          <w:rFonts w:hint="eastAsia" w:ascii="Times New Roman" w:hAnsi="Times New Roman" w:eastAsia="宋体" w:cs="宋体"/>
          <w:color w:val="000000"/>
          <w:szCs w:val="21"/>
          <w:highlight w:val="none"/>
          <w:shd w:val="clear" w:color="auto" w:fill="auto"/>
          <w:lang w:eastAsia="zh-CN"/>
        </w:rPr>
        <w:t>乙方</w:t>
      </w:r>
      <w:r>
        <w:rPr>
          <w:rFonts w:hint="eastAsia" w:ascii="Times New Roman" w:hAnsi="Times New Roman" w:eastAsia="宋体" w:cs="宋体"/>
          <w:color w:val="000000"/>
          <w:szCs w:val="21"/>
          <w:highlight w:val="none"/>
          <w:shd w:val="clear" w:color="auto" w:fill="auto"/>
        </w:rPr>
        <w:t>原因致使工程在合理使用期限内造成人身和财产损害的，</w:t>
      </w:r>
      <w:r>
        <w:rPr>
          <w:rFonts w:hint="eastAsia" w:ascii="Times New Roman" w:hAnsi="Times New Roman" w:eastAsia="宋体" w:cs="宋体"/>
          <w:color w:val="000000"/>
          <w:szCs w:val="21"/>
          <w:highlight w:val="none"/>
          <w:shd w:val="clear" w:color="auto" w:fill="auto"/>
          <w:lang w:eastAsia="zh-CN"/>
        </w:rPr>
        <w:t>乙方</w:t>
      </w:r>
      <w:r>
        <w:rPr>
          <w:rFonts w:hint="eastAsia" w:ascii="Times New Roman" w:hAnsi="Times New Roman" w:eastAsia="宋体" w:cs="宋体"/>
          <w:color w:val="000000"/>
          <w:szCs w:val="21"/>
          <w:highlight w:val="none"/>
          <w:shd w:val="clear" w:color="auto" w:fill="auto"/>
        </w:rPr>
        <w:t>应承担损害赔偿责任。</w:t>
      </w:r>
    </w:p>
    <w:p w14:paraId="21B0F7C1">
      <w:pPr>
        <w:keepNext w:val="0"/>
        <w:keepLines w:val="0"/>
        <w:pageBreakBefore w:val="0"/>
        <w:widowControl w:val="0"/>
        <w:kinsoku/>
        <w:wordWrap/>
        <w:overflowPunct/>
        <w:topLinePunct w:val="0"/>
        <w:autoSpaceDE/>
        <w:autoSpaceDN/>
        <w:bidi w:val="0"/>
        <w:adjustRightInd/>
        <w:snapToGrid/>
        <w:spacing w:line="400" w:lineRule="exact"/>
        <w:ind w:left="0" w:leftChars="0" w:firstLine="420" w:firstLineChars="200"/>
        <w:textAlignment w:val="auto"/>
        <w:rPr>
          <w:rFonts w:ascii="Times New Roman" w:hAnsi="Times New Roman" w:eastAsia="宋体" w:cs="宋体"/>
          <w:color w:val="000000"/>
          <w:szCs w:val="21"/>
          <w:highlight w:val="none"/>
          <w:shd w:val="clear" w:color="auto" w:fill="auto"/>
        </w:rPr>
      </w:pPr>
      <w:r>
        <w:rPr>
          <w:rFonts w:hint="eastAsia" w:ascii="Times New Roman" w:hAnsi="Times New Roman" w:eastAsia="宋体" w:cs="宋体"/>
          <w:color w:val="000000"/>
          <w:szCs w:val="21"/>
          <w:highlight w:val="none"/>
          <w:shd w:val="clear" w:color="auto" w:fill="auto"/>
        </w:rPr>
        <w:t>4．对于涉及结构安全的质量问题，应当按照《建设工程质量管理条例》的规定，立即向当地建设行政主管部门和有关部门报告，采取安全防范措施，并由原设计人或者具有相应资质等级的设计人提出保修方案，</w:t>
      </w:r>
      <w:r>
        <w:rPr>
          <w:rFonts w:hint="eastAsia" w:ascii="Times New Roman" w:hAnsi="Times New Roman" w:eastAsia="宋体" w:cs="宋体"/>
          <w:color w:val="000000"/>
          <w:szCs w:val="21"/>
          <w:highlight w:val="none"/>
          <w:shd w:val="clear" w:color="auto" w:fill="auto"/>
          <w:lang w:eastAsia="zh-CN"/>
        </w:rPr>
        <w:t>乙方</w:t>
      </w:r>
      <w:r>
        <w:rPr>
          <w:rFonts w:hint="eastAsia" w:ascii="Times New Roman" w:hAnsi="Times New Roman" w:eastAsia="宋体" w:cs="宋体"/>
          <w:color w:val="000000"/>
          <w:szCs w:val="21"/>
          <w:highlight w:val="none"/>
          <w:shd w:val="clear" w:color="auto" w:fill="auto"/>
        </w:rPr>
        <w:t>实施保修。</w:t>
      </w:r>
    </w:p>
    <w:p w14:paraId="5B552EA8">
      <w:pPr>
        <w:keepNext w:val="0"/>
        <w:keepLines w:val="0"/>
        <w:pageBreakBefore w:val="0"/>
        <w:widowControl w:val="0"/>
        <w:kinsoku/>
        <w:wordWrap/>
        <w:overflowPunct/>
        <w:topLinePunct w:val="0"/>
        <w:autoSpaceDE/>
        <w:autoSpaceDN/>
        <w:bidi w:val="0"/>
        <w:adjustRightInd/>
        <w:snapToGrid/>
        <w:spacing w:line="400" w:lineRule="exact"/>
        <w:ind w:left="0" w:leftChars="0" w:firstLine="420" w:firstLineChars="200"/>
        <w:textAlignment w:val="auto"/>
        <w:rPr>
          <w:rFonts w:ascii="Times New Roman" w:hAnsi="Times New Roman" w:eastAsia="宋体" w:cs="宋体"/>
          <w:color w:val="000000"/>
          <w:szCs w:val="21"/>
          <w:highlight w:val="none"/>
          <w:shd w:val="clear" w:color="auto" w:fill="auto"/>
        </w:rPr>
      </w:pPr>
      <w:r>
        <w:rPr>
          <w:rFonts w:hint="eastAsia" w:ascii="Times New Roman" w:hAnsi="Times New Roman" w:eastAsia="宋体" w:cs="宋体"/>
          <w:color w:val="000000"/>
          <w:szCs w:val="21"/>
          <w:highlight w:val="none"/>
          <w:shd w:val="clear" w:color="auto" w:fill="auto"/>
        </w:rPr>
        <w:t>5．质量保修完成后，由</w:t>
      </w:r>
      <w:r>
        <w:rPr>
          <w:rFonts w:hint="eastAsia" w:ascii="Times New Roman" w:hAnsi="Times New Roman" w:eastAsia="宋体" w:cs="宋体"/>
          <w:color w:val="000000"/>
          <w:szCs w:val="21"/>
          <w:highlight w:val="none"/>
          <w:shd w:val="clear" w:color="auto" w:fill="auto"/>
          <w:lang w:eastAsia="zh-CN"/>
        </w:rPr>
        <w:t>甲方</w:t>
      </w:r>
      <w:r>
        <w:rPr>
          <w:rFonts w:hint="eastAsia" w:ascii="Times New Roman" w:hAnsi="Times New Roman" w:eastAsia="宋体" w:cs="宋体"/>
          <w:color w:val="000000"/>
          <w:szCs w:val="21"/>
          <w:highlight w:val="none"/>
          <w:shd w:val="clear" w:color="auto" w:fill="auto"/>
        </w:rPr>
        <w:t>组织验收。</w:t>
      </w:r>
    </w:p>
    <w:p w14:paraId="2363A856">
      <w:pPr>
        <w:spacing w:line="400" w:lineRule="exact"/>
        <w:ind w:firstLine="0" w:firstLineChars="0"/>
        <w:outlineLvl w:val="0"/>
        <w:rPr>
          <w:rFonts w:ascii="Times New Roman" w:hAnsi="Times New Roman" w:eastAsia="宋体" w:cs="宋体"/>
          <w:color w:val="000000"/>
          <w:szCs w:val="21"/>
          <w:highlight w:val="none"/>
          <w:shd w:val="clear" w:color="auto" w:fill="auto"/>
        </w:rPr>
      </w:pPr>
      <w:r>
        <w:rPr>
          <w:rFonts w:hint="eastAsia" w:ascii="Times New Roman" w:hAnsi="Times New Roman" w:eastAsia="宋体" w:cs="宋体"/>
          <w:color w:val="000000"/>
          <w:szCs w:val="21"/>
          <w:highlight w:val="none"/>
          <w:shd w:val="clear" w:color="auto" w:fill="auto"/>
        </w:rPr>
        <w:t>五、保修费用</w:t>
      </w:r>
    </w:p>
    <w:p w14:paraId="0E81F7BF">
      <w:pPr>
        <w:spacing w:line="400" w:lineRule="exact"/>
        <w:ind w:firstLine="0" w:firstLineChars="0"/>
        <w:rPr>
          <w:rFonts w:ascii="Times New Roman" w:hAnsi="Times New Roman" w:eastAsia="宋体" w:cs="宋体"/>
          <w:color w:val="000000"/>
          <w:szCs w:val="21"/>
          <w:highlight w:val="none"/>
          <w:shd w:val="clear" w:color="auto" w:fill="auto"/>
        </w:rPr>
      </w:pPr>
      <w:r>
        <w:rPr>
          <w:rFonts w:hint="eastAsia" w:ascii="Times New Roman" w:hAnsi="Times New Roman" w:eastAsia="宋体" w:cs="宋体"/>
          <w:color w:val="000000"/>
          <w:szCs w:val="21"/>
          <w:highlight w:val="none"/>
          <w:shd w:val="clear" w:color="auto" w:fill="auto"/>
        </w:rPr>
        <w:t>保修费用由造成质量缺陷的责任方承担。</w:t>
      </w:r>
    </w:p>
    <w:p w14:paraId="455B3EAC">
      <w:pPr>
        <w:spacing w:line="400" w:lineRule="exact"/>
        <w:ind w:firstLine="0" w:firstLineChars="0"/>
        <w:jc w:val="left"/>
        <w:rPr>
          <w:rFonts w:hint="eastAsia" w:ascii="Times New Roman" w:hAnsi="Times New Roman" w:eastAsia="宋体" w:cs="宋体"/>
          <w:color w:val="000000"/>
          <w:szCs w:val="21"/>
          <w:highlight w:val="none"/>
          <w:shd w:val="clear" w:color="auto" w:fill="auto"/>
          <w:lang w:eastAsia="zh-CN"/>
        </w:rPr>
      </w:pPr>
      <w:r>
        <w:rPr>
          <w:rFonts w:hint="eastAsia" w:ascii="Times New Roman" w:hAnsi="Times New Roman" w:eastAsia="宋体" w:cs="宋体"/>
          <w:b w:val="0"/>
          <w:bCs/>
          <w:color w:val="000000"/>
          <w:szCs w:val="21"/>
          <w:highlight w:val="none"/>
          <w:shd w:val="clear" w:color="auto" w:fill="auto"/>
        </w:rPr>
        <w:t>六</w:t>
      </w:r>
      <w:r>
        <w:rPr>
          <w:rFonts w:hint="eastAsia" w:ascii="Times New Roman" w:hAnsi="Times New Roman" w:eastAsia="宋体" w:cs="宋体"/>
          <w:color w:val="000000"/>
          <w:szCs w:val="21"/>
          <w:highlight w:val="none"/>
          <w:shd w:val="clear" w:color="auto" w:fill="auto"/>
        </w:rPr>
        <w:t>、双方约定的其他工程质量保修事项：</w:t>
      </w:r>
      <w:r>
        <w:rPr>
          <w:rFonts w:hint="eastAsia" w:ascii="Times New Roman" w:hAnsi="Times New Roman" w:eastAsia="宋体" w:cs="宋体"/>
          <w:color w:val="000000"/>
          <w:szCs w:val="21"/>
          <w:highlight w:val="none"/>
          <w:u w:val="single"/>
          <w:shd w:val="clear" w:color="auto" w:fill="auto"/>
        </w:rPr>
        <w:t>按国家规定执行</w:t>
      </w:r>
      <w:r>
        <w:rPr>
          <w:rFonts w:hint="eastAsia" w:ascii="Times New Roman" w:hAnsi="Times New Roman" w:eastAsia="宋体" w:cs="宋体"/>
          <w:color w:val="000000"/>
          <w:szCs w:val="21"/>
          <w:highlight w:val="none"/>
          <w:u w:val="none"/>
          <w:shd w:val="clear" w:color="auto" w:fill="auto"/>
          <w:lang w:eastAsia="zh-CN"/>
        </w:rPr>
        <w:t>。</w:t>
      </w:r>
    </w:p>
    <w:p w14:paraId="73773A89">
      <w:pPr>
        <w:spacing w:line="400" w:lineRule="exact"/>
        <w:ind w:firstLine="399" w:firstLineChars="190"/>
        <w:rPr>
          <w:rFonts w:ascii="Times New Roman" w:hAnsi="Times New Roman" w:eastAsia="宋体" w:cs="宋体"/>
          <w:color w:val="000000"/>
          <w:szCs w:val="21"/>
          <w:highlight w:val="none"/>
          <w:shd w:val="clear" w:color="auto" w:fill="auto"/>
        </w:rPr>
      </w:pPr>
      <w:r>
        <w:rPr>
          <w:rFonts w:hint="eastAsia" w:ascii="Times New Roman" w:hAnsi="Times New Roman" w:eastAsia="宋体" w:cs="宋体"/>
          <w:color w:val="000000"/>
          <w:szCs w:val="21"/>
          <w:highlight w:val="none"/>
          <w:shd w:val="clear" w:color="auto" w:fill="auto"/>
        </w:rPr>
        <w:t>工程质量保修书由</w:t>
      </w:r>
      <w:r>
        <w:rPr>
          <w:rFonts w:hint="eastAsia" w:ascii="Times New Roman" w:hAnsi="Times New Roman" w:eastAsia="宋体" w:cs="宋体"/>
          <w:color w:val="000000"/>
          <w:szCs w:val="21"/>
          <w:highlight w:val="none"/>
          <w:shd w:val="clear" w:color="auto" w:fill="auto"/>
          <w:lang w:eastAsia="zh-CN"/>
        </w:rPr>
        <w:t>甲方</w:t>
      </w:r>
      <w:r>
        <w:rPr>
          <w:rFonts w:hint="eastAsia" w:ascii="Times New Roman" w:hAnsi="Times New Roman" w:eastAsia="宋体" w:cs="宋体"/>
          <w:color w:val="000000"/>
          <w:szCs w:val="21"/>
          <w:highlight w:val="none"/>
          <w:shd w:val="clear" w:color="auto" w:fill="auto"/>
        </w:rPr>
        <w:t>、</w:t>
      </w:r>
      <w:r>
        <w:rPr>
          <w:rFonts w:hint="eastAsia" w:ascii="Times New Roman" w:hAnsi="Times New Roman" w:eastAsia="宋体" w:cs="宋体"/>
          <w:color w:val="000000"/>
          <w:szCs w:val="21"/>
          <w:highlight w:val="none"/>
          <w:shd w:val="clear" w:color="auto" w:fill="auto"/>
          <w:lang w:eastAsia="zh-CN"/>
        </w:rPr>
        <w:t>乙方</w:t>
      </w:r>
      <w:r>
        <w:rPr>
          <w:rFonts w:hint="eastAsia" w:ascii="Times New Roman" w:hAnsi="Times New Roman" w:eastAsia="宋体" w:cs="宋体"/>
          <w:color w:val="000000"/>
          <w:szCs w:val="21"/>
          <w:highlight w:val="none"/>
          <w:shd w:val="clear" w:color="auto" w:fill="auto"/>
        </w:rPr>
        <w:t>在工程竣工验收前共同签署，作为施工合同附件，其有效期限至保修期满。</w:t>
      </w:r>
    </w:p>
    <w:p w14:paraId="0F0F1B3D">
      <w:pPr>
        <w:spacing w:line="400" w:lineRule="exact"/>
        <w:ind w:firstLine="420" w:firstLineChars="0"/>
        <w:rPr>
          <w:rFonts w:ascii="Times New Roman" w:hAnsi="Times New Roman" w:eastAsia="宋体" w:cs="宋体"/>
          <w:color w:val="000000"/>
          <w:szCs w:val="21"/>
          <w:highlight w:val="none"/>
          <w:shd w:val="clear" w:color="auto" w:fill="auto"/>
        </w:rPr>
      </w:pPr>
    </w:p>
    <w:p w14:paraId="120DA6B3">
      <w:pPr>
        <w:widowControl w:val="0"/>
        <w:spacing w:line="400" w:lineRule="exact"/>
        <w:jc w:val="left"/>
        <w:rPr>
          <w:rFonts w:ascii="Times New Roman" w:hAnsi="Times New Roman" w:eastAsia="宋体" w:cs="宋体"/>
          <w:color w:val="000000"/>
          <w:kern w:val="2"/>
          <w:sz w:val="21"/>
          <w:szCs w:val="21"/>
          <w:highlight w:val="none"/>
          <w:u w:val="none"/>
          <w:shd w:val="clear" w:color="auto" w:fill="auto"/>
          <w:lang w:val="en-US" w:eastAsia="zh-CN" w:bidi="ar-SA"/>
        </w:rPr>
      </w:pPr>
      <w:r>
        <w:rPr>
          <w:rFonts w:hint="eastAsia" w:ascii="Times New Roman" w:hAnsi="Times New Roman" w:eastAsia="宋体" w:cs="宋体"/>
          <w:color w:val="000000"/>
          <w:kern w:val="2"/>
          <w:sz w:val="21"/>
          <w:szCs w:val="21"/>
          <w:highlight w:val="none"/>
          <w:shd w:val="clear" w:color="auto" w:fill="auto"/>
          <w:lang w:val="en-US" w:eastAsia="zh-CN" w:bidi="ar-SA"/>
        </w:rPr>
        <w:t>甲方（</w:t>
      </w:r>
      <w:r>
        <w:rPr>
          <w:rFonts w:hint="eastAsia" w:ascii="Times New Roman" w:hAnsi="Times New Roman" w:eastAsia="宋体" w:cs="宋体"/>
          <w:color w:val="000000"/>
          <w:kern w:val="2"/>
          <w:sz w:val="21"/>
          <w:szCs w:val="24"/>
          <w:highlight w:val="none"/>
          <w:shd w:val="clear" w:color="auto" w:fill="auto"/>
          <w:lang w:val="en-US" w:eastAsia="zh-CN" w:bidi="ar-SA"/>
        </w:rPr>
        <w:t>盖章）</w:t>
      </w:r>
      <w:r>
        <w:rPr>
          <w:rFonts w:hint="eastAsia" w:ascii="Times New Roman" w:hAnsi="Times New Roman" w:eastAsia="宋体" w:cs="宋体"/>
          <w:color w:val="000000"/>
          <w:kern w:val="2"/>
          <w:sz w:val="21"/>
          <w:szCs w:val="21"/>
          <w:highlight w:val="none"/>
          <w:shd w:val="clear" w:color="auto" w:fill="auto"/>
          <w:lang w:val="en-US" w:eastAsia="zh-CN" w:bidi="ar-SA"/>
        </w:rPr>
        <w:t>：</w:t>
      </w:r>
      <w:r>
        <w:rPr>
          <w:rFonts w:hint="eastAsia" w:ascii="Times New Roman" w:hAnsi="Times New Roman" w:eastAsia="宋体" w:cs="宋体"/>
          <w:color w:val="000000"/>
          <w:kern w:val="2"/>
          <w:sz w:val="21"/>
          <w:szCs w:val="21"/>
          <w:highlight w:val="none"/>
          <w:u w:val="none"/>
          <w:shd w:val="clear" w:color="auto" w:fill="auto"/>
          <w:lang w:val="en-US" w:eastAsia="zh-CN" w:bidi="ar-SA"/>
        </w:rPr>
        <w:t xml:space="preserve">            </w:t>
      </w:r>
      <w:r>
        <w:rPr>
          <w:rFonts w:hint="eastAsia" w:ascii="Times New Roman" w:hAnsi="Times New Roman" w:eastAsia="宋体" w:cs="宋体"/>
          <w:color w:val="000000"/>
          <w:kern w:val="2"/>
          <w:sz w:val="21"/>
          <w:szCs w:val="21"/>
          <w:highlight w:val="none"/>
          <w:shd w:val="clear" w:color="auto" w:fill="auto"/>
          <w:lang w:val="en-US" w:eastAsia="zh-CN" w:bidi="ar-SA"/>
        </w:rPr>
        <w:t xml:space="preserve">                乙方（</w:t>
      </w:r>
      <w:r>
        <w:rPr>
          <w:rFonts w:hint="eastAsia" w:ascii="Times New Roman" w:hAnsi="Times New Roman" w:eastAsia="宋体" w:cs="宋体"/>
          <w:color w:val="000000"/>
          <w:kern w:val="2"/>
          <w:sz w:val="21"/>
          <w:szCs w:val="24"/>
          <w:highlight w:val="none"/>
          <w:shd w:val="clear" w:color="auto" w:fill="auto"/>
          <w:lang w:val="en-US" w:eastAsia="zh-CN" w:bidi="ar-SA"/>
        </w:rPr>
        <w:t>盖章）</w:t>
      </w:r>
      <w:r>
        <w:rPr>
          <w:rFonts w:hint="eastAsia" w:ascii="Times New Roman" w:hAnsi="Times New Roman" w:eastAsia="宋体" w:cs="宋体"/>
          <w:color w:val="000000"/>
          <w:kern w:val="2"/>
          <w:sz w:val="21"/>
          <w:szCs w:val="21"/>
          <w:highlight w:val="none"/>
          <w:shd w:val="clear" w:color="auto" w:fill="auto"/>
          <w:lang w:val="en-US" w:eastAsia="zh-CN" w:bidi="ar-SA"/>
        </w:rPr>
        <w:t>：</w:t>
      </w:r>
      <w:r>
        <w:rPr>
          <w:rFonts w:hint="eastAsia" w:ascii="Times New Roman" w:hAnsi="Times New Roman" w:eastAsia="宋体" w:cs="宋体"/>
          <w:color w:val="000000"/>
          <w:kern w:val="2"/>
          <w:sz w:val="21"/>
          <w:szCs w:val="21"/>
          <w:highlight w:val="none"/>
          <w:u w:val="none"/>
          <w:shd w:val="clear" w:color="auto" w:fill="auto"/>
          <w:lang w:val="en-US" w:eastAsia="zh-CN" w:bidi="ar-SA"/>
        </w:rPr>
        <w:t xml:space="preserve">             </w:t>
      </w:r>
    </w:p>
    <w:p w14:paraId="56491221">
      <w:pPr>
        <w:adjustRightInd w:val="0"/>
        <w:snapToGrid w:val="0"/>
        <w:spacing w:line="400" w:lineRule="exact"/>
        <w:ind w:firstLine="420" w:firstLineChars="200"/>
        <w:rPr>
          <w:rFonts w:ascii="Times New Roman" w:hAnsi="Times New Roman" w:eastAsia="宋体" w:cs="宋体"/>
          <w:color w:val="000000"/>
          <w:szCs w:val="21"/>
          <w:highlight w:val="none"/>
          <w:shd w:val="clear" w:color="auto" w:fill="auto"/>
        </w:rPr>
      </w:pPr>
      <w:r>
        <w:rPr>
          <w:rFonts w:hint="eastAsia" w:ascii="Times New Roman" w:hAnsi="Times New Roman" w:eastAsia="宋体" w:cs="宋体"/>
          <w:color w:val="000000"/>
          <w:szCs w:val="21"/>
          <w:highlight w:val="none"/>
          <w:shd w:val="clear" w:color="auto" w:fill="auto"/>
        </w:rPr>
        <w:t>法定代表人                                法定代表人</w:t>
      </w:r>
    </w:p>
    <w:p w14:paraId="21CE6FAC">
      <w:pPr>
        <w:keepNext w:val="0"/>
        <w:keepLines w:val="0"/>
        <w:pageBreakBefore w:val="0"/>
        <w:kinsoku/>
        <w:wordWrap/>
        <w:overflowPunct/>
        <w:topLinePunct w:val="0"/>
        <w:autoSpaceDE/>
        <w:autoSpaceDN/>
        <w:bidi w:val="0"/>
        <w:spacing w:line="360" w:lineRule="auto"/>
        <w:ind w:left="0" w:leftChars="0" w:firstLine="420" w:firstLineChars="200"/>
        <w:textAlignment w:val="auto"/>
        <w:rPr>
          <w:rFonts w:hint="eastAsia" w:ascii="Times New Roman" w:hAnsi="Times New Roman" w:eastAsia="宋体" w:cs="宋体"/>
          <w:sz w:val="21"/>
          <w:szCs w:val="21"/>
          <w:highlight w:val="none"/>
          <w:lang w:eastAsia="zh-CN"/>
        </w:rPr>
      </w:pPr>
      <w:r>
        <w:rPr>
          <w:rFonts w:hint="eastAsia" w:ascii="Times New Roman" w:hAnsi="Times New Roman" w:eastAsia="宋体" w:cs="宋体"/>
          <w:color w:val="000000"/>
          <w:szCs w:val="21"/>
          <w:highlight w:val="none"/>
          <w:shd w:val="clear" w:color="auto" w:fill="auto"/>
        </w:rPr>
        <w:t>或其授权的代理人：（签字或盖章）          或其授权的代理人：（签字或盖章）</w:t>
      </w:r>
    </w:p>
    <w:p w14:paraId="4B852801">
      <w:pPr>
        <w:adjustRightInd w:val="0"/>
        <w:snapToGrid w:val="0"/>
        <w:spacing w:line="400" w:lineRule="exact"/>
        <w:ind w:firstLine="0" w:firstLineChars="0"/>
        <w:rPr>
          <w:rFonts w:ascii="Times New Roman" w:hAnsi="Times New Roman" w:eastAsia="宋体" w:cs="宋体"/>
          <w:color w:val="auto"/>
          <w:szCs w:val="21"/>
          <w:highlight w:val="none"/>
          <w:shd w:val="clear" w:color="auto" w:fill="auto"/>
        </w:rPr>
      </w:pPr>
      <w:r>
        <w:rPr>
          <w:rFonts w:hint="eastAsia" w:ascii="Times New Roman" w:hAnsi="Times New Roman" w:eastAsia="宋体" w:cs="宋体"/>
          <w:color w:val="auto"/>
          <w:szCs w:val="21"/>
          <w:highlight w:val="none"/>
          <w:shd w:val="clear" w:color="auto" w:fill="auto"/>
        </w:rPr>
        <w:t xml:space="preserve"> </w:t>
      </w:r>
    </w:p>
    <w:p w14:paraId="6A414F12">
      <w:pPr>
        <w:adjustRightInd w:val="0"/>
        <w:snapToGrid w:val="0"/>
        <w:spacing w:line="400" w:lineRule="exact"/>
        <w:jc w:val="left"/>
        <w:rPr>
          <w:rFonts w:hint="eastAsia" w:ascii="Times New Roman" w:hAnsi="Times New Roman" w:eastAsia="宋体" w:cs="宋体"/>
          <w:b/>
          <w:color w:val="auto"/>
          <w:szCs w:val="21"/>
          <w:highlight w:val="none"/>
          <w:shd w:val="clear" w:color="auto" w:fill="auto"/>
        </w:rPr>
        <w:sectPr>
          <w:headerReference r:id="rId8" w:type="default"/>
          <w:footerReference r:id="rId9" w:type="default"/>
          <w:pgSz w:w="11905" w:h="16838"/>
          <w:pgMar w:top="1247" w:right="1247" w:bottom="1247" w:left="1247" w:header="828" w:footer="981" w:gutter="0"/>
          <w:pgBorders>
            <w:top w:val="none" w:sz="0" w:space="0"/>
            <w:left w:val="none" w:sz="0" w:space="0"/>
            <w:bottom w:val="none" w:sz="0" w:space="0"/>
            <w:right w:val="none" w:sz="0" w:space="0"/>
          </w:pgBorders>
          <w:pgNumType w:fmt="decimal"/>
          <w:cols w:space="0" w:num="1"/>
          <w:rtlGutter w:val="0"/>
          <w:docGrid w:linePitch="326" w:charSpace="0"/>
        </w:sectPr>
      </w:pPr>
    </w:p>
    <w:p w14:paraId="11448F22">
      <w:pPr>
        <w:adjustRightInd w:val="0"/>
        <w:snapToGrid w:val="0"/>
        <w:spacing w:line="400" w:lineRule="exact"/>
        <w:ind w:firstLine="0" w:firstLineChars="0"/>
        <w:jc w:val="left"/>
        <w:rPr>
          <w:rFonts w:ascii="Times New Roman" w:hAnsi="Times New Roman" w:eastAsia="宋体" w:cs="宋体"/>
          <w:b/>
          <w:color w:val="auto"/>
          <w:szCs w:val="21"/>
          <w:highlight w:val="none"/>
          <w:shd w:val="clear" w:color="auto" w:fill="auto"/>
        </w:rPr>
      </w:pPr>
      <w:r>
        <w:rPr>
          <w:rFonts w:hint="eastAsia" w:ascii="Times New Roman" w:hAnsi="Times New Roman" w:eastAsia="宋体" w:cs="宋体"/>
          <w:b/>
          <w:color w:val="auto"/>
          <w:szCs w:val="21"/>
          <w:highlight w:val="none"/>
          <w:shd w:val="clear" w:color="auto" w:fill="auto"/>
        </w:rPr>
        <w:t>附件</w:t>
      </w:r>
      <w:r>
        <w:rPr>
          <w:rFonts w:hint="eastAsia" w:ascii="Times New Roman" w:hAnsi="Times New Roman" w:eastAsia="宋体" w:cs="宋体"/>
          <w:b/>
          <w:color w:val="auto"/>
          <w:szCs w:val="21"/>
          <w:highlight w:val="none"/>
          <w:shd w:val="clear" w:color="auto" w:fill="auto"/>
          <w:lang w:val="en-US" w:eastAsia="zh-CN"/>
        </w:rPr>
        <w:t>2</w:t>
      </w:r>
      <w:r>
        <w:rPr>
          <w:rFonts w:hint="eastAsia" w:ascii="Times New Roman" w:hAnsi="Times New Roman" w:eastAsia="宋体" w:cs="宋体"/>
          <w:b/>
          <w:color w:val="auto"/>
          <w:szCs w:val="21"/>
          <w:highlight w:val="none"/>
          <w:shd w:val="clear" w:color="auto" w:fill="auto"/>
        </w:rPr>
        <w:t>：</w:t>
      </w:r>
    </w:p>
    <w:p w14:paraId="70E70E3D">
      <w:pPr>
        <w:adjustRightInd w:val="0"/>
        <w:snapToGrid w:val="0"/>
        <w:spacing w:line="480" w:lineRule="exact"/>
        <w:ind w:left="0" w:leftChars="0" w:firstLine="0" w:firstLineChars="0"/>
        <w:jc w:val="center"/>
        <w:rPr>
          <w:rFonts w:ascii="Times New Roman" w:hAnsi="Times New Roman" w:eastAsia="宋体" w:cs="宋体"/>
          <w:b/>
          <w:color w:val="auto"/>
          <w:sz w:val="28"/>
          <w:szCs w:val="28"/>
          <w:highlight w:val="none"/>
          <w:shd w:val="clear" w:color="auto" w:fill="auto"/>
        </w:rPr>
      </w:pPr>
      <w:r>
        <w:rPr>
          <w:rFonts w:hint="eastAsia" w:ascii="Times New Roman" w:hAnsi="Times New Roman" w:eastAsia="宋体" w:cs="宋体"/>
          <w:b/>
          <w:color w:val="auto"/>
          <w:sz w:val="28"/>
          <w:szCs w:val="28"/>
          <w:highlight w:val="none"/>
          <w:shd w:val="clear" w:color="auto" w:fill="auto"/>
        </w:rPr>
        <w:t>工程廉政合同</w:t>
      </w:r>
    </w:p>
    <w:p w14:paraId="6E5C1613">
      <w:pPr>
        <w:keepNext w:val="0"/>
        <w:keepLines w:val="0"/>
        <w:pageBreakBefore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宋体"/>
          <w:color w:val="auto"/>
          <w:szCs w:val="21"/>
          <w:highlight w:val="none"/>
          <w:shd w:val="clear" w:color="auto" w:fill="auto"/>
        </w:rPr>
      </w:pPr>
    </w:p>
    <w:p w14:paraId="1584ABF7">
      <w:pPr>
        <w:keepNext w:val="0"/>
        <w:keepLines w:val="0"/>
        <w:pageBreakBefore w:val="0"/>
        <w:kinsoku/>
        <w:wordWrap/>
        <w:overflowPunct/>
        <w:topLinePunct w:val="0"/>
        <w:autoSpaceDE/>
        <w:autoSpaceDN/>
        <w:bidi w:val="0"/>
        <w:adjustRightInd w:val="0"/>
        <w:snapToGrid w:val="0"/>
        <w:spacing w:line="360" w:lineRule="auto"/>
        <w:ind w:firstLine="420" w:firstLineChars="200"/>
        <w:jc w:val="left"/>
        <w:textAlignment w:val="auto"/>
        <w:rPr>
          <w:rFonts w:ascii="Times New Roman" w:hAnsi="Times New Roman" w:eastAsia="宋体" w:cs="宋体"/>
          <w:color w:val="auto"/>
          <w:szCs w:val="21"/>
          <w:highlight w:val="none"/>
          <w:shd w:val="clear" w:color="auto" w:fill="auto"/>
        </w:rPr>
      </w:pPr>
      <w:r>
        <w:rPr>
          <w:rFonts w:hint="eastAsia" w:ascii="Times New Roman" w:hAnsi="Times New Roman" w:eastAsia="宋体" w:cs="宋体"/>
          <w:color w:val="auto"/>
          <w:szCs w:val="21"/>
          <w:highlight w:val="none"/>
          <w:shd w:val="clear" w:color="auto" w:fill="auto"/>
        </w:rPr>
        <w:t>根据有关工程建设、廉政建设的规定，为做好工程建设中的党风廉政建设，保证工程建设高效优质，保证建设资金的安全和有效使用以及投资效益，建设工程的项目法人</w:t>
      </w:r>
      <w:r>
        <w:rPr>
          <w:rFonts w:hint="eastAsia" w:ascii="Times New Roman" w:hAnsi="Times New Roman" w:eastAsia="宋体" w:cs="宋体"/>
          <w:b/>
          <w:bCs/>
          <w:color w:val="auto"/>
          <w:szCs w:val="21"/>
          <w:highlight w:val="none"/>
          <w:u w:val="single"/>
          <w:shd w:val="clear" w:color="auto" w:fill="auto"/>
          <w:lang w:eastAsia="zh-CN"/>
        </w:rPr>
        <w:t>连云港徐圩城建工程有限公司</w:t>
      </w:r>
      <w:r>
        <w:rPr>
          <w:rFonts w:hint="eastAsia" w:ascii="Times New Roman" w:hAnsi="Times New Roman" w:eastAsia="宋体" w:cs="宋体"/>
          <w:color w:val="auto"/>
          <w:szCs w:val="21"/>
          <w:highlight w:val="none"/>
          <w:shd w:val="clear" w:color="auto" w:fill="auto"/>
        </w:rPr>
        <w:t>（以下简称</w:t>
      </w:r>
      <w:r>
        <w:rPr>
          <w:rFonts w:hint="eastAsia" w:ascii="Times New Roman" w:hAnsi="Times New Roman" w:eastAsia="宋体" w:cs="宋体"/>
          <w:color w:val="auto"/>
          <w:szCs w:val="21"/>
          <w:highlight w:val="none"/>
          <w:shd w:val="clear" w:color="auto" w:fill="auto"/>
          <w:lang w:eastAsia="zh-CN"/>
        </w:rPr>
        <w:t>“甲方</w:t>
      </w:r>
      <w:r>
        <w:rPr>
          <w:rFonts w:hint="eastAsia" w:ascii="Times New Roman" w:hAnsi="Times New Roman" w:eastAsia="宋体" w:cs="宋体"/>
          <w:color w:val="auto"/>
          <w:szCs w:val="21"/>
          <w:highlight w:val="none"/>
          <w:shd w:val="clear" w:color="auto" w:fill="auto"/>
        </w:rPr>
        <w:t>”）与中标单位（全称）</w:t>
      </w:r>
      <w:r>
        <w:rPr>
          <w:rFonts w:hint="eastAsia" w:ascii="宋体" w:hAnsi="宋体" w:eastAsia="宋体" w:cs="宋体"/>
          <w:b/>
          <w:bCs/>
          <w:color w:val="auto"/>
          <w:szCs w:val="21"/>
          <w:highlight w:val="none"/>
          <w:u w:val="single"/>
          <w:shd w:val="clear" w:color="auto" w:fill="auto"/>
          <w:lang w:val="en-US" w:eastAsia="zh-CN"/>
        </w:rPr>
        <w:t xml:space="preserve">              </w:t>
      </w:r>
      <w:r>
        <w:rPr>
          <w:rFonts w:hint="eastAsia" w:ascii="宋体" w:hAnsi="宋体" w:eastAsia="宋体" w:cs="宋体"/>
          <w:color w:val="auto"/>
          <w:szCs w:val="21"/>
          <w:highlight w:val="none"/>
          <w:shd w:val="clear" w:color="auto" w:fill="auto"/>
        </w:rPr>
        <w:t>（</w:t>
      </w:r>
      <w:r>
        <w:rPr>
          <w:rFonts w:hint="eastAsia" w:ascii="Times New Roman" w:hAnsi="Times New Roman" w:eastAsia="宋体" w:cs="宋体"/>
          <w:color w:val="auto"/>
          <w:szCs w:val="21"/>
          <w:highlight w:val="none"/>
          <w:shd w:val="clear" w:color="auto" w:fill="auto"/>
        </w:rPr>
        <w:t>以下简称</w:t>
      </w:r>
      <w:r>
        <w:rPr>
          <w:rFonts w:hint="eastAsia" w:ascii="Times New Roman" w:hAnsi="Times New Roman" w:eastAsia="宋体" w:cs="宋体"/>
          <w:color w:val="auto"/>
          <w:szCs w:val="21"/>
          <w:highlight w:val="none"/>
          <w:shd w:val="clear" w:color="auto" w:fill="auto"/>
          <w:lang w:eastAsia="zh-CN"/>
        </w:rPr>
        <w:t>“乙方</w:t>
      </w:r>
      <w:r>
        <w:rPr>
          <w:rFonts w:hint="eastAsia" w:ascii="Times New Roman" w:hAnsi="Times New Roman" w:eastAsia="宋体" w:cs="宋体"/>
          <w:color w:val="auto"/>
          <w:szCs w:val="21"/>
          <w:highlight w:val="none"/>
          <w:shd w:val="clear" w:color="auto" w:fill="auto"/>
        </w:rPr>
        <w:t>”），特订立如下合同。</w:t>
      </w:r>
    </w:p>
    <w:p w14:paraId="302DCAB0">
      <w:pPr>
        <w:keepNext w:val="0"/>
        <w:keepLines w:val="0"/>
        <w:pageBreakBefore w:val="0"/>
        <w:kinsoku/>
        <w:wordWrap/>
        <w:overflowPunct/>
        <w:topLinePunct w:val="0"/>
        <w:autoSpaceDE/>
        <w:autoSpaceDN/>
        <w:bidi w:val="0"/>
        <w:adjustRightInd w:val="0"/>
        <w:snapToGrid w:val="0"/>
        <w:spacing w:line="360" w:lineRule="auto"/>
        <w:ind w:firstLine="420" w:firstLineChars="200"/>
        <w:jc w:val="left"/>
        <w:textAlignment w:val="auto"/>
        <w:rPr>
          <w:rFonts w:ascii="Times New Roman" w:hAnsi="Times New Roman" w:eastAsia="宋体" w:cs="宋体"/>
          <w:color w:val="auto"/>
          <w:szCs w:val="21"/>
          <w:highlight w:val="none"/>
          <w:shd w:val="clear" w:color="auto" w:fill="auto"/>
        </w:rPr>
      </w:pPr>
      <w:r>
        <w:rPr>
          <w:rFonts w:hint="eastAsia" w:ascii="Times New Roman" w:hAnsi="Times New Roman" w:eastAsia="宋体" w:cs="宋体"/>
          <w:color w:val="auto"/>
          <w:szCs w:val="21"/>
          <w:highlight w:val="none"/>
          <w:shd w:val="clear" w:color="auto" w:fill="auto"/>
          <w:lang w:eastAsia="zh-CN"/>
        </w:rPr>
        <w:t>一、</w:t>
      </w:r>
      <w:r>
        <w:rPr>
          <w:rFonts w:hint="eastAsia" w:ascii="Times New Roman" w:hAnsi="Times New Roman" w:eastAsia="宋体" w:cs="宋体"/>
          <w:color w:val="auto"/>
          <w:szCs w:val="21"/>
          <w:highlight w:val="none"/>
          <w:shd w:val="clear" w:color="auto" w:fill="auto"/>
        </w:rPr>
        <w:t>双方的权利和义务</w:t>
      </w:r>
    </w:p>
    <w:p w14:paraId="2F9BCC6B">
      <w:pPr>
        <w:keepNext w:val="0"/>
        <w:keepLines w:val="0"/>
        <w:pageBreakBefore w:val="0"/>
        <w:kinsoku/>
        <w:wordWrap/>
        <w:overflowPunct/>
        <w:topLinePunct w:val="0"/>
        <w:autoSpaceDE/>
        <w:autoSpaceDN/>
        <w:bidi w:val="0"/>
        <w:adjustRightInd w:val="0"/>
        <w:snapToGrid w:val="0"/>
        <w:spacing w:line="360" w:lineRule="auto"/>
        <w:ind w:firstLine="420" w:firstLineChars="200"/>
        <w:jc w:val="left"/>
        <w:textAlignment w:val="auto"/>
        <w:rPr>
          <w:rFonts w:ascii="Times New Roman" w:hAnsi="Times New Roman" w:eastAsia="宋体" w:cs="宋体"/>
          <w:color w:val="auto"/>
          <w:szCs w:val="21"/>
          <w:highlight w:val="none"/>
          <w:shd w:val="clear" w:color="auto" w:fill="auto"/>
        </w:rPr>
      </w:pPr>
      <w:r>
        <w:rPr>
          <w:rFonts w:hint="eastAsia" w:ascii="Times New Roman" w:hAnsi="Times New Roman" w:eastAsia="宋体" w:cs="宋体"/>
          <w:color w:val="auto"/>
          <w:szCs w:val="21"/>
          <w:highlight w:val="none"/>
          <w:shd w:val="clear" w:color="auto" w:fill="auto"/>
          <w:lang w:val="en-US" w:eastAsia="zh-CN"/>
        </w:rPr>
        <w:t>1.</w:t>
      </w:r>
      <w:r>
        <w:rPr>
          <w:rFonts w:hint="eastAsia" w:ascii="Times New Roman" w:hAnsi="Times New Roman" w:eastAsia="宋体" w:cs="宋体"/>
          <w:color w:val="auto"/>
          <w:szCs w:val="21"/>
          <w:highlight w:val="none"/>
          <w:shd w:val="clear" w:color="auto" w:fill="auto"/>
        </w:rPr>
        <w:t>严格遵守党的政策规定和国家、省、市有关法律法规有关规定。</w:t>
      </w:r>
    </w:p>
    <w:p w14:paraId="327F587E">
      <w:pPr>
        <w:keepNext w:val="0"/>
        <w:keepLines w:val="0"/>
        <w:pageBreakBefore w:val="0"/>
        <w:kinsoku/>
        <w:wordWrap/>
        <w:overflowPunct/>
        <w:topLinePunct w:val="0"/>
        <w:autoSpaceDE/>
        <w:autoSpaceDN/>
        <w:bidi w:val="0"/>
        <w:adjustRightInd w:val="0"/>
        <w:snapToGrid w:val="0"/>
        <w:spacing w:line="360" w:lineRule="auto"/>
        <w:ind w:firstLine="420" w:firstLineChars="200"/>
        <w:jc w:val="left"/>
        <w:textAlignment w:val="auto"/>
        <w:rPr>
          <w:rFonts w:ascii="Times New Roman" w:hAnsi="Times New Roman" w:eastAsia="宋体" w:cs="宋体"/>
          <w:color w:val="auto"/>
          <w:szCs w:val="21"/>
          <w:highlight w:val="none"/>
          <w:shd w:val="clear" w:color="auto" w:fill="auto"/>
        </w:rPr>
      </w:pPr>
      <w:r>
        <w:rPr>
          <w:rFonts w:hint="eastAsia" w:ascii="Times New Roman" w:hAnsi="Times New Roman" w:eastAsia="宋体" w:cs="宋体"/>
          <w:color w:val="auto"/>
          <w:szCs w:val="21"/>
          <w:highlight w:val="none"/>
          <w:shd w:val="clear" w:color="auto" w:fill="auto"/>
          <w:lang w:val="en-US" w:eastAsia="zh-CN"/>
        </w:rPr>
        <w:t>2.</w:t>
      </w:r>
      <w:r>
        <w:rPr>
          <w:rFonts w:hint="eastAsia" w:ascii="Times New Roman" w:hAnsi="Times New Roman" w:eastAsia="宋体" w:cs="宋体"/>
          <w:color w:val="auto"/>
          <w:szCs w:val="21"/>
          <w:highlight w:val="none"/>
          <w:shd w:val="clear" w:color="auto" w:fill="auto"/>
        </w:rPr>
        <w:t>严格执行工程的合同文件，自觉按合同办事。</w:t>
      </w:r>
    </w:p>
    <w:p w14:paraId="39D916CC">
      <w:pPr>
        <w:keepNext w:val="0"/>
        <w:keepLines w:val="0"/>
        <w:pageBreakBefore w:val="0"/>
        <w:kinsoku/>
        <w:wordWrap/>
        <w:overflowPunct/>
        <w:topLinePunct w:val="0"/>
        <w:autoSpaceDE/>
        <w:autoSpaceDN/>
        <w:bidi w:val="0"/>
        <w:adjustRightInd w:val="0"/>
        <w:snapToGrid w:val="0"/>
        <w:spacing w:line="360" w:lineRule="auto"/>
        <w:ind w:firstLine="420" w:firstLineChars="200"/>
        <w:jc w:val="left"/>
        <w:textAlignment w:val="auto"/>
        <w:rPr>
          <w:rFonts w:ascii="Times New Roman" w:hAnsi="Times New Roman" w:eastAsia="宋体" w:cs="宋体"/>
          <w:color w:val="auto"/>
          <w:szCs w:val="21"/>
          <w:highlight w:val="none"/>
          <w:shd w:val="clear" w:color="auto" w:fill="auto"/>
        </w:rPr>
      </w:pPr>
      <w:r>
        <w:rPr>
          <w:rFonts w:hint="eastAsia" w:ascii="Times New Roman" w:hAnsi="Times New Roman" w:eastAsia="宋体" w:cs="宋体"/>
          <w:color w:val="auto"/>
          <w:szCs w:val="21"/>
          <w:highlight w:val="none"/>
          <w:shd w:val="clear" w:color="auto" w:fill="auto"/>
          <w:lang w:val="en-US" w:eastAsia="zh-CN"/>
        </w:rPr>
        <w:t>3.</w:t>
      </w:r>
      <w:r>
        <w:rPr>
          <w:rFonts w:hint="eastAsia" w:ascii="Times New Roman" w:hAnsi="Times New Roman" w:eastAsia="宋体" w:cs="宋体"/>
          <w:color w:val="auto"/>
          <w:szCs w:val="21"/>
          <w:highlight w:val="none"/>
          <w:shd w:val="clear" w:color="auto" w:fill="auto"/>
        </w:rPr>
        <w:t>双方的业务活动坚持公开、公正、诚信、透明的原则（法律认定的商业秘密和合同文件另有规定除外），不得损害国家和集体利益，违反工程建设管理规章制度。</w:t>
      </w:r>
    </w:p>
    <w:p w14:paraId="773E37E4">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ascii="Times New Roman" w:hAnsi="Times New Roman" w:eastAsia="宋体" w:cs="宋体"/>
          <w:color w:val="auto"/>
          <w:szCs w:val="21"/>
          <w:highlight w:val="none"/>
          <w:shd w:val="clear" w:color="auto" w:fill="auto"/>
        </w:rPr>
      </w:pPr>
      <w:r>
        <w:rPr>
          <w:rFonts w:hint="eastAsia" w:ascii="Times New Roman" w:hAnsi="Times New Roman" w:eastAsia="宋体" w:cs="宋体"/>
          <w:color w:val="auto"/>
          <w:szCs w:val="21"/>
          <w:highlight w:val="none"/>
          <w:shd w:val="clear" w:color="auto" w:fill="auto"/>
          <w:lang w:val="en-US" w:eastAsia="zh-CN"/>
        </w:rPr>
        <w:t>4.</w:t>
      </w:r>
      <w:r>
        <w:rPr>
          <w:rFonts w:hint="eastAsia" w:ascii="Times New Roman" w:hAnsi="Times New Roman" w:eastAsia="宋体" w:cs="宋体"/>
          <w:color w:val="auto"/>
          <w:szCs w:val="21"/>
          <w:highlight w:val="none"/>
          <w:shd w:val="clear" w:color="auto" w:fill="auto"/>
        </w:rPr>
        <w:t>建立健全廉政制度，开展廉政教育，设计廉政告示牌，公布举报电话，监督并认真查处违法违纪行为。</w:t>
      </w:r>
    </w:p>
    <w:p w14:paraId="0C3E8F28">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ascii="Times New Roman" w:hAnsi="Times New Roman" w:eastAsia="宋体" w:cs="宋体"/>
          <w:color w:val="auto"/>
          <w:szCs w:val="21"/>
          <w:highlight w:val="none"/>
          <w:shd w:val="clear" w:color="auto" w:fill="auto"/>
        </w:rPr>
      </w:pPr>
      <w:r>
        <w:rPr>
          <w:rFonts w:hint="eastAsia" w:ascii="Times New Roman" w:hAnsi="Times New Roman" w:eastAsia="宋体" w:cs="宋体"/>
          <w:color w:val="auto"/>
          <w:szCs w:val="21"/>
          <w:highlight w:val="none"/>
          <w:shd w:val="clear" w:color="auto" w:fill="auto"/>
          <w:lang w:val="en-US" w:eastAsia="zh-CN"/>
        </w:rPr>
        <w:t>5.</w:t>
      </w:r>
      <w:r>
        <w:rPr>
          <w:rFonts w:hint="eastAsia" w:ascii="Times New Roman" w:hAnsi="Times New Roman" w:eastAsia="宋体" w:cs="宋体"/>
          <w:color w:val="auto"/>
          <w:szCs w:val="21"/>
          <w:highlight w:val="none"/>
          <w:shd w:val="clear" w:color="auto" w:fill="auto"/>
        </w:rPr>
        <w:t>发现对方在业务活动中有违反廉政规定的行为，有及时提醒对方纠正的权利和义务。</w:t>
      </w:r>
    </w:p>
    <w:p w14:paraId="017CD99C">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ascii="Times New Roman" w:hAnsi="Times New Roman" w:eastAsia="宋体" w:cs="宋体"/>
          <w:color w:val="auto"/>
          <w:szCs w:val="21"/>
          <w:highlight w:val="none"/>
          <w:shd w:val="clear" w:color="auto" w:fill="auto"/>
        </w:rPr>
      </w:pPr>
      <w:r>
        <w:rPr>
          <w:rFonts w:hint="eastAsia" w:ascii="Times New Roman" w:hAnsi="Times New Roman" w:eastAsia="宋体" w:cs="宋体"/>
          <w:color w:val="auto"/>
          <w:szCs w:val="21"/>
          <w:highlight w:val="none"/>
          <w:shd w:val="clear" w:color="auto" w:fill="auto"/>
          <w:lang w:val="en-US" w:eastAsia="zh-CN"/>
        </w:rPr>
        <w:t>6.</w:t>
      </w:r>
      <w:r>
        <w:rPr>
          <w:rFonts w:hint="eastAsia" w:ascii="Times New Roman" w:hAnsi="Times New Roman" w:eastAsia="宋体" w:cs="宋体"/>
          <w:color w:val="auto"/>
          <w:szCs w:val="21"/>
          <w:highlight w:val="none"/>
          <w:shd w:val="clear" w:color="auto" w:fill="auto"/>
        </w:rPr>
        <w:t>发现对方严重违反合同义务条款的行为，有向其上级有关部门举报、建议给予处理并要求告知处理结果的权利。</w:t>
      </w:r>
    </w:p>
    <w:p w14:paraId="31EB8BC0">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ascii="Times New Roman" w:hAnsi="Times New Roman" w:eastAsia="宋体" w:cs="宋体"/>
          <w:color w:val="auto"/>
          <w:szCs w:val="21"/>
          <w:highlight w:val="none"/>
          <w:shd w:val="clear" w:color="auto" w:fill="auto"/>
        </w:rPr>
      </w:pPr>
      <w:r>
        <w:rPr>
          <w:rFonts w:hint="eastAsia" w:ascii="Times New Roman" w:hAnsi="Times New Roman" w:eastAsia="宋体" w:cs="宋体"/>
          <w:color w:val="auto"/>
          <w:szCs w:val="21"/>
          <w:highlight w:val="none"/>
          <w:shd w:val="clear" w:color="auto" w:fill="auto"/>
          <w:lang w:eastAsia="zh-CN"/>
        </w:rPr>
        <w:t>二、甲方</w:t>
      </w:r>
      <w:r>
        <w:rPr>
          <w:rFonts w:hint="eastAsia" w:ascii="Times New Roman" w:hAnsi="Times New Roman" w:eastAsia="宋体" w:cs="宋体"/>
          <w:color w:val="auto"/>
          <w:szCs w:val="21"/>
          <w:highlight w:val="none"/>
          <w:shd w:val="clear" w:color="auto" w:fill="auto"/>
        </w:rPr>
        <w:t>的义务</w:t>
      </w:r>
    </w:p>
    <w:p w14:paraId="61329889">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ascii="Times New Roman" w:hAnsi="Times New Roman" w:eastAsia="宋体" w:cs="宋体"/>
          <w:color w:val="auto"/>
          <w:szCs w:val="21"/>
          <w:highlight w:val="none"/>
          <w:shd w:val="clear" w:color="auto" w:fill="auto"/>
        </w:rPr>
      </w:pPr>
      <w:r>
        <w:rPr>
          <w:rFonts w:hint="eastAsia" w:ascii="Times New Roman" w:hAnsi="Times New Roman" w:eastAsia="宋体" w:cs="宋体"/>
          <w:color w:val="auto"/>
          <w:szCs w:val="21"/>
          <w:highlight w:val="none"/>
          <w:shd w:val="clear" w:color="auto" w:fill="auto"/>
          <w:lang w:val="en-US" w:eastAsia="zh-CN"/>
        </w:rPr>
        <w:t>1.</w:t>
      </w:r>
      <w:r>
        <w:rPr>
          <w:rFonts w:hint="eastAsia" w:ascii="Times New Roman" w:hAnsi="Times New Roman" w:eastAsia="宋体" w:cs="宋体"/>
          <w:color w:val="auto"/>
          <w:szCs w:val="21"/>
          <w:highlight w:val="none"/>
          <w:shd w:val="clear" w:color="auto" w:fill="auto"/>
          <w:lang w:eastAsia="zh-CN"/>
        </w:rPr>
        <w:t>甲方</w:t>
      </w:r>
      <w:r>
        <w:rPr>
          <w:rFonts w:hint="eastAsia" w:ascii="Times New Roman" w:hAnsi="Times New Roman" w:eastAsia="宋体" w:cs="宋体"/>
          <w:color w:val="auto"/>
          <w:szCs w:val="21"/>
          <w:highlight w:val="none"/>
          <w:shd w:val="clear" w:color="auto" w:fill="auto"/>
        </w:rPr>
        <w:t>及其工作人员不得索要或接受</w:t>
      </w:r>
      <w:r>
        <w:rPr>
          <w:rFonts w:hint="eastAsia" w:ascii="Times New Roman" w:hAnsi="Times New Roman" w:eastAsia="宋体" w:cs="宋体"/>
          <w:color w:val="auto"/>
          <w:szCs w:val="21"/>
          <w:highlight w:val="none"/>
          <w:shd w:val="clear" w:color="auto" w:fill="auto"/>
          <w:lang w:eastAsia="zh-CN"/>
        </w:rPr>
        <w:t>乙方</w:t>
      </w:r>
      <w:r>
        <w:rPr>
          <w:rFonts w:hint="eastAsia" w:ascii="Times New Roman" w:hAnsi="Times New Roman" w:eastAsia="宋体" w:cs="宋体"/>
          <w:color w:val="auto"/>
          <w:szCs w:val="21"/>
          <w:highlight w:val="none"/>
          <w:shd w:val="clear" w:color="auto" w:fill="auto"/>
        </w:rPr>
        <w:t>的礼金、有价证券和贵重物品，不得在</w:t>
      </w:r>
      <w:r>
        <w:rPr>
          <w:rFonts w:hint="eastAsia" w:ascii="Times New Roman" w:hAnsi="Times New Roman" w:eastAsia="宋体" w:cs="宋体"/>
          <w:color w:val="auto"/>
          <w:szCs w:val="21"/>
          <w:highlight w:val="none"/>
          <w:shd w:val="clear" w:color="auto" w:fill="auto"/>
          <w:lang w:eastAsia="zh-CN"/>
        </w:rPr>
        <w:t>乙方</w:t>
      </w:r>
      <w:r>
        <w:rPr>
          <w:rFonts w:hint="eastAsia" w:ascii="Times New Roman" w:hAnsi="Times New Roman" w:eastAsia="宋体" w:cs="宋体"/>
          <w:color w:val="auto"/>
          <w:szCs w:val="21"/>
          <w:highlight w:val="none"/>
          <w:shd w:val="clear" w:color="auto" w:fill="auto"/>
        </w:rPr>
        <w:t>报销任何应由</w:t>
      </w:r>
      <w:r>
        <w:rPr>
          <w:rFonts w:hint="eastAsia" w:ascii="Times New Roman" w:hAnsi="Times New Roman" w:eastAsia="宋体" w:cs="宋体"/>
          <w:color w:val="auto"/>
          <w:szCs w:val="21"/>
          <w:highlight w:val="none"/>
          <w:shd w:val="clear" w:color="auto" w:fill="auto"/>
          <w:lang w:eastAsia="zh-CN"/>
        </w:rPr>
        <w:t>甲方</w:t>
      </w:r>
      <w:r>
        <w:rPr>
          <w:rFonts w:hint="eastAsia" w:ascii="Times New Roman" w:hAnsi="Times New Roman" w:eastAsia="宋体" w:cs="宋体"/>
          <w:color w:val="auto"/>
          <w:szCs w:val="21"/>
          <w:highlight w:val="none"/>
          <w:shd w:val="clear" w:color="auto" w:fill="auto"/>
        </w:rPr>
        <w:t>或</w:t>
      </w:r>
      <w:r>
        <w:rPr>
          <w:rFonts w:hint="eastAsia" w:ascii="Times New Roman" w:hAnsi="Times New Roman" w:eastAsia="宋体" w:cs="宋体"/>
          <w:color w:val="auto"/>
          <w:szCs w:val="21"/>
          <w:highlight w:val="none"/>
          <w:shd w:val="clear" w:color="auto" w:fill="auto"/>
          <w:lang w:eastAsia="zh-CN"/>
        </w:rPr>
        <w:t>甲方</w:t>
      </w:r>
      <w:r>
        <w:rPr>
          <w:rFonts w:hint="eastAsia" w:ascii="Times New Roman" w:hAnsi="Times New Roman" w:eastAsia="宋体" w:cs="宋体"/>
          <w:color w:val="auto"/>
          <w:szCs w:val="21"/>
          <w:highlight w:val="none"/>
          <w:shd w:val="clear" w:color="auto" w:fill="auto"/>
        </w:rPr>
        <w:t>工作人员个人支付的费用等。</w:t>
      </w:r>
    </w:p>
    <w:p w14:paraId="4B285FA0">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ascii="Times New Roman" w:hAnsi="Times New Roman" w:eastAsia="宋体" w:cs="宋体"/>
          <w:color w:val="auto"/>
          <w:szCs w:val="21"/>
          <w:highlight w:val="none"/>
          <w:shd w:val="clear" w:color="auto" w:fill="auto"/>
        </w:rPr>
      </w:pPr>
      <w:r>
        <w:rPr>
          <w:rFonts w:hint="eastAsia" w:ascii="Times New Roman" w:hAnsi="Times New Roman" w:eastAsia="宋体" w:cs="宋体"/>
          <w:color w:val="auto"/>
          <w:szCs w:val="21"/>
          <w:highlight w:val="none"/>
          <w:shd w:val="clear" w:color="auto" w:fill="auto"/>
          <w:lang w:val="en-US" w:eastAsia="zh-CN"/>
        </w:rPr>
        <w:t>2.</w:t>
      </w:r>
      <w:r>
        <w:rPr>
          <w:rFonts w:hint="eastAsia" w:ascii="Times New Roman" w:hAnsi="Times New Roman" w:eastAsia="宋体" w:cs="宋体"/>
          <w:color w:val="auto"/>
          <w:szCs w:val="21"/>
          <w:highlight w:val="none"/>
          <w:shd w:val="clear" w:color="auto" w:fill="auto"/>
          <w:lang w:eastAsia="zh-CN"/>
        </w:rPr>
        <w:t>甲方</w:t>
      </w:r>
      <w:r>
        <w:rPr>
          <w:rFonts w:hint="eastAsia" w:ascii="Times New Roman" w:hAnsi="Times New Roman" w:eastAsia="宋体" w:cs="宋体"/>
          <w:color w:val="auto"/>
          <w:szCs w:val="21"/>
          <w:highlight w:val="none"/>
          <w:shd w:val="clear" w:color="auto" w:fill="auto"/>
        </w:rPr>
        <w:t>工作人员不得参加</w:t>
      </w:r>
      <w:r>
        <w:rPr>
          <w:rFonts w:hint="eastAsia" w:ascii="Times New Roman" w:hAnsi="Times New Roman" w:eastAsia="宋体" w:cs="宋体"/>
          <w:color w:val="auto"/>
          <w:szCs w:val="21"/>
          <w:highlight w:val="none"/>
          <w:shd w:val="clear" w:color="auto" w:fill="auto"/>
          <w:lang w:eastAsia="zh-CN"/>
        </w:rPr>
        <w:t>乙方</w:t>
      </w:r>
      <w:r>
        <w:rPr>
          <w:rFonts w:hint="eastAsia" w:ascii="Times New Roman" w:hAnsi="Times New Roman" w:eastAsia="宋体" w:cs="宋体"/>
          <w:color w:val="auto"/>
          <w:szCs w:val="21"/>
          <w:highlight w:val="none"/>
          <w:shd w:val="clear" w:color="auto" w:fill="auto"/>
        </w:rPr>
        <w:t>安排的超标准宴请和娱乐活动；不得接受</w:t>
      </w:r>
      <w:r>
        <w:rPr>
          <w:rFonts w:hint="eastAsia" w:ascii="Times New Roman" w:hAnsi="Times New Roman" w:eastAsia="宋体" w:cs="宋体"/>
          <w:color w:val="auto"/>
          <w:szCs w:val="21"/>
          <w:highlight w:val="none"/>
          <w:shd w:val="clear" w:color="auto" w:fill="auto"/>
          <w:lang w:eastAsia="zh-CN"/>
        </w:rPr>
        <w:t>乙方</w:t>
      </w:r>
      <w:r>
        <w:rPr>
          <w:rFonts w:hint="eastAsia" w:ascii="Times New Roman" w:hAnsi="Times New Roman" w:eastAsia="宋体" w:cs="宋体"/>
          <w:color w:val="auto"/>
          <w:szCs w:val="21"/>
          <w:highlight w:val="none"/>
          <w:shd w:val="clear" w:color="auto" w:fill="auto"/>
        </w:rPr>
        <w:t>提供的通讯工具、交通工具和高档办公用品等。</w:t>
      </w:r>
    </w:p>
    <w:p w14:paraId="7B18CC2D">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ascii="Times New Roman" w:hAnsi="Times New Roman" w:eastAsia="宋体" w:cs="宋体"/>
          <w:color w:val="auto"/>
          <w:szCs w:val="21"/>
          <w:highlight w:val="none"/>
          <w:shd w:val="clear" w:color="auto" w:fill="auto"/>
        </w:rPr>
      </w:pPr>
      <w:r>
        <w:rPr>
          <w:rFonts w:hint="eastAsia" w:ascii="Times New Roman" w:hAnsi="Times New Roman" w:eastAsia="宋体" w:cs="宋体"/>
          <w:color w:val="auto"/>
          <w:szCs w:val="21"/>
          <w:highlight w:val="none"/>
          <w:shd w:val="clear" w:color="auto" w:fill="auto"/>
          <w:lang w:val="en-US" w:eastAsia="zh-CN"/>
        </w:rPr>
        <w:t>3.</w:t>
      </w:r>
      <w:r>
        <w:rPr>
          <w:rFonts w:hint="eastAsia" w:ascii="Times New Roman" w:hAnsi="Times New Roman" w:eastAsia="宋体" w:cs="宋体"/>
          <w:color w:val="auto"/>
          <w:szCs w:val="21"/>
          <w:highlight w:val="none"/>
          <w:shd w:val="clear" w:color="auto" w:fill="auto"/>
          <w:lang w:eastAsia="zh-CN"/>
        </w:rPr>
        <w:t>甲方</w:t>
      </w:r>
      <w:r>
        <w:rPr>
          <w:rFonts w:hint="eastAsia" w:ascii="Times New Roman" w:hAnsi="Times New Roman" w:eastAsia="宋体" w:cs="宋体"/>
          <w:color w:val="auto"/>
          <w:szCs w:val="21"/>
          <w:highlight w:val="none"/>
          <w:shd w:val="clear" w:color="auto" w:fill="auto"/>
        </w:rPr>
        <w:t>及其工作人员不得要求或者接受</w:t>
      </w:r>
      <w:r>
        <w:rPr>
          <w:rFonts w:hint="eastAsia" w:ascii="Times New Roman" w:hAnsi="Times New Roman" w:eastAsia="宋体" w:cs="宋体"/>
          <w:color w:val="auto"/>
          <w:szCs w:val="21"/>
          <w:highlight w:val="none"/>
          <w:shd w:val="clear" w:color="auto" w:fill="auto"/>
          <w:lang w:eastAsia="zh-CN"/>
        </w:rPr>
        <w:t>乙方</w:t>
      </w:r>
      <w:r>
        <w:rPr>
          <w:rFonts w:hint="eastAsia" w:ascii="Times New Roman" w:hAnsi="Times New Roman" w:eastAsia="宋体" w:cs="宋体"/>
          <w:color w:val="auto"/>
          <w:szCs w:val="21"/>
          <w:highlight w:val="none"/>
          <w:shd w:val="clear" w:color="auto" w:fill="auto"/>
        </w:rPr>
        <w:t>为其住房装修、婚丧嫁娶活动、配偶子女的工作安排以及出国出境、旅游等提供方便等。</w:t>
      </w:r>
    </w:p>
    <w:p w14:paraId="2A029E5C">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ascii="Times New Roman" w:hAnsi="Times New Roman" w:eastAsia="宋体" w:cs="宋体"/>
          <w:color w:val="auto"/>
          <w:szCs w:val="21"/>
          <w:highlight w:val="none"/>
          <w:shd w:val="clear" w:color="auto" w:fill="auto"/>
        </w:rPr>
      </w:pPr>
      <w:r>
        <w:rPr>
          <w:rFonts w:hint="eastAsia" w:ascii="Times New Roman" w:hAnsi="Times New Roman" w:eastAsia="宋体" w:cs="宋体"/>
          <w:color w:val="auto"/>
          <w:szCs w:val="21"/>
          <w:highlight w:val="none"/>
          <w:shd w:val="clear" w:color="auto" w:fill="auto"/>
          <w:lang w:val="en-US" w:eastAsia="zh-CN"/>
        </w:rPr>
        <w:t>4.</w:t>
      </w:r>
      <w:r>
        <w:rPr>
          <w:rFonts w:hint="eastAsia" w:ascii="Times New Roman" w:hAnsi="Times New Roman" w:eastAsia="宋体" w:cs="宋体"/>
          <w:color w:val="auto"/>
          <w:szCs w:val="21"/>
          <w:highlight w:val="none"/>
          <w:shd w:val="clear" w:color="auto" w:fill="auto"/>
          <w:lang w:eastAsia="zh-CN"/>
        </w:rPr>
        <w:t>甲方</w:t>
      </w:r>
      <w:r>
        <w:rPr>
          <w:rFonts w:hint="eastAsia" w:ascii="Times New Roman" w:hAnsi="Times New Roman" w:eastAsia="宋体" w:cs="宋体"/>
          <w:color w:val="auto"/>
          <w:szCs w:val="21"/>
          <w:highlight w:val="none"/>
          <w:shd w:val="clear" w:color="auto" w:fill="auto"/>
        </w:rPr>
        <w:t>工作人员及其配偶、子女不得从事与</w:t>
      </w:r>
      <w:r>
        <w:rPr>
          <w:rFonts w:hint="eastAsia" w:ascii="Times New Roman" w:hAnsi="Times New Roman" w:eastAsia="宋体" w:cs="宋体"/>
          <w:color w:val="auto"/>
          <w:szCs w:val="21"/>
          <w:highlight w:val="none"/>
          <w:shd w:val="clear" w:color="auto" w:fill="auto"/>
          <w:lang w:eastAsia="zh-CN"/>
        </w:rPr>
        <w:t>甲方</w:t>
      </w:r>
      <w:r>
        <w:rPr>
          <w:rFonts w:hint="eastAsia" w:ascii="Times New Roman" w:hAnsi="Times New Roman" w:eastAsia="宋体" w:cs="宋体"/>
          <w:color w:val="auto"/>
          <w:szCs w:val="21"/>
          <w:highlight w:val="none"/>
          <w:shd w:val="clear" w:color="auto" w:fill="auto"/>
        </w:rPr>
        <w:t>工程有关的材料设备供应、工程分包、劳务等经济活动等。</w:t>
      </w:r>
    </w:p>
    <w:p w14:paraId="5EFE258F">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ascii="Times New Roman" w:hAnsi="Times New Roman" w:eastAsia="宋体" w:cs="宋体"/>
          <w:color w:val="auto"/>
          <w:szCs w:val="21"/>
          <w:highlight w:val="none"/>
          <w:shd w:val="clear" w:color="auto" w:fill="auto"/>
        </w:rPr>
      </w:pPr>
      <w:r>
        <w:rPr>
          <w:rFonts w:hint="eastAsia" w:ascii="Times New Roman" w:hAnsi="Times New Roman" w:eastAsia="宋体" w:cs="宋体"/>
          <w:color w:val="auto"/>
          <w:szCs w:val="21"/>
          <w:highlight w:val="none"/>
          <w:shd w:val="clear" w:color="auto" w:fill="auto"/>
          <w:lang w:val="en-US" w:eastAsia="zh-CN"/>
        </w:rPr>
        <w:t>5.</w:t>
      </w:r>
      <w:r>
        <w:rPr>
          <w:rFonts w:hint="eastAsia" w:ascii="Times New Roman" w:hAnsi="Times New Roman" w:eastAsia="宋体" w:cs="宋体"/>
          <w:color w:val="auto"/>
          <w:szCs w:val="21"/>
          <w:highlight w:val="none"/>
          <w:shd w:val="clear" w:color="auto" w:fill="auto"/>
          <w:lang w:eastAsia="zh-CN"/>
        </w:rPr>
        <w:t>甲方</w:t>
      </w:r>
      <w:r>
        <w:rPr>
          <w:rFonts w:hint="eastAsia" w:ascii="Times New Roman" w:hAnsi="Times New Roman" w:eastAsia="宋体" w:cs="宋体"/>
          <w:color w:val="auto"/>
          <w:szCs w:val="21"/>
          <w:highlight w:val="none"/>
          <w:shd w:val="clear" w:color="auto" w:fill="auto"/>
        </w:rPr>
        <w:t>及其工作人员不得以任何理由向</w:t>
      </w:r>
      <w:r>
        <w:rPr>
          <w:rFonts w:hint="eastAsia" w:ascii="Times New Roman" w:hAnsi="Times New Roman" w:eastAsia="宋体" w:cs="宋体"/>
          <w:color w:val="auto"/>
          <w:szCs w:val="21"/>
          <w:highlight w:val="none"/>
          <w:shd w:val="clear" w:color="auto" w:fill="auto"/>
          <w:lang w:eastAsia="zh-CN"/>
        </w:rPr>
        <w:t>乙方</w:t>
      </w:r>
      <w:r>
        <w:rPr>
          <w:rFonts w:hint="eastAsia" w:ascii="Times New Roman" w:hAnsi="Times New Roman" w:eastAsia="宋体" w:cs="宋体"/>
          <w:color w:val="auto"/>
          <w:szCs w:val="21"/>
          <w:highlight w:val="none"/>
          <w:shd w:val="clear" w:color="auto" w:fill="auto"/>
        </w:rPr>
        <w:t>推荐分包单位或推销材料，不得要求</w:t>
      </w:r>
      <w:r>
        <w:rPr>
          <w:rFonts w:hint="eastAsia" w:ascii="Times New Roman" w:hAnsi="Times New Roman" w:eastAsia="宋体" w:cs="宋体"/>
          <w:color w:val="auto"/>
          <w:szCs w:val="21"/>
          <w:highlight w:val="none"/>
          <w:shd w:val="clear" w:color="auto" w:fill="auto"/>
          <w:lang w:eastAsia="zh-CN"/>
        </w:rPr>
        <w:t>乙方</w:t>
      </w:r>
      <w:r>
        <w:rPr>
          <w:rFonts w:hint="eastAsia" w:ascii="Times New Roman" w:hAnsi="Times New Roman" w:eastAsia="宋体" w:cs="宋体"/>
          <w:color w:val="auto"/>
          <w:szCs w:val="21"/>
          <w:highlight w:val="none"/>
          <w:shd w:val="clear" w:color="auto" w:fill="auto"/>
        </w:rPr>
        <w:t>购买合同规定外的材料和设备。</w:t>
      </w:r>
    </w:p>
    <w:p w14:paraId="2C9409BE">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ascii="Times New Roman" w:hAnsi="Times New Roman" w:eastAsia="宋体" w:cs="宋体"/>
          <w:color w:val="auto"/>
          <w:szCs w:val="21"/>
          <w:highlight w:val="none"/>
          <w:shd w:val="clear" w:color="auto" w:fill="auto"/>
        </w:rPr>
      </w:pPr>
      <w:r>
        <w:rPr>
          <w:rFonts w:hint="eastAsia" w:ascii="Times New Roman" w:hAnsi="Times New Roman" w:eastAsia="宋体" w:cs="宋体"/>
          <w:color w:val="auto"/>
          <w:szCs w:val="21"/>
          <w:highlight w:val="none"/>
          <w:shd w:val="clear" w:color="auto" w:fill="auto"/>
          <w:lang w:val="en-US" w:eastAsia="zh-CN"/>
        </w:rPr>
        <w:t>6.</w:t>
      </w:r>
      <w:r>
        <w:rPr>
          <w:rFonts w:hint="eastAsia" w:ascii="Times New Roman" w:hAnsi="Times New Roman" w:eastAsia="宋体" w:cs="宋体"/>
          <w:color w:val="auto"/>
          <w:szCs w:val="21"/>
          <w:highlight w:val="none"/>
          <w:shd w:val="clear" w:color="auto" w:fill="auto"/>
          <w:lang w:eastAsia="zh-CN"/>
        </w:rPr>
        <w:t>甲方</w:t>
      </w:r>
      <w:r>
        <w:rPr>
          <w:rFonts w:hint="eastAsia" w:ascii="Times New Roman" w:hAnsi="Times New Roman" w:eastAsia="宋体" w:cs="宋体"/>
          <w:color w:val="auto"/>
          <w:szCs w:val="21"/>
          <w:highlight w:val="none"/>
          <w:shd w:val="clear" w:color="auto" w:fill="auto"/>
        </w:rPr>
        <w:t>工作人员要秉公办事，不准营私舞弊，不准利用职权从事各种个人有偿中介活动和安排个人施工队伍。</w:t>
      </w:r>
    </w:p>
    <w:p w14:paraId="56DCF9D8">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ascii="Times New Roman" w:hAnsi="Times New Roman" w:eastAsia="宋体" w:cs="宋体"/>
          <w:color w:val="auto"/>
          <w:szCs w:val="21"/>
          <w:highlight w:val="none"/>
          <w:shd w:val="clear" w:color="auto" w:fill="auto"/>
        </w:rPr>
      </w:pPr>
      <w:r>
        <w:rPr>
          <w:rFonts w:hint="eastAsia" w:ascii="Times New Roman" w:hAnsi="Times New Roman" w:eastAsia="宋体" w:cs="宋体"/>
          <w:color w:val="auto"/>
          <w:szCs w:val="21"/>
          <w:highlight w:val="none"/>
          <w:shd w:val="clear" w:color="auto" w:fill="auto"/>
          <w:lang w:eastAsia="zh-CN"/>
        </w:rPr>
        <w:t>三、乙方</w:t>
      </w:r>
      <w:r>
        <w:rPr>
          <w:rFonts w:hint="eastAsia" w:ascii="Times New Roman" w:hAnsi="Times New Roman" w:eastAsia="宋体" w:cs="宋体"/>
          <w:color w:val="auto"/>
          <w:szCs w:val="21"/>
          <w:highlight w:val="none"/>
          <w:shd w:val="clear" w:color="auto" w:fill="auto"/>
        </w:rPr>
        <w:t>义务</w:t>
      </w:r>
    </w:p>
    <w:p w14:paraId="2F887F50">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ascii="Times New Roman" w:hAnsi="Times New Roman" w:eastAsia="宋体" w:cs="宋体"/>
          <w:color w:val="auto"/>
          <w:szCs w:val="21"/>
          <w:highlight w:val="none"/>
          <w:shd w:val="clear" w:color="auto" w:fill="auto"/>
        </w:rPr>
      </w:pPr>
      <w:r>
        <w:rPr>
          <w:rFonts w:hint="eastAsia" w:ascii="Times New Roman" w:hAnsi="Times New Roman" w:eastAsia="宋体" w:cs="宋体"/>
          <w:color w:val="auto"/>
          <w:szCs w:val="21"/>
          <w:highlight w:val="none"/>
          <w:shd w:val="clear" w:color="auto" w:fill="auto"/>
          <w:lang w:val="en-US" w:eastAsia="zh-CN"/>
        </w:rPr>
        <w:t>1.</w:t>
      </w:r>
      <w:r>
        <w:rPr>
          <w:rFonts w:hint="eastAsia" w:ascii="Times New Roman" w:hAnsi="Times New Roman" w:eastAsia="宋体" w:cs="宋体"/>
          <w:color w:val="auto"/>
          <w:szCs w:val="21"/>
          <w:highlight w:val="none"/>
          <w:shd w:val="clear" w:color="auto" w:fill="auto"/>
          <w:lang w:eastAsia="zh-CN"/>
        </w:rPr>
        <w:t>乙方</w:t>
      </w:r>
      <w:r>
        <w:rPr>
          <w:rFonts w:hint="eastAsia" w:ascii="Times New Roman" w:hAnsi="Times New Roman" w:eastAsia="宋体" w:cs="宋体"/>
          <w:color w:val="auto"/>
          <w:szCs w:val="21"/>
          <w:highlight w:val="none"/>
          <w:shd w:val="clear" w:color="auto" w:fill="auto"/>
        </w:rPr>
        <w:t>不得以任何理由向</w:t>
      </w:r>
      <w:r>
        <w:rPr>
          <w:rFonts w:hint="eastAsia" w:ascii="Times New Roman" w:hAnsi="Times New Roman" w:eastAsia="宋体" w:cs="宋体"/>
          <w:color w:val="auto"/>
          <w:szCs w:val="21"/>
          <w:highlight w:val="none"/>
          <w:shd w:val="clear" w:color="auto" w:fill="auto"/>
          <w:lang w:eastAsia="zh-CN"/>
        </w:rPr>
        <w:t>甲方</w:t>
      </w:r>
      <w:r>
        <w:rPr>
          <w:rFonts w:hint="eastAsia" w:ascii="Times New Roman" w:hAnsi="Times New Roman" w:eastAsia="宋体" w:cs="宋体"/>
          <w:color w:val="auto"/>
          <w:szCs w:val="21"/>
          <w:highlight w:val="none"/>
          <w:shd w:val="clear" w:color="auto" w:fill="auto"/>
        </w:rPr>
        <w:t>及其工作人员行贿或馈赠礼金、有价证券、贵重礼品。</w:t>
      </w:r>
    </w:p>
    <w:p w14:paraId="7111BD74">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ascii="Times New Roman" w:hAnsi="Times New Roman" w:eastAsia="宋体" w:cs="宋体"/>
          <w:color w:val="auto"/>
          <w:szCs w:val="21"/>
          <w:highlight w:val="none"/>
          <w:shd w:val="clear" w:color="auto" w:fill="auto"/>
        </w:rPr>
      </w:pPr>
      <w:r>
        <w:rPr>
          <w:rFonts w:hint="eastAsia" w:ascii="Times New Roman" w:hAnsi="Times New Roman" w:eastAsia="宋体" w:cs="宋体"/>
          <w:color w:val="auto"/>
          <w:szCs w:val="21"/>
          <w:highlight w:val="none"/>
          <w:shd w:val="clear" w:color="auto" w:fill="auto"/>
          <w:lang w:val="en-US" w:eastAsia="zh-CN"/>
        </w:rPr>
        <w:t>2.</w:t>
      </w:r>
      <w:r>
        <w:rPr>
          <w:rFonts w:hint="eastAsia" w:ascii="Times New Roman" w:hAnsi="Times New Roman" w:eastAsia="宋体" w:cs="宋体"/>
          <w:color w:val="auto"/>
          <w:szCs w:val="21"/>
          <w:highlight w:val="none"/>
          <w:shd w:val="clear" w:color="auto" w:fill="auto"/>
          <w:lang w:eastAsia="zh-CN"/>
        </w:rPr>
        <w:t>乙方</w:t>
      </w:r>
      <w:r>
        <w:rPr>
          <w:rFonts w:hint="eastAsia" w:ascii="Times New Roman" w:hAnsi="Times New Roman" w:eastAsia="宋体" w:cs="宋体"/>
          <w:color w:val="auto"/>
          <w:szCs w:val="21"/>
          <w:highlight w:val="none"/>
          <w:shd w:val="clear" w:color="auto" w:fill="auto"/>
        </w:rPr>
        <w:t>不得以任何名义为</w:t>
      </w:r>
      <w:r>
        <w:rPr>
          <w:rFonts w:hint="eastAsia" w:ascii="Times New Roman" w:hAnsi="Times New Roman" w:eastAsia="宋体" w:cs="宋体"/>
          <w:color w:val="auto"/>
          <w:szCs w:val="21"/>
          <w:highlight w:val="none"/>
          <w:shd w:val="clear" w:color="auto" w:fill="auto"/>
          <w:lang w:eastAsia="zh-CN"/>
        </w:rPr>
        <w:t>甲方</w:t>
      </w:r>
      <w:r>
        <w:rPr>
          <w:rFonts w:hint="eastAsia" w:ascii="Times New Roman" w:hAnsi="Times New Roman" w:eastAsia="宋体" w:cs="宋体"/>
          <w:color w:val="auto"/>
          <w:szCs w:val="21"/>
          <w:highlight w:val="none"/>
          <w:shd w:val="clear" w:color="auto" w:fill="auto"/>
        </w:rPr>
        <w:t>及其工作人员报销应由</w:t>
      </w:r>
      <w:r>
        <w:rPr>
          <w:rFonts w:hint="eastAsia" w:ascii="Times New Roman" w:hAnsi="Times New Roman" w:eastAsia="宋体" w:cs="宋体"/>
          <w:color w:val="auto"/>
          <w:szCs w:val="21"/>
          <w:highlight w:val="none"/>
          <w:shd w:val="clear" w:color="auto" w:fill="auto"/>
          <w:lang w:eastAsia="zh-CN"/>
        </w:rPr>
        <w:t>甲方</w:t>
      </w:r>
      <w:r>
        <w:rPr>
          <w:rFonts w:hint="eastAsia" w:ascii="Times New Roman" w:hAnsi="Times New Roman" w:eastAsia="宋体" w:cs="宋体"/>
          <w:color w:val="auto"/>
          <w:szCs w:val="21"/>
          <w:highlight w:val="none"/>
          <w:shd w:val="clear" w:color="auto" w:fill="auto"/>
        </w:rPr>
        <w:t>单位或个人支付的任何费用。</w:t>
      </w:r>
    </w:p>
    <w:p w14:paraId="239037C5">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ascii="Times New Roman" w:hAnsi="Times New Roman" w:eastAsia="宋体" w:cs="宋体"/>
          <w:color w:val="auto"/>
          <w:szCs w:val="21"/>
          <w:highlight w:val="none"/>
          <w:shd w:val="clear" w:color="auto" w:fill="auto"/>
        </w:rPr>
      </w:pPr>
      <w:r>
        <w:rPr>
          <w:rFonts w:hint="eastAsia" w:ascii="Times New Roman" w:hAnsi="Times New Roman" w:eastAsia="宋体" w:cs="宋体"/>
          <w:color w:val="auto"/>
          <w:szCs w:val="21"/>
          <w:highlight w:val="none"/>
          <w:shd w:val="clear" w:color="auto" w:fill="auto"/>
          <w:lang w:val="en-US" w:eastAsia="zh-CN"/>
        </w:rPr>
        <w:t>3.</w:t>
      </w:r>
      <w:r>
        <w:rPr>
          <w:rFonts w:hint="eastAsia" w:ascii="Times New Roman" w:hAnsi="Times New Roman" w:eastAsia="宋体" w:cs="宋体"/>
          <w:color w:val="auto"/>
          <w:szCs w:val="21"/>
          <w:highlight w:val="none"/>
          <w:shd w:val="clear" w:color="auto" w:fill="auto"/>
          <w:lang w:eastAsia="zh-CN"/>
        </w:rPr>
        <w:t>乙方</w:t>
      </w:r>
      <w:r>
        <w:rPr>
          <w:rFonts w:hint="eastAsia" w:ascii="Times New Roman" w:hAnsi="Times New Roman" w:eastAsia="宋体" w:cs="宋体"/>
          <w:color w:val="auto"/>
          <w:szCs w:val="21"/>
          <w:highlight w:val="none"/>
          <w:shd w:val="clear" w:color="auto" w:fill="auto"/>
        </w:rPr>
        <w:t>不得以任何理由安排</w:t>
      </w:r>
      <w:r>
        <w:rPr>
          <w:rFonts w:hint="eastAsia" w:ascii="Times New Roman" w:hAnsi="Times New Roman" w:eastAsia="宋体" w:cs="宋体"/>
          <w:color w:val="auto"/>
          <w:szCs w:val="21"/>
          <w:highlight w:val="none"/>
          <w:shd w:val="clear" w:color="auto" w:fill="auto"/>
          <w:lang w:eastAsia="zh-CN"/>
        </w:rPr>
        <w:t>甲方</w:t>
      </w:r>
      <w:r>
        <w:rPr>
          <w:rFonts w:hint="eastAsia" w:ascii="Times New Roman" w:hAnsi="Times New Roman" w:eastAsia="宋体" w:cs="宋体"/>
          <w:color w:val="auto"/>
          <w:szCs w:val="21"/>
          <w:highlight w:val="none"/>
          <w:shd w:val="clear" w:color="auto" w:fill="auto"/>
        </w:rPr>
        <w:t>工作人员参加超标准宴请及娱乐活动。</w:t>
      </w:r>
    </w:p>
    <w:p w14:paraId="3F92C373">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ascii="Times New Roman" w:hAnsi="Times New Roman" w:eastAsia="宋体" w:cs="宋体"/>
          <w:color w:val="auto"/>
          <w:szCs w:val="21"/>
          <w:highlight w:val="none"/>
          <w:shd w:val="clear" w:color="auto" w:fill="auto"/>
        </w:rPr>
      </w:pPr>
      <w:r>
        <w:rPr>
          <w:rFonts w:hint="eastAsia" w:ascii="Times New Roman" w:hAnsi="Times New Roman" w:eastAsia="宋体" w:cs="宋体"/>
          <w:color w:val="auto"/>
          <w:szCs w:val="21"/>
          <w:highlight w:val="none"/>
          <w:shd w:val="clear" w:color="auto" w:fill="auto"/>
          <w:lang w:val="en-US" w:eastAsia="zh-CN"/>
        </w:rPr>
        <w:t>4.</w:t>
      </w:r>
      <w:r>
        <w:rPr>
          <w:rFonts w:hint="eastAsia" w:ascii="Times New Roman" w:hAnsi="Times New Roman" w:eastAsia="宋体" w:cs="宋体"/>
          <w:color w:val="auto"/>
          <w:szCs w:val="21"/>
          <w:highlight w:val="none"/>
          <w:shd w:val="clear" w:color="auto" w:fill="auto"/>
          <w:lang w:eastAsia="zh-CN"/>
        </w:rPr>
        <w:t>乙方</w:t>
      </w:r>
      <w:r>
        <w:rPr>
          <w:rFonts w:hint="eastAsia" w:ascii="Times New Roman" w:hAnsi="Times New Roman" w:eastAsia="宋体" w:cs="宋体"/>
          <w:color w:val="auto"/>
          <w:szCs w:val="21"/>
          <w:highlight w:val="none"/>
          <w:shd w:val="clear" w:color="auto" w:fill="auto"/>
        </w:rPr>
        <w:t>不得为</w:t>
      </w:r>
      <w:r>
        <w:rPr>
          <w:rFonts w:hint="eastAsia" w:ascii="Times New Roman" w:hAnsi="Times New Roman" w:eastAsia="宋体" w:cs="宋体"/>
          <w:color w:val="auto"/>
          <w:szCs w:val="21"/>
          <w:highlight w:val="none"/>
          <w:shd w:val="clear" w:color="auto" w:fill="auto"/>
          <w:lang w:eastAsia="zh-CN"/>
        </w:rPr>
        <w:t>甲方</w:t>
      </w:r>
      <w:r>
        <w:rPr>
          <w:rFonts w:hint="eastAsia" w:ascii="Times New Roman" w:hAnsi="Times New Roman" w:eastAsia="宋体" w:cs="宋体"/>
          <w:color w:val="auto"/>
          <w:szCs w:val="21"/>
          <w:highlight w:val="none"/>
          <w:shd w:val="clear" w:color="auto" w:fill="auto"/>
        </w:rPr>
        <w:t>单位和个人购置或提供通讯工具、交通工具和高档办公用品等。</w:t>
      </w:r>
    </w:p>
    <w:p w14:paraId="7FD24107">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ascii="Times New Roman" w:hAnsi="Times New Roman" w:eastAsia="宋体" w:cs="宋体"/>
          <w:color w:val="auto"/>
          <w:szCs w:val="21"/>
          <w:highlight w:val="none"/>
          <w:shd w:val="clear" w:color="auto" w:fill="auto"/>
        </w:rPr>
      </w:pPr>
      <w:r>
        <w:rPr>
          <w:rFonts w:hint="eastAsia" w:ascii="Times New Roman" w:hAnsi="Times New Roman" w:eastAsia="宋体" w:cs="宋体"/>
          <w:color w:val="auto"/>
          <w:szCs w:val="21"/>
          <w:highlight w:val="none"/>
          <w:shd w:val="clear" w:color="auto" w:fill="auto"/>
          <w:lang w:eastAsia="zh-CN"/>
        </w:rPr>
        <w:t>四、</w:t>
      </w:r>
      <w:r>
        <w:rPr>
          <w:rFonts w:hint="eastAsia" w:ascii="Times New Roman" w:hAnsi="Times New Roman" w:eastAsia="宋体" w:cs="宋体"/>
          <w:color w:val="auto"/>
          <w:szCs w:val="21"/>
          <w:highlight w:val="none"/>
          <w:shd w:val="clear" w:color="auto" w:fill="auto"/>
        </w:rPr>
        <w:t>违约责任</w:t>
      </w:r>
    </w:p>
    <w:p w14:paraId="48992710">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ascii="Times New Roman" w:hAnsi="Times New Roman" w:eastAsia="宋体" w:cs="宋体"/>
          <w:color w:val="auto"/>
          <w:szCs w:val="21"/>
          <w:highlight w:val="none"/>
          <w:shd w:val="clear" w:color="auto" w:fill="auto"/>
        </w:rPr>
      </w:pPr>
      <w:r>
        <w:rPr>
          <w:rFonts w:hint="eastAsia" w:ascii="Times New Roman" w:hAnsi="Times New Roman" w:eastAsia="宋体" w:cs="宋体"/>
          <w:color w:val="auto"/>
          <w:szCs w:val="21"/>
          <w:highlight w:val="none"/>
          <w:shd w:val="clear" w:color="auto" w:fill="auto"/>
          <w:lang w:val="en-US" w:eastAsia="zh-CN"/>
        </w:rPr>
        <w:t>1.</w:t>
      </w:r>
      <w:r>
        <w:rPr>
          <w:rFonts w:hint="eastAsia" w:ascii="Times New Roman" w:hAnsi="Times New Roman" w:eastAsia="宋体" w:cs="宋体"/>
          <w:color w:val="auto"/>
          <w:szCs w:val="21"/>
          <w:highlight w:val="none"/>
          <w:shd w:val="clear" w:color="auto" w:fill="auto"/>
          <w:lang w:eastAsia="zh-CN"/>
        </w:rPr>
        <w:t>甲方</w:t>
      </w:r>
      <w:r>
        <w:rPr>
          <w:rFonts w:hint="eastAsia" w:ascii="Times New Roman" w:hAnsi="Times New Roman" w:eastAsia="宋体" w:cs="宋体"/>
          <w:color w:val="auto"/>
          <w:szCs w:val="21"/>
          <w:highlight w:val="none"/>
          <w:shd w:val="clear" w:color="auto" w:fill="auto"/>
        </w:rPr>
        <w:t>及其工作人员违反本合同第一、二条，按管理权限，依据有关规定给予党纪、政纪或组织处理；涉嫌犯罪的，移交司法机关追究刑事责任。</w:t>
      </w:r>
    </w:p>
    <w:p w14:paraId="45F9CC15">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ascii="Times New Roman" w:hAnsi="Times New Roman" w:eastAsia="宋体" w:cs="宋体"/>
          <w:color w:val="auto"/>
          <w:szCs w:val="21"/>
          <w:highlight w:val="none"/>
          <w:shd w:val="clear" w:color="auto" w:fill="auto"/>
        </w:rPr>
      </w:pPr>
      <w:r>
        <w:rPr>
          <w:rFonts w:hint="eastAsia" w:ascii="Times New Roman" w:hAnsi="Times New Roman" w:eastAsia="宋体" w:cs="宋体"/>
          <w:color w:val="auto"/>
          <w:szCs w:val="21"/>
          <w:highlight w:val="none"/>
          <w:shd w:val="clear" w:color="auto" w:fill="auto"/>
          <w:lang w:val="en-US" w:eastAsia="zh-CN"/>
        </w:rPr>
        <w:t>2.</w:t>
      </w:r>
      <w:r>
        <w:rPr>
          <w:rFonts w:hint="eastAsia" w:ascii="Times New Roman" w:hAnsi="Times New Roman" w:eastAsia="宋体" w:cs="宋体"/>
          <w:color w:val="auto"/>
          <w:szCs w:val="21"/>
          <w:highlight w:val="none"/>
          <w:shd w:val="clear" w:color="auto" w:fill="auto"/>
          <w:lang w:eastAsia="zh-CN"/>
        </w:rPr>
        <w:t>乙方及其工作人员违反本合同第一、三条，按管理权限，依据有关规定给予党纪、政纪组织处理；给甲方单位造成经济损失的，应予以赔偿；情节严重的，甲方建议建设行政主管部门给予乙方一至三年内不得进入其主管的工程建设市场的处罚。</w:t>
      </w:r>
    </w:p>
    <w:p w14:paraId="5D39F246">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ascii="Times New Roman" w:hAnsi="Times New Roman" w:eastAsia="宋体" w:cs="宋体"/>
          <w:color w:val="auto"/>
          <w:szCs w:val="21"/>
          <w:highlight w:val="none"/>
          <w:shd w:val="clear" w:color="auto" w:fill="auto"/>
        </w:rPr>
      </w:pPr>
      <w:r>
        <w:rPr>
          <w:rFonts w:hint="eastAsia" w:ascii="Times New Roman" w:hAnsi="Times New Roman" w:eastAsia="宋体" w:cs="宋体"/>
          <w:color w:val="auto"/>
          <w:szCs w:val="21"/>
          <w:highlight w:val="none"/>
          <w:shd w:val="clear" w:color="auto" w:fill="auto"/>
          <w:lang w:eastAsia="zh-CN"/>
        </w:rPr>
        <w:t>五、</w:t>
      </w:r>
      <w:r>
        <w:rPr>
          <w:rFonts w:hint="eastAsia" w:ascii="Times New Roman" w:hAnsi="Times New Roman" w:eastAsia="宋体" w:cs="宋体"/>
          <w:color w:val="auto"/>
          <w:szCs w:val="21"/>
          <w:highlight w:val="none"/>
          <w:shd w:val="clear" w:color="auto" w:fill="auto"/>
        </w:rPr>
        <w:t>双方约定：本合同由双方或双方上级单位的纪检监察机关负责监督执行。由</w:t>
      </w:r>
      <w:r>
        <w:rPr>
          <w:rFonts w:hint="eastAsia" w:ascii="Times New Roman" w:hAnsi="Times New Roman" w:eastAsia="宋体" w:cs="宋体"/>
          <w:color w:val="auto"/>
          <w:szCs w:val="21"/>
          <w:highlight w:val="none"/>
          <w:shd w:val="clear" w:color="auto" w:fill="auto"/>
          <w:lang w:eastAsia="zh-CN"/>
        </w:rPr>
        <w:t>甲方</w:t>
      </w:r>
      <w:r>
        <w:rPr>
          <w:rFonts w:hint="eastAsia" w:ascii="Times New Roman" w:hAnsi="Times New Roman" w:eastAsia="宋体" w:cs="宋体"/>
          <w:color w:val="auto"/>
          <w:szCs w:val="21"/>
          <w:highlight w:val="none"/>
          <w:shd w:val="clear" w:color="auto" w:fill="auto"/>
        </w:rPr>
        <w:t>或</w:t>
      </w:r>
      <w:r>
        <w:rPr>
          <w:rFonts w:hint="eastAsia" w:ascii="Times New Roman" w:hAnsi="Times New Roman" w:eastAsia="宋体" w:cs="宋体"/>
          <w:color w:val="auto"/>
          <w:szCs w:val="21"/>
          <w:highlight w:val="none"/>
          <w:shd w:val="clear" w:color="auto" w:fill="auto"/>
          <w:lang w:eastAsia="zh-CN"/>
        </w:rPr>
        <w:t>甲方</w:t>
      </w:r>
      <w:r>
        <w:rPr>
          <w:rFonts w:hint="eastAsia" w:ascii="Times New Roman" w:hAnsi="Times New Roman" w:eastAsia="宋体" w:cs="宋体"/>
          <w:color w:val="auto"/>
          <w:szCs w:val="21"/>
          <w:highlight w:val="none"/>
          <w:shd w:val="clear" w:color="auto" w:fill="auto"/>
        </w:rPr>
        <w:t>上级单位的纪检监察机关约请</w:t>
      </w:r>
      <w:r>
        <w:rPr>
          <w:rFonts w:hint="eastAsia" w:ascii="Times New Roman" w:hAnsi="Times New Roman" w:eastAsia="宋体" w:cs="宋体"/>
          <w:color w:val="auto"/>
          <w:szCs w:val="21"/>
          <w:highlight w:val="none"/>
          <w:shd w:val="clear" w:color="auto" w:fill="auto"/>
          <w:lang w:eastAsia="zh-CN"/>
        </w:rPr>
        <w:t>乙方</w:t>
      </w:r>
      <w:r>
        <w:rPr>
          <w:rFonts w:hint="eastAsia" w:ascii="Times New Roman" w:hAnsi="Times New Roman" w:eastAsia="宋体" w:cs="宋体"/>
          <w:color w:val="auto"/>
          <w:szCs w:val="21"/>
          <w:highlight w:val="none"/>
          <w:shd w:val="clear" w:color="auto" w:fill="auto"/>
        </w:rPr>
        <w:t>或</w:t>
      </w:r>
      <w:r>
        <w:rPr>
          <w:rFonts w:hint="eastAsia" w:ascii="Times New Roman" w:hAnsi="Times New Roman" w:eastAsia="宋体" w:cs="宋体"/>
          <w:color w:val="auto"/>
          <w:szCs w:val="21"/>
          <w:highlight w:val="none"/>
          <w:shd w:val="clear" w:color="auto" w:fill="auto"/>
          <w:lang w:eastAsia="zh-CN"/>
        </w:rPr>
        <w:t>乙方</w:t>
      </w:r>
      <w:r>
        <w:rPr>
          <w:rFonts w:hint="eastAsia" w:ascii="Times New Roman" w:hAnsi="Times New Roman" w:eastAsia="宋体" w:cs="宋体"/>
          <w:color w:val="auto"/>
          <w:szCs w:val="21"/>
          <w:highlight w:val="none"/>
          <w:shd w:val="clear" w:color="auto" w:fill="auto"/>
        </w:rPr>
        <w:t>上级单位纪检监察机关对本合同执行情况进行检查，提出在本合规定范围内的裁定意见。</w:t>
      </w:r>
    </w:p>
    <w:p w14:paraId="5D291539">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ascii="Times New Roman" w:hAnsi="Times New Roman" w:eastAsia="宋体" w:cs="宋体"/>
          <w:color w:val="auto"/>
          <w:szCs w:val="21"/>
          <w:highlight w:val="none"/>
          <w:shd w:val="clear" w:color="auto" w:fill="auto"/>
        </w:rPr>
      </w:pPr>
      <w:r>
        <w:rPr>
          <w:rFonts w:hint="eastAsia" w:ascii="Times New Roman" w:hAnsi="Times New Roman" w:eastAsia="宋体" w:cs="宋体"/>
          <w:color w:val="auto"/>
          <w:szCs w:val="21"/>
          <w:highlight w:val="none"/>
          <w:shd w:val="clear" w:color="auto" w:fill="auto"/>
          <w:lang w:eastAsia="zh-CN"/>
        </w:rPr>
        <w:t>六、</w:t>
      </w:r>
      <w:r>
        <w:rPr>
          <w:rFonts w:hint="eastAsia" w:ascii="Times New Roman" w:hAnsi="Times New Roman" w:eastAsia="宋体" w:cs="宋体"/>
          <w:color w:val="auto"/>
          <w:szCs w:val="21"/>
          <w:highlight w:val="none"/>
          <w:shd w:val="clear" w:color="auto" w:fill="auto"/>
        </w:rPr>
        <w:t>本合同有效期为双方签署之日起至该工程项目竣工验收后止。</w:t>
      </w:r>
    </w:p>
    <w:p w14:paraId="7F9EBD0C">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ascii="Times New Roman" w:hAnsi="Times New Roman" w:eastAsia="宋体" w:cs="宋体"/>
          <w:color w:val="auto"/>
          <w:szCs w:val="21"/>
          <w:highlight w:val="none"/>
          <w:shd w:val="clear" w:color="auto" w:fill="auto"/>
        </w:rPr>
      </w:pPr>
      <w:r>
        <w:rPr>
          <w:rFonts w:hint="eastAsia" w:ascii="Times New Roman" w:hAnsi="Times New Roman" w:eastAsia="宋体" w:cs="宋体"/>
          <w:color w:val="auto"/>
          <w:szCs w:val="21"/>
          <w:highlight w:val="none"/>
          <w:shd w:val="clear" w:color="auto" w:fill="auto"/>
          <w:lang w:eastAsia="zh-CN"/>
        </w:rPr>
        <w:t>七、</w:t>
      </w:r>
      <w:r>
        <w:rPr>
          <w:rFonts w:hint="eastAsia" w:ascii="Times New Roman" w:hAnsi="Times New Roman" w:eastAsia="宋体" w:cs="宋体"/>
          <w:color w:val="auto"/>
          <w:szCs w:val="21"/>
          <w:highlight w:val="none"/>
          <w:shd w:val="clear" w:color="auto" w:fill="auto"/>
        </w:rPr>
        <w:t>本合同作为工程施工合同的附件，与工程施工合同具有同等的法律效力，经合同双方签署立即生效。</w:t>
      </w:r>
    </w:p>
    <w:p w14:paraId="26174B02">
      <w:pPr>
        <w:keepNext w:val="0"/>
        <w:keepLines w:val="0"/>
        <w:pageBreakBefore w:val="0"/>
        <w:kinsoku/>
        <w:wordWrap/>
        <w:overflowPunct/>
        <w:topLinePunct w:val="0"/>
        <w:autoSpaceDE/>
        <w:autoSpaceDN/>
        <w:bidi w:val="0"/>
        <w:adjustRightInd w:val="0"/>
        <w:snapToGrid w:val="0"/>
        <w:spacing w:line="360" w:lineRule="auto"/>
        <w:ind w:firstLine="561" w:firstLineChars="0"/>
        <w:textAlignment w:val="auto"/>
        <w:rPr>
          <w:rFonts w:ascii="Times New Roman" w:hAnsi="Times New Roman" w:eastAsia="宋体" w:cs="宋体"/>
          <w:color w:val="auto"/>
          <w:szCs w:val="21"/>
          <w:highlight w:val="none"/>
          <w:shd w:val="clear" w:color="auto" w:fill="auto"/>
        </w:rPr>
      </w:pPr>
    </w:p>
    <w:p w14:paraId="3D3B0ADF">
      <w:pPr>
        <w:keepNext w:val="0"/>
        <w:keepLines w:val="0"/>
        <w:pageBreakBefore w:val="0"/>
        <w:widowControl/>
        <w:kinsoku/>
        <w:wordWrap/>
        <w:overflowPunct/>
        <w:topLinePunct w:val="0"/>
        <w:autoSpaceDE/>
        <w:autoSpaceDN/>
        <w:bidi w:val="0"/>
        <w:adjustRightInd w:val="0"/>
        <w:snapToGrid w:val="0"/>
        <w:spacing w:line="360" w:lineRule="auto"/>
        <w:ind w:firstLine="630" w:firstLineChars="300"/>
        <w:jc w:val="left"/>
        <w:textAlignment w:val="auto"/>
        <w:rPr>
          <w:rFonts w:hint="eastAsia" w:ascii="Times New Roman" w:hAnsi="Times New Roman" w:eastAsia="宋体" w:cs="宋体"/>
          <w:sz w:val="21"/>
          <w:szCs w:val="21"/>
          <w:highlight w:val="none"/>
        </w:rPr>
      </w:pPr>
      <w:r>
        <w:rPr>
          <w:rFonts w:hint="eastAsia" w:ascii="Times New Roman" w:hAnsi="Times New Roman" w:eastAsia="宋体" w:cs="宋体"/>
          <w:sz w:val="21"/>
          <w:szCs w:val="21"/>
          <w:highlight w:val="none"/>
          <w:lang w:eastAsia="zh-CN"/>
        </w:rPr>
        <w:t>甲方</w:t>
      </w:r>
      <w:r>
        <w:rPr>
          <w:rFonts w:hint="eastAsia" w:ascii="Times New Roman" w:hAnsi="Times New Roman" w:eastAsia="宋体" w:cs="宋体"/>
          <w:sz w:val="21"/>
          <w:szCs w:val="21"/>
          <w:highlight w:val="none"/>
        </w:rPr>
        <w:t xml:space="preserve">：（盖章）           </w:t>
      </w:r>
      <w:r>
        <w:rPr>
          <w:rFonts w:hint="eastAsia" w:ascii="Times New Roman" w:hAnsi="Times New Roman" w:eastAsia="宋体" w:cs="宋体"/>
          <w:sz w:val="21"/>
          <w:szCs w:val="21"/>
          <w:highlight w:val="none"/>
          <w:lang w:val="en-US" w:eastAsia="zh-CN"/>
        </w:rPr>
        <w:t xml:space="preserve">                   </w:t>
      </w:r>
      <w:r>
        <w:rPr>
          <w:rFonts w:hint="eastAsia" w:ascii="Times New Roman" w:hAnsi="Times New Roman" w:eastAsia="宋体" w:cs="宋体"/>
          <w:sz w:val="21"/>
          <w:szCs w:val="21"/>
          <w:highlight w:val="none"/>
          <w:lang w:eastAsia="zh-CN"/>
        </w:rPr>
        <w:t>乙方</w:t>
      </w:r>
      <w:r>
        <w:rPr>
          <w:rFonts w:hint="eastAsia" w:ascii="Times New Roman" w:hAnsi="Times New Roman" w:eastAsia="宋体" w:cs="宋体"/>
          <w:sz w:val="21"/>
          <w:szCs w:val="21"/>
          <w:highlight w:val="none"/>
        </w:rPr>
        <w:t>：（盖章）</w:t>
      </w:r>
    </w:p>
    <w:p w14:paraId="720800D3">
      <w:pPr>
        <w:keepNext w:val="0"/>
        <w:keepLines w:val="0"/>
        <w:pageBreakBefore w:val="0"/>
        <w:widowControl/>
        <w:kinsoku/>
        <w:wordWrap/>
        <w:overflowPunct/>
        <w:topLinePunct w:val="0"/>
        <w:autoSpaceDE/>
        <w:autoSpaceDN/>
        <w:bidi w:val="0"/>
        <w:adjustRightInd w:val="0"/>
        <w:snapToGrid w:val="0"/>
        <w:spacing w:line="360" w:lineRule="auto"/>
        <w:ind w:left="0" w:leftChars="0" w:firstLine="630" w:firstLineChars="300"/>
        <w:jc w:val="left"/>
        <w:textAlignment w:val="auto"/>
        <w:rPr>
          <w:rFonts w:hint="eastAsia" w:ascii="Times New Roman" w:hAnsi="Times New Roman" w:eastAsia="宋体" w:cs="宋体"/>
          <w:sz w:val="21"/>
          <w:szCs w:val="21"/>
          <w:highlight w:val="none"/>
        </w:rPr>
      </w:pPr>
    </w:p>
    <w:p w14:paraId="12C360A3">
      <w:pPr>
        <w:keepNext w:val="0"/>
        <w:keepLines w:val="0"/>
        <w:pageBreakBefore w:val="0"/>
        <w:widowControl/>
        <w:kinsoku/>
        <w:wordWrap/>
        <w:overflowPunct/>
        <w:topLinePunct w:val="0"/>
        <w:autoSpaceDE/>
        <w:autoSpaceDN/>
        <w:bidi w:val="0"/>
        <w:adjustRightInd w:val="0"/>
        <w:snapToGrid w:val="0"/>
        <w:spacing w:line="360" w:lineRule="auto"/>
        <w:ind w:left="0" w:leftChars="0" w:firstLine="630" w:firstLineChars="300"/>
        <w:jc w:val="left"/>
        <w:textAlignment w:val="auto"/>
        <w:rPr>
          <w:rFonts w:hint="eastAsia" w:ascii="Times New Roman" w:hAnsi="Times New Roman" w:eastAsia="宋体" w:cs="宋体"/>
          <w:sz w:val="21"/>
          <w:szCs w:val="21"/>
          <w:highlight w:val="none"/>
          <w:lang w:val="en-US" w:eastAsia="zh-CN"/>
        </w:rPr>
      </w:pPr>
      <w:r>
        <w:rPr>
          <w:rFonts w:hint="eastAsia" w:ascii="Times New Roman" w:hAnsi="Times New Roman" w:eastAsia="宋体" w:cs="宋体"/>
          <w:sz w:val="21"/>
          <w:szCs w:val="21"/>
          <w:highlight w:val="none"/>
        </w:rPr>
        <w:t>法定代表人或其委托代理人：</w:t>
      </w:r>
      <w:r>
        <w:rPr>
          <w:rFonts w:hint="eastAsia" w:ascii="Times New Roman" w:hAnsi="Times New Roman" w:eastAsia="宋体" w:cs="宋体"/>
          <w:sz w:val="21"/>
          <w:szCs w:val="21"/>
          <w:highlight w:val="none"/>
          <w:lang w:val="en-US" w:eastAsia="zh-CN"/>
        </w:rPr>
        <w:t xml:space="preserve">                  </w:t>
      </w:r>
      <w:r>
        <w:rPr>
          <w:rFonts w:hint="eastAsia" w:ascii="Times New Roman" w:hAnsi="Times New Roman" w:eastAsia="宋体" w:cs="宋体"/>
          <w:sz w:val="21"/>
          <w:szCs w:val="21"/>
          <w:highlight w:val="none"/>
        </w:rPr>
        <w:t>法定代表人或其委托代理人：</w:t>
      </w:r>
    </w:p>
    <w:p w14:paraId="37F3AF9B">
      <w:pPr>
        <w:keepNext w:val="0"/>
        <w:keepLines w:val="0"/>
        <w:pageBreakBefore w:val="0"/>
        <w:kinsoku/>
        <w:wordWrap/>
        <w:overflowPunct/>
        <w:topLinePunct w:val="0"/>
        <w:autoSpaceDE/>
        <w:autoSpaceDN/>
        <w:bidi w:val="0"/>
        <w:spacing w:line="360" w:lineRule="auto"/>
        <w:ind w:left="0" w:leftChars="0" w:firstLine="630" w:firstLineChars="300"/>
        <w:textAlignment w:val="auto"/>
        <w:rPr>
          <w:rFonts w:hint="eastAsia" w:ascii="Times New Roman" w:hAnsi="Times New Roman" w:eastAsia="宋体" w:cs="宋体"/>
          <w:color w:val="auto"/>
          <w:szCs w:val="21"/>
          <w:highlight w:val="none"/>
          <w:shd w:val="clear" w:color="auto" w:fill="auto"/>
        </w:rPr>
      </w:pPr>
      <w:r>
        <w:rPr>
          <w:rFonts w:hint="eastAsia" w:ascii="Times New Roman" w:hAnsi="Times New Roman" w:eastAsia="宋体" w:cs="宋体"/>
          <w:sz w:val="21"/>
          <w:szCs w:val="21"/>
          <w:highlight w:val="none"/>
          <w:lang w:eastAsia="zh-CN"/>
        </w:rPr>
        <w:t>（签字或盖章）</w:t>
      </w:r>
      <w:r>
        <w:rPr>
          <w:rFonts w:hint="eastAsia" w:ascii="Times New Roman" w:hAnsi="Times New Roman" w:eastAsia="宋体" w:cs="宋体"/>
          <w:sz w:val="21"/>
          <w:szCs w:val="21"/>
          <w:highlight w:val="none"/>
        </w:rPr>
        <w:t xml:space="preserve">     </w:t>
      </w:r>
      <w:r>
        <w:rPr>
          <w:rFonts w:hint="eastAsia" w:ascii="Times New Roman" w:hAnsi="Times New Roman" w:eastAsia="宋体" w:cs="宋体"/>
          <w:sz w:val="21"/>
          <w:szCs w:val="21"/>
          <w:highlight w:val="none"/>
          <w:lang w:val="en-US" w:eastAsia="zh-CN"/>
        </w:rPr>
        <w:t xml:space="preserve">                         </w:t>
      </w:r>
      <w:r>
        <w:rPr>
          <w:rFonts w:hint="eastAsia" w:ascii="Times New Roman" w:hAnsi="Times New Roman" w:eastAsia="宋体" w:cs="宋体"/>
          <w:sz w:val="21"/>
          <w:szCs w:val="21"/>
          <w:highlight w:val="none"/>
          <w:lang w:eastAsia="zh-CN"/>
        </w:rPr>
        <w:t>（签字或盖章）</w:t>
      </w:r>
    </w:p>
    <w:p w14:paraId="58CB226B">
      <w:pPr>
        <w:keepNext w:val="0"/>
        <w:keepLines w:val="0"/>
        <w:pageBreakBefore w:val="0"/>
        <w:kinsoku/>
        <w:wordWrap/>
        <w:overflowPunct/>
        <w:topLinePunct w:val="0"/>
        <w:autoSpaceDE/>
        <w:autoSpaceDN/>
        <w:bidi w:val="0"/>
        <w:spacing w:line="360" w:lineRule="auto"/>
        <w:ind w:firstLine="0" w:firstLineChars="0"/>
        <w:textAlignment w:val="auto"/>
        <w:rPr>
          <w:rFonts w:hint="eastAsia" w:ascii="Times New Roman" w:hAnsi="Times New Roman" w:eastAsia="宋体" w:cs="宋体"/>
          <w:color w:val="auto"/>
          <w:szCs w:val="21"/>
          <w:highlight w:val="none"/>
          <w:shd w:val="clear" w:color="auto" w:fill="auto"/>
        </w:rPr>
      </w:pPr>
      <w:r>
        <w:rPr>
          <w:rFonts w:hint="eastAsia" w:ascii="Times New Roman" w:hAnsi="Times New Roman" w:eastAsia="宋体" w:cs="宋体"/>
          <w:color w:val="auto"/>
          <w:szCs w:val="21"/>
          <w:highlight w:val="none"/>
          <w:shd w:val="clear" w:color="auto" w:fill="auto"/>
        </w:rPr>
        <w:br w:type="page"/>
      </w:r>
    </w:p>
    <w:p w14:paraId="380774C7">
      <w:pPr>
        <w:keepNext w:val="0"/>
        <w:keepLines w:val="0"/>
        <w:pageBreakBefore w:val="0"/>
        <w:widowControl w:val="0"/>
        <w:kinsoku/>
        <w:wordWrap/>
        <w:overflowPunct/>
        <w:topLinePunct w:val="0"/>
        <w:autoSpaceDE/>
        <w:autoSpaceDN/>
        <w:bidi w:val="0"/>
        <w:adjustRightInd w:val="0"/>
        <w:snapToGrid w:val="0"/>
        <w:spacing w:line="400" w:lineRule="exact"/>
        <w:ind w:left="0" w:leftChars="0" w:firstLine="0" w:firstLineChars="0"/>
        <w:textAlignment w:val="auto"/>
        <w:rPr>
          <w:rFonts w:hint="eastAsia" w:ascii="Times New Roman" w:hAnsi="Times New Roman" w:eastAsia="宋体" w:cs="宋体"/>
          <w:b/>
          <w:color w:val="auto"/>
          <w:szCs w:val="21"/>
          <w:highlight w:val="none"/>
          <w:shd w:val="clear" w:color="auto" w:fill="auto"/>
        </w:rPr>
      </w:pPr>
      <w:r>
        <w:rPr>
          <w:rFonts w:hint="eastAsia" w:ascii="Times New Roman" w:hAnsi="Times New Roman" w:eastAsia="宋体" w:cs="宋体"/>
          <w:b/>
          <w:color w:val="auto"/>
          <w:szCs w:val="21"/>
          <w:highlight w:val="none"/>
          <w:shd w:val="clear" w:color="auto" w:fill="auto"/>
        </w:rPr>
        <w:t>附件</w:t>
      </w:r>
      <w:r>
        <w:rPr>
          <w:rFonts w:hint="eastAsia" w:ascii="Times New Roman" w:hAnsi="Times New Roman" w:eastAsia="宋体" w:cs="宋体"/>
          <w:b/>
          <w:color w:val="auto"/>
          <w:szCs w:val="21"/>
          <w:highlight w:val="none"/>
          <w:shd w:val="clear" w:color="auto" w:fill="auto"/>
          <w:lang w:val="en-US" w:eastAsia="zh-CN"/>
        </w:rPr>
        <w:t>3</w:t>
      </w:r>
      <w:r>
        <w:rPr>
          <w:rFonts w:hint="eastAsia" w:ascii="Times New Roman" w:hAnsi="Times New Roman" w:eastAsia="宋体" w:cs="宋体"/>
          <w:b/>
          <w:color w:val="auto"/>
          <w:szCs w:val="21"/>
          <w:highlight w:val="none"/>
          <w:shd w:val="clear" w:color="auto" w:fill="auto"/>
        </w:rPr>
        <w:t>：</w:t>
      </w:r>
    </w:p>
    <w:p w14:paraId="4222DE85">
      <w:pPr>
        <w:spacing w:line="240" w:lineRule="auto"/>
        <w:ind w:left="0" w:leftChars="0" w:firstLine="0" w:firstLineChars="0"/>
        <w:jc w:val="center"/>
        <w:rPr>
          <w:rFonts w:hint="eastAsia" w:ascii="Times New Roman" w:hAnsi="Times New Roman" w:eastAsia="宋体" w:cs="宋体"/>
          <w:b/>
          <w:bCs/>
          <w:color w:val="auto"/>
          <w:sz w:val="28"/>
          <w:szCs w:val="28"/>
          <w:highlight w:val="none"/>
          <w:shd w:val="clear" w:color="auto" w:fill="auto"/>
        </w:rPr>
      </w:pPr>
      <w:r>
        <w:rPr>
          <w:rFonts w:hint="eastAsia" w:ascii="Times New Roman" w:hAnsi="Times New Roman" w:eastAsia="宋体" w:cs="宋体"/>
          <w:b/>
          <w:bCs/>
          <w:color w:val="auto"/>
          <w:sz w:val="28"/>
          <w:szCs w:val="28"/>
          <w:highlight w:val="none"/>
          <w:shd w:val="clear" w:color="auto" w:fill="auto"/>
        </w:rPr>
        <w:t>农民工工资支付承诺书</w:t>
      </w:r>
    </w:p>
    <w:p w14:paraId="085EE505">
      <w:pPr>
        <w:spacing w:line="380" w:lineRule="exact"/>
        <w:ind w:firstLine="0" w:firstLineChars="0"/>
        <w:rPr>
          <w:rFonts w:ascii="Times New Roman" w:hAnsi="Times New Roman" w:eastAsia="宋体" w:cs="Times New Roman"/>
          <w:color w:val="auto"/>
          <w:sz w:val="24"/>
          <w:szCs w:val="24"/>
          <w:highlight w:val="none"/>
          <w:shd w:val="clear" w:color="auto" w:fill="auto"/>
        </w:rPr>
      </w:pPr>
    </w:p>
    <w:p w14:paraId="2D9B90E4">
      <w:pPr>
        <w:spacing w:line="400" w:lineRule="exact"/>
        <w:ind w:firstLine="0" w:firstLineChars="0"/>
        <w:rPr>
          <w:rFonts w:ascii="Times New Roman" w:hAnsi="Times New Roman" w:eastAsia="宋体" w:cs="Times New Roman"/>
          <w:color w:val="auto"/>
          <w:sz w:val="21"/>
          <w:szCs w:val="21"/>
          <w:highlight w:val="none"/>
          <w:shd w:val="clear" w:color="auto" w:fill="auto"/>
        </w:rPr>
      </w:pPr>
      <w:r>
        <w:rPr>
          <w:rFonts w:hint="eastAsia" w:ascii="Times New Roman" w:hAnsi="Times New Roman" w:eastAsia="宋体" w:cs="Times New Roman"/>
          <w:color w:val="auto"/>
          <w:sz w:val="21"/>
          <w:szCs w:val="21"/>
          <w:highlight w:val="none"/>
          <w:shd w:val="clear" w:color="auto" w:fill="auto"/>
          <w:lang w:eastAsia="zh-CN"/>
        </w:rPr>
        <w:t>连云港徐圩城建工程有限</w:t>
      </w:r>
      <w:r>
        <w:rPr>
          <w:rFonts w:ascii="Times New Roman" w:hAnsi="Times New Roman" w:eastAsia="宋体" w:cs="Times New Roman"/>
          <w:color w:val="auto"/>
          <w:sz w:val="21"/>
          <w:szCs w:val="21"/>
          <w:highlight w:val="none"/>
          <w:shd w:val="clear" w:color="auto" w:fill="auto"/>
        </w:rPr>
        <w:t>公司（总包）：</w:t>
      </w:r>
    </w:p>
    <w:p w14:paraId="73B61867">
      <w:pPr>
        <w:spacing w:line="400" w:lineRule="exact"/>
        <w:ind w:firstLine="411" w:firstLineChars="196"/>
        <w:rPr>
          <w:rFonts w:ascii="Times New Roman" w:hAnsi="Times New Roman" w:eastAsia="宋体" w:cs="Times New Roman"/>
          <w:color w:val="auto"/>
          <w:sz w:val="21"/>
          <w:szCs w:val="21"/>
          <w:highlight w:val="none"/>
          <w:shd w:val="clear" w:color="auto" w:fill="auto"/>
        </w:rPr>
      </w:pPr>
      <w:r>
        <w:rPr>
          <w:rFonts w:ascii="Times New Roman" w:hAnsi="Times New Roman" w:eastAsia="宋体" w:cs="Times New Roman"/>
          <w:color w:val="auto"/>
          <w:sz w:val="21"/>
          <w:szCs w:val="21"/>
          <w:highlight w:val="none"/>
          <w:shd w:val="clear" w:color="auto" w:fill="auto"/>
        </w:rPr>
        <w:t>我司作为</w:t>
      </w:r>
      <w:r>
        <w:rPr>
          <w:rFonts w:hint="eastAsia" w:cs="Times New Roman"/>
          <w:color w:val="auto"/>
          <w:sz w:val="21"/>
          <w:szCs w:val="21"/>
          <w:highlight w:val="none"/>
          <w:u w:val="single"/>
          <w:shd w:val="clear" w:color="auto" w:fill="auto"/>
          <w:lang w:eastAsia="zh-CN"/>
        </w:rPr>
        <w:t>物流集散道路工程EPC项目-道路工程劳务</w:t>
      </w:r>
      <w:r>
        <w:rPr>
          <w:rFonts w:ascii="Times New Roman" w:hAnsi="Times New Roman" w:eastAsia="宋体" w:cs="Times New Roman"/>
          <w:color w:val="auto"/>
          <w:sz w:val="21"/>
          <w:szCs w:val="21"/>
          <w:highlight w:val="none"/>
          <w:shd w:val="clear" w:color="auto" w:fill="auto"/>
        </w:rPr>
        <w:t>分包单位</w:t>
      </w:r>
      <w:r>
        <w:rPr>
          <w:rFonts w:hint="eastAsia" w:ascii="Times New Roman" w:hAnsi="Times New Roman" w:eastAsia="宋体" w:cs="Times New Roman"/>
          <w:color w:val="auto"/>
          <w:sz w:val="21"/>
          <w:szCs w:val="21"/>
          <w:highlight w:val="none"/>
          <w:shd w:val="clear" w:color="auto" w:fill="auto"/>
        </w:rPr>
        <w:t>，承诺每次申请支付的本工程农民工工资是全面且真实的，我司承诺按以下条款向施工总包单位承担违约金。</w:t>
      </w:r>
    </w:p>
    <w:p w14:paraId="1941A4C4">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hint="eastAsia" w:ascii="Times New Roman" w:hAnsi="Times New Roman" w:eastAsia="宋体" w:cs="Times New Roman"/>
          <w:bCs/>
          <w:color w:val="auto"/>
          <w:highlight w:val="none"/>
          <w:lang w:eastAsia="zh-CN"/>
        </w:rPr>
      </w:pPr>
      <w:r>
        <w:rPr>
          <w:rFonts w:hint="eastAsia" w:ascii="Times New Roman" w:hAnsi="Times New Roman" w:eastAsia="宋体" w:cs="Times New Roman"/>
          <w:bCs/>
          <w:color w:val="auto"/>
          <w:highlight w:val="none"/>
          <w:lang w:eastAsia="zh-CN"/>
        </w:rPr>
        <w:t>一、有工人（含各级分包单位）未签订用工合同、签订阴阳合同（合同约定工资与实际不一致）或未进行考勤的，按人民币10000元/次向甲方承担违约金。</w:t>
      </w:r>
    </w:p>
    <w:p w14:paraId="4857C237">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hint="eastAsia" w:ascii="Times New Roman" w:hAnsi="Times New Roman" w:eastAsia="宋体" w:cs="Times New Roman"/>
          <w:bCs/>
          <w:color w:val="auto"/>
          <w:highlight w:val="none"/>
          <w:lang w:eastAsia="zh-CN"/>
        </w:rPr>
      </w:pPr>
      <w:r>
        <w:rPr>
          <w:rFonts w:hint="eastAsia" w:ascii="Times New Roman" w:hAnsi="Times New Roman" w:eastAsia="宋体" w:cs="Times New Roman"/>
          <w:bCs/>
          <w:color w:val="auto"/>
          <w:highlight w:val="none"/>
          <w:lang w:eastAsia="zh-CN"/>
        </w:rPr>
        <w:t>二、未在分包合同或分包单位承诺书中约定分包单位人员发生上访、投诉（含不合理或恶意上访、投诉）具体违约金额，按人民币10000元/次向甲方承担违约金。</w:t>
      </w:r>
    </w:p>
    <w:p w14:paraId="3BF96510">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hint="eastAsia" w:ascii="Times New Roman" w:hAnsi="Times New Roman" w:eastAsia="宋体" w:cs="Times New Roman"/>
          <w:bCs/>
          <w:color w:val="auto"/>
          <w:highlight w:val="none"/>
          <w:lang w:eastAsia="zh-CN"/>
        </w:rPr>
      </w:pPr>
      <w:r>
        <w:rPr>
          <w:rFonts w:hint="eastAsia" w:ascii="Times New Roman" w:hAnsi="Times New Roman" w:eastAsia="宋体" w:cs="Times New Roman"/>
          <w:bCs/>
          <w:color w:val="auto"/>
          <w:highlight w:val="none"/>
          <w:lang w:eastAsia="zh-CN"/>
        </w:rPr>
        <w:t>三、农民工实名制管理及工人工资支付不到位，或信访、投诉处理不及时不到位，被甲方通报或下发整改通知的，乙方按人民币3000元/次向甲方承担违约金，被各级（含新区）主管部门通报或下发整改通知的，按人民币10000~30000元/次向甲方承担违约金（合同额1000万元以下10000元，1000万元（含）以上5000万元以下20000元，5000万元（含）以上30000元）。</w:t>
      </w:r>
    </w:p>
    <w:p w14:paraId="7CD93A9B">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hint="eastAsia" w:ascii="Times New Roman" w:hAnsi="Times New Roman" w:eastAsia="宋体" w:cs="Times New Roman"/>
          <w:bCs/>
          <w:color w:val="auto"/>
          <w:highlight w:val="none"/>
          <w:lang w:eastAsia="zh-CN"/>
        </w:rPr>
      </w:pPr>
      <w:r>
        <w:rPr>
          <w:rFonts w:hint="eastAsia" w:ascii="Times New Roman" w:hAnsi="Times New Roman" w:eastAsia="宋体" w:cs="Times New Roman"/>
          <w:bCs/>
          <w:color w:val="auto"/>
          <w:highlight w:val="none"/>
          <w:lang w:eastAsia="zh-CN"/>
        </w:rPr>
        <w:t>四、有人员（含各级分包单位）到各级政府、信访部门、劳动监察部门等部门上访，以及到全国根治欠薪线索反映平台或拨打12345等反映欠薪的行为（含不合理或恶意上访、投诉），第1次按人民币5000元承担违约金，第2次及以上，按人民币20000~50000元/次承担违约金（合同额1000万元以下20000元，1000万元（含）以上5000万元以下30000元，5000万元（含）以上50000元）。</w:t>
      </w:r>
    </w:p>
    <w:p w14:paraId="21540E7F">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hint="eastAsia" w:ascii="Times New Roman" w:hAnsi="Times New Roman" w:eastAsia="宋体" w:cs="Times New Roman"/>
          <w:bCs/>
          <w:color w:val="auto"/>
          <w:highlight w:val="none"/>
          <w:lang w:eastAsia="zh-CN"/>
        </w:rPr>
      </w:pPr>
      <w:r>
        <w:rPr>
          <w:rFonts w:hint="eastAsia" w:ascii="Times New Roman" w:hAnsi="Times New Roman" w:eastAsia="宋体" w:cs="Times New Roman"/>
          <w:bCs/>
          <w:color w:val="auto"/>
          <w:highlight w:val="none"/>
          <w:lang w:eastAsia="zh-CN"/>
        </w:rPr>
        <w:t>五、有工人（含各级分包单位）群体性围堵管委会门口讨薪或其他严重行为的，每发生一次，合同额1000万元以下的，乙方按人民币100000元/次承担违约金，合同额1000万元（含）以上的，乙方按施工合同额的1%向甲方承担违约金。</w:t>
      </w:r>
    </w:p>
    <w:p w14:paraId="2A46CCB7">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hint="eastAsia" w:ascii="Times New Roman" w:hAnsi="Times New Roman" w:eastAsia="宋体" w:cs="Times New Roman"/>
          <w:bCs/>
          <w:color w:val="auto"/>
          <w:highlight w:val="none"/>
          <w:lang w:eastAsia="zh-CN"/>
        </w:rPr>
      </w:pPr>
      <w:r>
        <w:rPr>
          <w:rFonts w:hint="eastAsia" w:ascii="Times New Roman" w:hAnsi="Times New Roman" w:eastAsia="宋体" w:cs="Times New Roman"/>
          <w:bCs/>
          <w:color w:val="auto"/>
          <w:highlight w:val="none"/>
          <w:lang w:eastAsia="zh-CN"/>
        </w:rPr>
        <w:t>六、被发现虚报套取农民工工资行为的，每发现一次，乙方按施工合同额的1%向甲方承担违约金。</w:t>
      </w:r>
    </w:p>
    <w:p w14:paraId="46822C55">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hint="eastAsia" w:ascii="Times New Roman" w:hAnsi="Times New Roman" w:eastAsia="宋体" w:cs="Times New Roman"/>
          <w:bCs/>
          <w:color w:val="auto"/>
          <w:highlight w:val="none"/>
          <w:lang w:eastAsia="zh-CN"/>
        </w:rPr>
      </w:pPr>
      <w:r>
        <w:rPr>
          <w:rFonts w:hint="eastAsia" w:ascii="Times New Roman" w:hAnsi="Times New Roman" w:eastAsia="宋体" w:cs="Times New Roman"/>
          <w:bCs/>
          <w:color w:val="auto"/>
          <w:highlight w:val="none"/>
          <w:lang w:eastAsia="zh-CN"/>
        </w:rPr>
        <w:t>七、对于乙方以上行为，甲方有权在徐圩新区和方洋集团官网上进行公告，情节严重或者造成严重不良社会影响的，甲方有权提请有关部门将该用人单位及其法定代表人或者主要负责人、直接负责的主管人员和其他直接责任人员列入拖欠农民工工资失信联合惩戒对象名单。</w:t>
      </w:r>
    </w:p>
    <w:p w14:paraId="4181F011">
      <w:pPr>
        <w:spacing w:line="400" w:lineRule="exact"/>
        <w:ind w:firstLine="411" w:firstLineChars="196"/>
        <w:rPr>
          <w:rFonts w:ascii="Times New Roman" w:hAnsi="Times New Roman" w:eastAsia="宋体" w:cs="Times New Roman"/>
          <w:color w:val="auto"/>
          <w:sz w:val="21"/>
          <w:szCs w:val="21"/>
          <w:highlight w:val="none"/>
          <w:shd w:val="clear" w:color="auto" w:fill="auto"/>
        </w:rPr>
      </w:pPr>
      <w:r>
        <w:rPr>
          <w:rFonts w:hint="eastAsia" w:ascii="Times New Roman" w:hAnsi="Times New Roman" w:eastAsia="宋体" w:cs="Times New Roman"/>
          <w:color w:val="auto"/>
          <w:sz w:val="21"/>
          <w:szCs w:val="21"/>
          <w:highlight w:val="none"/>
          <w:shd w:val="clear" w:color="auto" w:fill="auto"/>
        </w:rPr>
        <w:t>上述违约金施工总包单位均有权直接从后续应付工程款中扣除。</w:t>
      </w:r>
    </w:p>
    <w:p w14:paraId="23DA0F07">
      <w:pPr>
        <w:spacing w:line="400" w:lineRule="exact"/>
        <w:ind w:firstLine="411" w:firstLineChars="196"/>
        <w:rPr>
          <w:rFonts w:ascii="Times New Roman" w:hAnsi="Times New Roman" w:eastAsia="宋体" w:cs="Times New Roman"/>
          <w:color w:val="auto"/>
          <w:sz w:val="21"/>
          <w:szCs w:val="21"/>
          <w:highlight w:val="none"/>
          <w:shd w:val="clear" w:color="auto" w:fill="auto"/>
        </w:rPr>
      </w:pPr>
    </w:p>
    <w:p w14:paraId="4D9A8FB0">
      <w:pPr>
        <w:spacing w:line="400" w:lineRule="exact"/>
        <w:ind w:right="1560" w:firstLine="411" w:firstLineChars="196"/>
        <w:jc w:val="center"/>
        <w:rPr>
          <w:rFonts w:hint="eastAsia" w:ascii="Times New Roman" w:hAnsi="Times New Roman" w:eastAsia="宋体" w:cs="Times New Roman"/>
          <w:color w:val="auto"/>
          <w:sz w:val="21"/>
          <w:szCs w:val="21"/>
          <w:highlight w:val="none"/>
          <w:shd w:val="clear" w:color="auto" w:fill="auto"/>
          <w:lang w:eastAsia="zh-CN"/>
        </w:rPr>
      </w:pPr>
      <w:r>
        <w:rPr>
          <w:rFonts w:hint="eastAsia" w:ascii="Times New Roman" w:hAnsi="Times New Roman" w:eastAsia="宋体" w:cs="Times New Roman"/>
          <w:color w:val="auto"/>
          <w:sz w:val="21"/>
          <w:szCs w:val="21"/>
          <w:highlight w:val="none"/>
          <w:shd w:val="clear" w:color="auto" w:fill="auto"/>
          <w:lang w:val="en-US" w:eastAsia="zh-CN"/>
        </w:rPr>
        <w:t xml:space="preserve">                                              </w:t>
      </w:r>
      <w:r>
        <w:rPr>
          <w:rFonts w:hint="eastAsia" w:ascii="Times New Roman" w:hAnsi="Times New Roman" w:eastAsia="宋体" w:cs="Times New Roman"/>
          <w:color w:val="auto"/>
          <w:sz w:val="21"/>
          <w:szCs w:val="21"/>
          <w:highlight w:val="none"/>
          <w:shd w:val="clear" w:color="auto" w:fill="auto"/>
          <w:lang w:eastAsia="zh-CN"/>
        </w:rPr>
        <w:t>乙方</w:t>
      </w:r>
      <w:r>
        <w:rPr>
          <w:rFonts w:hint="eastAsia" w:ascii="Times New Roman" w:hAnsi="Times New Roman" w:eastAsia="宋体" w:cs="Times New Roman"/>
          <w:color w:val="auto"/>
          <w:sz w:val="21"/>
          <w:szCs w:val="21"/>
          <w:highlight w:val="none"/>
          <w:shd w:val="clear" w:color="auto" w:fill="auto"/>
        </w:rPr>
        <w:t>（公章）</w:t>
      </w:r>
      <w:r>
        <w:rPr>
          <w:rFonts w:hint="eastAsia" w:ascii="Times New Roman" w:hAnsi="Times New Roman" w:eastAsia="宋体" w:cs="Times New Roman"/>
          <w:color w:val="auto"/>
          <w:sz w:val="21"/>
          <w:szCs w:val="21"/>
          <w:highlight w:val="none"/>
          <w:shd w:val="clear" w:color="auto" w:fill="auto"/>
          <w:lang w:eastAsia="zh-CN"/>
        </w:rPr>
        <w:t>：</w:t>
      </w:r>
    </w:p>
    <w:p w14:paraId="2F4FAC2E">
      <w:pPr>
        <w:spacing w:line="480" w:lineRule="exact"/>
        <w:rPr>
          <w:rFonts w:hint="eastAsia" w:ascii="Times New Roman" w:hAnsi="Times New Roman" w:eastAsia="宋体" w:cs="Times New Roman"/>
          <w:color w:val="auto"/>
          <w:sz w:val="21"/>
          <w:szCs w:val="21"/>
          <w:highlight w:val="none"/>
          <w:shd w:val="clear" w:color="auto" w:fill="auto"/>
        </w:rPr>
        <w:sectPr>
          <w:footerReference r:id="rId10" w:type="default"/>
          <w:pgSz w:w="11905" w:h="16838"/>
          <w:pgMar w:top="1247" w:right="1247" w:bottom="1247" w:left="1247" w:header="828" w:footer="981" w:gutter="0"/>
          <w:pgBorders>
            <w:top w:val="none" w:sz="0" w:space="0"/>
            <w:left w:val="none" w:sz="0" w:space="0"/>
            <w:bottom w:val="none" w:sz="0" w:space="0"/>
            <w:right w:val="none" w:sz="0" w:space="0"/>
          </w:pgBorders>
          <w:pgNumType w:fmt="decimal"/>
          <w:cols w:space="0" w:num="1"/>
          <w:rtlGutter w:val="0"/>
          <w:docGrid w:linePitch="326" w:charSpace="0"/>
        </w:sectPr>
      </w:pPr>
      <w:r>
        <w:rPr>
          <w:rFonts w:hint="eastAsia" w:ascii="Times New Roman" w:hAnsi="Times New Roman" w:eastAsia="宋体" w:cs="Times New Roman"/>
          <w:color w:val="auto"/>
          <w:sz w:val="21"/>
          <w:szCs w:val="21"/>
          <w:highlight w:val="none"/>
          <w:shd w:val="clear" w:color="auto" w:fill="auto"/>
        </w:rPr>
        <w:t xml:space="preserve">                                </w:t>
      </w:r>
    </w:p>
    <w:p w14:paraId="09D93E5F">
      <w:pPr>
        <w:spacing w:line="480" w:lineRule="exact"/>
        <w:ind w:firstLine="0" w:firstLineChars="0"/>
        <w:rPr>
          <w:rFonts w:hint="default" w:ascii="Times New Roman" w:hAnsi="Times New Roman" w:eastAsia="宋体" w:cs="宋体"/>
          <w:b/>
          <w:color w:val="auto"/>
          <w:szCs w:val="21"/>
          <w:highlight w:val="none"/>
          <w:shd w:val="clear" w:color="auto" w:fill="auto"/>
          <w:lang w:val="en-US" w:eastAsia="zh-CN"/>
        </w:rPr>
      </w:pPr>
      <w:r>
        <w:rPr>
          <w:rFonts w:hint="eastAsia" w:ascii="Times New Roman" w:hAnsi="Times New Roman" w:eastAsia="宋体" w:cs="宋体"/>
          <w:b/>
          <w:color w:val="auto"/>
          <w:szCs w:val="21"/>
          <w:highlight w:val="none"/>
          <w:shd w:val="clear" w:color="auto" w:fill="auto"/>
          <w:lang w:val="en-US" w:eastAsia="zh-CN"/>
        </w:rPr>
        <w:t>附件4：</w:t>
      </w:r>
    </w:p>
    <w:p w14:paraId="778D3A3D">
      <w:pPr>
        <w:spacing w:line="480" w:lineRule="exact"/>
        <w:ind w:left="1" w:firstLine="0" w:firstLineChars="0"/>
        <w:jc w:val="center"/>
        <w:rPr>
          <w:rFonts w:ascii="Times New Roman" w:hAnsi="Times New Roman" w:eastAsia="宋体" w:cs="宋体"/>
          <w:b/>
          <w:color w:val="auto"/>
          <w:sz w:val="28"/>
          <w:szCs w:val="28"/>
          <w:highlight w:val="none"/>
          <w:shd w:val="clear" w:color="auto" w:fill="auto"/>
        </w:rPr>
      </w:pPr>
      <w:r>
        <w:rPr>
          <w:rFonts w:hint="eastAsia" w:ascii="Times New Roman" w:hAnsi="Times New Roman" w:eastAsia="宋体" w:cs="宋体"/>
          <w:b/>
          <w:color w:val="auto"/>
          <w:sz w:val="28"/>
          <w:szCs w:val="28"/>
          <w:highlight w:val="none"/>
          <w:shd w:val="clear" w:color="auto" w:fill="auto"/>
        </w:rPr>
        <w:t>不拖欠农民工工资承诺书</w:t>
      </w:r>
    </w:p>
    <w:p w14:paraId="455D55EC">
      <w:pPr>
        <w:spacing w:line="480" w:lineRule="exact"/>
        <w:ind w:left="1334" w:hanging="1334" w:hangingChars="633"/>
        <w:rPr>
          <w:rFonts w:ascii="Times New Roman" w:hAnsi="Times New Roman" w:eastAsia="宋体" w:cs="宋体"/>
          <w:b/>
          <w:color w:val="auto"/>
          <w:szCs w:val="21"/>
          <w:highlight w:val="none"/>
          <w:shd w:val="clear" w:color="auto" w:fill="auto"/>
        </w:rPr>
      </w:pPr>
    </w:p>
    <w:p w14:paraId="7986296D">
      <w:pPr>
        <w:widowControl w:val="0"/>
        <w:autoSpaceDE w:val="0"/>
        <w:autoSpaceDN w:val="0"/>
        <w:adjustRightInd w:val="0"/>
        <w:snapToGrid w:val="0"/>
        <w:spacing w:before="0" w:after="0" w:line="400" w:lineRule="exact"/>
        <w:ind w:left="249" w:right="23" w:firstLine="149" w:firstLineChars="71"/>
        <w:jc w:val="left"/>
        <w:rPr>
          <w:rFonts w:hint="eastAsia" w:ascii="Times New Roman" w:hAnsi="Times New Roman" w:eastAsia="宋体" w:cs="宋体"/>
          <w:color w:val="auto"/>
          <w:kern w:val="0"/>
          <w:sz w:val="21"/>
          <w:szCs w:val="21"/>
          <w:highlight w:val="none"/>
          <w:shd w:val="clear" w:color="auto" w:fill="auto"/>
          <w:lang w:val="en-US" w:eastAsia="zh-CN" w:bidi="ar-SA"/>
        </w:rPr>
      </w:pPr>
      <w:r>
        <w:rPr>
          <w:rFonts w:hint="eastAsia" w:ascii="Times New Roman" w:hAnsi="Times New Roman" w:eastAsia="宋体" w:cs="宋体"/>
          <w:color w:val="auto"/>
          <w:kern w:val="0"/>
          <w:sz w:val="21"/>
          <w:szCs w:val="21"/>
          <w:highlight w:val="none"/>
          <w:shd w:val="clear" w:color="auto" w:fill="auto"/>
          <w:lang w:val="en-US" w:eastAsia="zh-CN" w:bidi="ar-SA"/>
        </w:rPr>
        <w:t>致：</w:t>
      </w:r>
      <w:r>
        <w:rPr>
          <w:rFonts w:hint="eastAsia" w:ascii="Times New Roman" w:hAnsi="Times New Roman" w:eastAsia="宋体" w:cs="宋体"/>
          <w:color w:val="auto"/>
          <w:kern w:val="0"/>
          <w:sz w:val="21"/>
          <w:szCs w:val="21"/>
          <w:highlight w:val="none"/>
          <w:u w:val="single"/>
          <w:shd w:val="clear" w:color="auto" w:fill="auto"/>
          <w:lang w:val="en-US" w:eastAsia="zh-CN" w:bidi="ar-SA"/>
        </w:rPr>
        <w:t>连云港徐圩城建工程有限公司</w:t>
      </w:r>
    </w:p>
    <w:p w14:paraId="6A6F7CBF">
      <w:pPr>
        <w:widowControl w:val="0"/>
        <w:autoSpaceDE w:val="0"/>
        <w:autoSpaceDN w:val="0"/>
        <w:adjustRightInd w:val="0"/>
        <w:snapToGrid w:val="0"/>
        <w:spacing w:before="0" w:after="0" w:line="400" w:lineRule="exact"/>
        <w:ind w:left="250" w:leftChars="119" w:right="23" w:firstLine="420" w:firstLineChars="200"/>
        <w:jc w:val="left"/>
        <w:rPr>
          <w:rFonts w:ascii="Times New Roman" w:hAnsi="Times New Roman" w:eastAsia="宋体" w:cs="宋体"/>
          <w:color w:val="auto"/>
          <w:kern w:val="0"/>
          <w:sz w:val="21"/>
          <w:szCs w:val="21"/>
          <w:highlight w:val="none"/>
          <w:shd w:val="clear" w:color="auto" w:fill="auto"/>
          <w:lang w:val="en-US" w:eastAsia="zh-CN" w:bidi="ar-SA"/>
        </w:rPr>
      </w:pPr>
      <w:r>
        <w:rPr>
          <w:rFonts w:hint="eastAsia" w:ascii="Times New Roman" w:hAnsi="Times New Roman" w:eastAsia="宋体" w:cs="宋体"/>
          <w:color w:val="auto"/>
          <w:kern w:val="0"/>
          <w:sz w:val="21"/>
          <w:szCs w:val="21"/>
          <w:highlight w:val="none"/>
          <w:shd w:val="clear" w:color="auto" w:fill="auto"/>
          <w:lang w:val="en-US" w:eastAsia="zh-CN" w:bidi="ar-SA"/>
        </w:rPr>
        <w:t>为保护农民工的合法权益，不拖欠农民工工资，本人</w:t>
      </w:r>
      <w:r>
        <w:rPr>
          <w:rFonts w:hint="eastAsia" w:ascii="Times New Roman" w:hAnsi="Times New Roman" w:eastAsia="宋体" w:cs="宋体"/>
          <w:color w:val="auto"/>
          <w:kern w:val="0"/>
          <w:sz w:val="21"/>
          <w:szCs w:val="21"/>
          <w:highlight w:val="none"/>
          <w:u w:val="single"/>
          <w:shd w:val="clear" w:color="auto" w:fill="auto"/>
          <w:lang w:val="en-US" w:eastAsia="zh-CN" w:bidi="ar-SA"/>
        </w:rPr>
        <w:t xml:space="preserve">    </w:t>
      </w:r>
      <w:r>
        <w:rPr>
          <w:rFonts w:hint="eastAsia" w:ascii="Times New Roman" w:hAnsi="Times New Roman" w:eastAsia="宋体" w:cs="宋体"/>
          <w:color w:val="auto"/>
          <w:kern w:val="0"/>
          <w:sz w:val="21"/>
          <w:szCs w:val="21"/>
          <w:highlight w:val="none"/>
          <w:shd w:val="clear" w:color="auto" w:fill="auto"/>
          <w:lang w:val="en-US" w:eastAsia="zh-CN" w:bidi="ar-SA"/>
        </w:rPr>
        <w:t>（法定代表人姓名）以</w:t>
      </w:r>
      <w:r>
        <w:rPr>
          <w:rFonts w:hint="eastAsia" w:cs="宋体"/>
          <w:color w:val="auto"/>
          <w:kern w:val="0"/>
          <w:sz w:val="21"/>
          <w:szCs w:val="21"/>
          <w:highlight w:val="none"/>
          <w:u w:val="single"/>
          <w:shd w:val="clear" w:color="auto" w:fill="auto"/>
          <w:lang w:val="en-US" w:eastAsia="zh-CN" w:bidi="ar-SA"/>
        </w:rPr>
        <w:t xml:space="preserve">        </w:t>
      </w:r>
      <w:r>
        <w:rPr>
          <w:rFonts w:hint="eastAsia" w:ascii="Times New Roman" w:hAnsi="Times New Roman" w:eastAsia="宋体" w:cs="宋体"/>
          <w:color w:val="auto"/>
          <w:kern w:val="0"/>
          <w:sz w:val="21"/>
          <w:szCs w:val="21"/>
          <w:highlight w:val="none"/>
          <w:shd w:val="clear" w:color="auto" w:fill="auto"/>
          <w:lang w:val="en-US" w:eastAsia="zh-CN" w:bidi="ar-SA"/>
        </w:rPr>
        <w:t>（乙方全称）法定代表人的资格，郑重承诺：</w:t>
      </w:r>
    </w:p>
    <w:p w14:paraId="146830B9">
      <w:pPr>
        <w:widowControl w:val="0"/>
        <w:autoSpaceDE w:val="0"/>
        <w:autoSpaceDN w:val="0"/>
        <w:adjustRightInd w:val="0"/>
        <w:snapToGrid w:val="0"/>
        <w:spacing w:before="0" w:after="0" w:line="400" w:lineRule="exact"/>
        <w:ind w:left="250" w:leftChars="119" w:right="23" w:firstLine="420" w:firstLineChars="200"/>
        <w:jc w:val="left"/>
        <w:rPr>
          <w:rFonts w:ascii="Times New Roman" w:hAnsi="Times New Roman" w:eastAsia="宋体" w:cs="宋体"/>
          <w:color w:val="auto"/>
          <w:kern w:val="0"/>
          <w:sz w:val="21"/>
          <w:szCs w:val="21"/>
          <w:highlight w:val="none"/>
          <w:shd w:val="clear" w:color="auto" w:fill="auto"/>
          <w:lang w:val="en-US" w:eastAsia="zh-CN" w:bidi="ar-SA"/>
        </w:rPr>
      </w:pPr>
      <w:r>
        <w:rPr>
          <w:rFonts w:hint="eastAsia" w:ascii="Times New Roman" w:hAnsi="Times New Roman" w:eastAsia="宋体" w:cs="宋体"/>
          <w:color w:val="auto"/>
          <w:kern w:val="0"/>
          <w:sz w:val="21"/>
          <w:szCs w:val="21"/>
          <w:highlight w:val="none"/>
          <w:shd w:val="clear" w:color="auto" w:fill="auto"/>
          <w:lang w:val="en-US" w:eastAsia="zh-CN" w:bidi="ar-SA"/>
        </w:rPr>
        <w:t>本单位中标承建</w:t>
      </w:r>
      <w:r>
        <w:rPr>
          <w:rFonts w:hint="eastAsia" w:cs="宋体"/>
          <w:color w:val="auto"/>
          <w:kern w:val="0"/>
          <w:sz w:val="21"/>
          <w:szCs w:val="21"/>
          <w:highlight w:val="none"/>
          <w:u w:val="single"/>
          <w:shd w:val="clear" w:color="auto" w:fill="auto"/>
          <w:lang w:val="en-US" w:eastAsia="zh-CN" w:bidi="ar-SA"/>
        </w:rPr>
        <w:t>物流集散道路工程EPC项目-道路工程劳务</w:t>
      </w:r>
      <w:r>
        <w:rPr>
          <w:rFonts w:hint="eastAsia" w:ascii="Times New Roman" w:hAnsi="Times New Roman" w:eastAsia="宋体" w:cs="宋体"/>
          <w:color w:val="auto"/>
          <w:kern w:val="0"/>
          <w:sz w:val="21"/>
          <w:szCs w:val="21"/>
          <w:highlight w:val="none"/>
          <w:shd w:val="clear" w:color="auto" w:fill="auto"/>
          <w:lang w:val="en-US" w:eastAsia="zh-CN" w:bidi="ar-SA"/>
        </w:rPr>
        <w:t>（项目名称）需要使用农民工时，将保证做到：</w:t>
      </w:r>
    </w:p>
    <w:p w14:paraId="76281C03">
      <w:pPr>
        <w:widowControl w:val="0"/>
        <w:autoSpaceDE w:val="0"/>
        <w:autoSpaceDN w:val="0"/>
        <w:adjustRightInd w:val="0"/>
        <w:snapToGrid w:val="0"/>
        <w:spacing w:before="0" w:after="0" w:line="400" w:lineRule="exact"/>
        <w:ind w:left="250" w:leftChars="119" w:right="23" w:firstLine="420" w:firstLineChars="200"/>
        <w:jc w:val="left"/>
        <w:rPr>
          <w:rFonts w:ascii="Times New Roman" w:hAnsi="Times New Roman" w:eastAsia="宋体" w:cs="宋体"/>
          <w:color w:val="auto"/>
          <w:kern w:val="0"/>
          <w:sz w:val="21"/>
          <w:szCs w:val="21"/>
          <w:highlight w:val="none"/>
          <w:shd w:val="clear" w:color="auto" w:fill="auto"/>
          <w:lang w:val="en-US" w:eastAsia="zh-CN" w:bidi="ar-SA"/>
        </w:rPr>
      </w:pPr>
      <w:r>
        <w:rPr>
          <w:rFonts w:hint="eastAsia" w:ascii="Times New Roman" w:hAnsi="Times New Roman" w:eastAsia="宋体" w:cs="宋体"/>
          <w:color w:val="auto"/>
          <w:kern w:val="0"/>
          <w:sz w:val="21"/>
          <w:szCs w:val="21"/>
          <w:highlight w:val="none"/>
          <w:shd w:val="clear" w:color="auto" w:fill="auto"/>
          <w:lang w:val="en-US" w:eastAsia="zh-CN" w:bidi="ar-SA"/>
        </w:rPr>
        <w:t>1、按照《劳动法》规定雇用和使用农民工，工资将直接发给农民工本人，严禁发放给“包工头”。</w:t>
      </w:r>
    </w:p>
    <w:p w14:paraId="7BB4F8A1">
      <w:pPr>
        <w:widowControl w:val="0"/>
        <w:autoSpaceDE w:val="0"/>
        <w:autoSpaceDN w:val="0"/>
        <w:adjustRightInd w:val="0"/>
        <w:snapToGrid w:val="0"/>
        <w:spacing w:before="0" w:after="0" w:line="400" w:lineRule="exact"/>
        <w:ind w:left="250" w:leftChars="119" w:right="23" w:firstLine="420" w:firstLineChars="200"/>
        <w:jc w:val="left"/>
        <w:rPr>
          <w:rFonts w:ascii="Times New Roman" w:hAnsi="Times New Roman" w:eastAsia="宋体" w:cs="宋体"/>
          <w:color w:val="auto"/>
          <w:kern w:val="0"/>
          <w:sz w:val="21"/>
          <w:szCs w:val="21"/>
          <w:highlight w:val="none"/>
          <w:shd w:val="clear" w:color="auto" w:fill="auto"/>
          <w:lang w:val="en-US" w:eastAsia="zh-CN" w:bidi="ar-SA"/>
        </w:rPr>
      </w:pPr>
      <w:r>
        <w:rPr>
          <w:rFonts w:hint="eastAsia" w:ascii="Times New Roman" w:hAnsi="Times New Roman" w:eastAsia="宋体" w:cs="宋体"/>
          <w:color w:val="auto"/>
          <w:kern w:val="0"/>
          <w:sz w:val="21"/>
          <w:szCs w:val="21"/>
          <w:highlight w:val="none"/>
          <w:shd w:val="clear" w:color="auto" w:fill="auto"/>
          <w:lang w:val="en-US" w:eastAsia="zh-CN" w:bidi="ar-SA"/>
        </w:rPr>
        <w:t>2、我单位协作单位雇用农民工的，将要求协作单位按照第1条规定签订劳动合同，并负责督促其按照合同规定及时结付农民工工资。如因我公司未按合同约定与协作单位结清工程款，致使后者拖欠农民工工资的，将由我公司先行垫付欠款。本公司对协作单位清偿拖欠农民工工资负总责。</w:t>
      </w:r>
    </w:p>
    <w:p w14:paraId="179EDA0F">
      <w:pPr>
        <w:widowControl w:val="0"/>
        <w:autoSpaceDE w:val="0"/>
        <w:autoSpaceDN w:val="0"/>
        <w:adjustRightInd w:val="0"/>
        <w:snapToGrid w:val="0"/>
        <w:spacing w:before="0" w:after="0" w:line="400" w:lineRule="exact"/>
        <w:ind w:left="250" w:leftChars="119" w:right="23" w:firstLine="420" w:firstLineChars="200"/>
        <w:jc w:val="left"/>
        <w:rPr>
          <w:rFonts w:ascii="Times New Roman" w:hAnsi="Times New Roman" w:eastAsia="宋体" w:cs="宋体"/>
          <w:color w:val="auto"/>
          <w:kern w:val="0"/>
          <w:sz w:val="21"/>
          <w:szCs w:val="21"/>
          <w:highlight w:val="none"/>
          <w:shd w:val="clear" w:color="auto" w:fill="auto"/>
          <w:lang w:val="en-US" w:eastAsia="zh-CN" w:bidi="ar-SA"/>
        </w:rPr>
      </w:pPr>
      <w:r>
        <w:rPr>
          <w:rFonts w:hint="eastAsia" w:ascii="Times New Roman" w:hAnsi="Times New Roman" w:eastAsia="宋体" w:cs="宋体"/>
          <w:color w:val="auto"/>
          <w:kern w:val="0"/>
          <w:sz w:val="21"/>
          <w:szCs w:val="21"/>
          <w:highlight w:val="none"/>
          <w:shd w:val="clear" w:color="auto" w:fill="auto"/>
          <w:lang w:val="en-US" w:eastAsia="zh-CN" w:bidi="ar-SA"/>
        </w:rPr>
        <w:t>3、严格遵守国家和地方关于农民工工资的其他有关规定。</w:t>
      </w:r>
    </w:p>
    <w:p w14:paraId="63A7F628">
      <w:pPr>
        <w:widowControl w:val="0"/>
        <w:autoSpaceDE w:val="0"/>
        <w:autoSpaceDN w:val="0"/>
        <w:adjustRightInd w:val="0"/>
        <w:snapToGrid w:val="0"/>
        <w:spacing w:before="0" w:after="0" w:line="400" w:lineRule="exact"/>
        <w:ind w:left="250" w:leftChars="119" w:right="23" w:firstLine="420" w:firstLineChars="200"/>
        <w:jc w:val="left"/>
        <w:rPr>
          <w:rFonts w:ascii="Times New Roman" w:hAnsi="Times New Roman" w:eastAsia="宋体" w:cs="宋体"/>
          <w:color w:val="auto"/>
          <w:kern w:val="0"/>
          <w:sz w:val="21"/>
          <w:szCs w:val="21"/>
          <w:highlight w:val="none"/>
          <w:shd w:val="clear" w:color="auto" w:fill="auto"/>
          <w:lang w:val="en-US" w:eastAsia="zh-CN" w:bidi="ar-SA"/>
        </w:rPr>
      </w:pPr>
      <w:r>
        <w:rPr>
          <w:rFonts w:hint="eastAsia" w:ascii="Times New Roman" w:hAnsi="Times New Roman" w:eastAsia="宋体" w:cs="宋体"/>
          <w:color w:val="auto"/>
          <w:kern w:val="0"/>
          <w:sz w:val="21"/>
          <w:szCs w:val="21"/>
          <w:highlight w:val="none"/>
          <w:shd w:val="clear" w:color="auto" w:fill="auto"/>
          <w:lang w:val="en-US" w:eastAsia="zh-CN" w:bidi="ar-SA"/>
        </w:rPr>
        <w:t>4、如果发生违反规定拖欠或克扣农民工工资行为，造成农民工上访，本单位愿意无条件接受甲方采取的经济等处罚，同时愿意接受交通行政主管部门依照有关规定作出的其它处罚决定。</w:t>
      </w:r>
    </w:p>
    <w:p w14:paraId="0B2BC5D0">
      <w:pPr>
        <w:widowControl w:val="0"/>
        <w:autoSpaceDE w:val="0"/>
        <w:autoSpaceDN w:val="0"/>
        <w:adjustRightInd w:val="0"/>
        <w:snapToGrid w:val="0"/>
        <w:spacing w:before="0" w:after="0" w:line="400" w:lineRule="exact"/>
        <w:ind w:left="-359" w:leftChars="-171" w:right="-334" w:firstLine="420" w:firstLineChars="200"/>
        <w:jc w:val="left"/>
        <w:rPr>
          <w:rFonts w:ascii="Times New Roman" w:hAnsi="Times New Roman" w:eastAsia="宋体" w:cs="宋体"/>
          <w:color w:val="auto"/>
          <w:kern w:val="0"/>
          <w:sz w:val="21"/>
          <w:szCs w:val="21"/>
          <w:highlight w:val="none"/>
          <w:shd w:val="clear" w:color="auto" w:fill="auto"/>
          <w:lang w:val="en-US" w:eastAsia="zh-CN" w:bidi="ar-SA"/>
        </w:rPr>
      </w:pPr>
    </w:p>
    <w:p w14:paraId="79964BAC">
      <w:pPr>
        <w:widowControl w:val="0"/>
        <w:autoSpaceDE w:val="0"/>
        <w:autoSpaceDN w:val="0"/>
        <w:adjustRightInd w:val="0"/>
        <w:snapToGrid w:val="0"/>
        <w:spacing w:before="0" w:after="0" w:line="400" w:lineRule="exact"/>
        <w:ind w:left="-359" w:leftChars="-171" w:right="-334" w:firstLine="420" w:firstLineChars="200"/>
        <w:jc w:val="left"/>
        <w:rPr>
          <w:rFonts w:ascii="Times New Roman" w:hAnsi="Times New Roman" w:eastAsia="宋体" w:cs="宋体"/>
          <w:color w:val="auto"/>
          <w:kern w:val="0"/>
          <w:sz w:val="21"/>
          <w:szCs w:val="21"/>
          <w:highlight w:val="none"/>
          <w:shd w:val="clear" w:color="auto" w:fill="auto"/>
          <w:lang w:val="en-US" w:eastAsia="zh-CN" w:bidi="ar-SA"/>
        </w:rPr>
      </w:pPr>
    </w:p>
    <w:p w14:paraId="25172D1E">
      <w:pPr>
        <w:widowControl w:val="0"/>
        <w:autoSpaceDE w:val="0"/>
        <w:autoSpaceDN w:val="0"/>
        <w:adjustRightInd w:val="0"/>
        <w:snapToGrid w:val="0"/>
        <w:spacing w:before="0" w:after="0" w:line="400" w:lineRule="exact"/>
        <w:ind w:left="-359" w:leftChars="-171" w:right="-334" w:firstLine="1260" w:firstLineChars="600"/>
        <w:jc w:val="left"/>
        <w:rPr>
          <w:rFonts w:ascii="Times New Roman" w:hAnsi="Times New Roman" w:eastAsia="宋体" w:cs="宋体"/>
          <w:color w:val="auto"/>
          <w:kern w:val="0"/>
          <w:sz w:val="21"/>
          <w:szCs w:val="21"/>
          <w:highlight w:val="none"/>
          <w:shd w:val="clear" w:color="auto" w:fill="auto"/>
          <w:lang w:val="en-US" w:eastAsia="zh-CN" w:bidi="ar-SA"/>
        </w:rPr>
      </w:pPr>
      <w:r>
        <w:rPr>
          <w:rFonts w:hint="eastAsia" w:ascii="Times New Roman" w:hAnsi="Times New Roman" w:eastAsia="宋体" w:cs="宋体"/>
          <w:color w:val="auto"/>
          <w:kern w:val="0"/>
          <w:sz w:val="21"/>
          <w:szCs w:val="21"/>
          <w:highlight w:val="none"/>
          <w:shd w:val="clear" w:color="auto" w:fill="auto"/>
          <w:lang w:val="en-US" w:eastAsia="zh-CN" w:bidi="ar-SA"/>
        </w:rPr>
        <w:t xml:space="preserve">乙方（公章）： </w:t>
      </w:r>
    </w:p>
    <w:p w14:paraId="01A2DBC3">
      <w:pPr>
        <w:widowControl w:val="0"/>
        <w:autoSpaceDE w:val="0"/>
        <w:autoSpaceDN w:val="0"/>
        <w:adjustRightInd w:val="0"/>
        <w:snapToGrid w:val="0"/>
        <w:spacing w:before="0" w:after="0" w:line="400" w:lineRule="exact"/>
        <w:ind w:left="359" w:leftChars="171" w:right="23" w:firstLine="630" w:firstLineChars="300"/>
        <w:jc w:val="left"/>
        <w:rPr>
          <w:rFonts w:ascii="Times New Roman" w:hAnsi="Times New Roman" w:eastAsia="宋体" w:cs="宋体"/>
          <w:b/>
          <w:color w:val="auto"/>
          <w:kern w:val="0"/>
          <w:sz w:val="24"/>
          <w:szCs w:val="21"/>
          <w:highlight w:val="none"/>
          <w:shd w:val="clear" w:color="auto" w:fill="auto"/>
          <w:lang w:val="en-US" w:eastAsia="zh-CN" w:bidi="ar-SA"/>
        </w:rPr>
      </w:pPr>
      <w:r>
        <w:rPr>
          <w:rFonts w:hint="eastAsia" w:ascii="Times New Roman" w:hAnsi="Times New Roman" w:eastAsia="宋体" w:cs="宋体"/>
          <w:color w:val="auto"/>
          <w:kern w:val="0"/>
          <w:sz w:val="21"/>
          <w:szCs w:val="21"/>
          <w:highlight w:val="none"/>
          <w:shd w:val="clear" w:color="auto" w:fill="auto"/>
          <w:lang w:val="en-US" w:eastAsia="zh-CN" w:bidi="ar-SA"/>
        </w:rPr>
        <w:t>法定代表人（签字或盖章）：</w:t>
      </w:r>
      <w:r>
        <w:rPr>
          <w:rFonts w:hint="eastAsia" w:ascii="Times New Roman" w:hAnsi="Times New Roman" w:eastAsia="宋体" w:cs="宋体"/>
          <w:color w:val="auto"/>
          <w:kern w:val="0"/>
          <w:sz w:val="24"/>
          <w:szCs w:val="21"/>
          <w:highlight w:val="none"/>
          <w:shd w:val="clear" w:color="auto" w:fill="auto"/>
          <w:lang w:val="en-US" w:eastAsia="zh-CN" w:bidi="ar-SA"/>
        </w:rPr>
        <w:br w:type="page"/>
      </w:r>
      <w:r>
        <w:rPr>
          <w:rFonts w:hint="eastAsia" w:ascii="Times New Roman" w:hAnsi="Times New Roman" w:eastAsia="宋体" w:cs="宋体"/>
          <w:b/>
          <w:color w:val="auto"/>
          <w:kern w:val="0"/>
          <w:sz w:val="21"/>
          <w:szCs w:val="21"/>
          <w:highlight w:val="none"/>
          <w:shd w:val="clear" w:color="auto" w:fill="auto"/>
          <w:lang w:val="en-US" w:eastAsia="zh-CN" w:bidi="ar-SA"/>
        </w:rPr>
        <w:t>附件5：</w:t>
      </w:r>
      <w:r>
        <w:rPr>
          <w:rFonts w:hint="eastAsia" w:ascii="Times New Roman" w:hAnsi="Times New Roman" w:eastAsia="宋体" w:cs="宋体"/>
          <w:b/>
          <w:color w:val="auto"/>
          <w:kern w:val="0"/>
          <w:sz w:val="24"/>
          <w:szCs w:val="21"/>
          <w:highlight w:val="none"/>
          <w:shd w:val="clear" w:color="auto" w:fill="auto"/>
          <w:lang w:val="en-US" w:eastAsia="zh-CN" w:bidi="ar-SA"/>
        </w:rPr>
        <w:t xml:space="preserve">                    </w:t>
      </w:r>
    </w:p>
    <w:p w14:paraId="7C5682AC">
      <w:pPr>
        <w:widowControl/>
        <w:spacing w:before="100" w:beforeAutospacing="1" w:after="100" w:afterAutospacing="1" w:line="480" w:lineRule="exact"/>
        <w:ind w:firstLine="0" w:firstLineChars="0"/>
        <w:jc w:val="center"/>
        <w:rPr>
          <w:rFonts w:ascii="Times New Roman" w:hAnsi="Times New Roman" w:eastAsia="宋体" w:cs="宋体"/>
          <w:color w:val="auto"/>
          <w:highlight w:val="none"/>
          <w:shd w:val="clear" w:color="auto" w:fill="auto"/>
        </w:rPr>
      </w:pPr>
      <w:r>
        <w:rPr>
          <w:rFonts w:hint="eastAsia" w:ascii="Times New Roman" w:hAnsi="Times New Roman" w:eastAsia="宋体" w:cs="宋体"/>
          <w:b/>
          <w:color w:val="auto"/>
          <w:sz w:val="28"/>
          <w:szCs w:val="28"/>
          <w:highlight w:val="none"/>
          <w:shd w:val="clear" w:color="auto" w:fill="auto"/>
        </w:rPr>
        <w:t>中标人诚信承诺书</w:t>
      </w:r>
      <w:r>
        <w:rPr>
          <w:rFonts w:hint="eastAsia" w:ascii="Times New Roman" w:hAnsi="Times New Roman" w:eastAsia="宋体" w:cs="宋体"/>
          <w:color w:val="auto"/>
          <w:szCs w:val="21"/>
          <w:highlight w:val="none"/>
          <w:shd w:val="clear" w:color="auto" w:fill="auto"/>
        </w:rPr>
        <w:t xml:space="preserve"> </w:t>
      </w:r>
    </w:p>
    <w:p w14:paraId="559294AC">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420" w:firstLineChars="200"/>
        <w:jc w:val="left"/>
        <w:textAlignment w:val="auto"/>
        <w:rPr>
          <w:rFonts w:ascii="Times New Roman" w:hAnsi="Times New Roman" w:eastAsia="宋体" w:cs="宋体"/>
          <w:color w:val="auto"/>
          <w:highlight w:val="none"/>
          <w:shd w:val="clear" w:color="auto" w:fill="auto"/>
        </w:rPr>
      </w:pPr>
      <w:r>
        <w:rPr>
          <w:rFonts w:hint="eastAsia" w:ascii="Times New Roman" w:hAnsi="Times New Roman" w:eastAsia="宋体" w:cs="宋体"/>
          <w:color w:val="auto"/>
          <w:szCs w:val="21"/>
          <w:highlight w:val="none"/>
          <w:shd w:val="clear" w:color="auto" w:fill="auto"/>
        </w:rPr>
        <w:t>我单位系</w:t>
      </w:r>
      <w:r>
        <w:rPr>
          <w:rFonts w:hint="eastAsia" w:ascii="Times New Roman" w:hAnsi="Times New Roman" w:eastAsia="宋体" w:cs="宋体"/>
          <w:color w:val="auto"/>
          <w:szCs w:val="21"/>
          <w:highlight w:val="none"/>
          <w:u w:val="single"/>
          <w:shd w:val="clear" w:color="auto" w:fill="auto"/>
          <w:lang w:val="en-US" w:eastAsia="zh-CN"/>
        </w:rPr>
        <w:t xml:space="preserve">             </w:t>
      </w:r>
      <w:r>
        <w:rPr>
          <w:rFonts w:hint="eastAsia" w:ascii="Times New Roman" w:hAnsi="Times New Roman" w:eastAsia="宋体" w:cs="宋体"/>
          <w:color w:val="auto"/>
          <w:szCs w:val="21"/>
          <w:highlight w:val="none"/>
          <w:shd w:val="clear" w:color="auto" w:fill="auto"/>
        </w:rPr>
        <w:t>作为</w:t>
      </w:r>
      <w:r>
        <w:rPr>
          <w:rFonts w:hint="eastAsia" w:ascii="Times New Roman" w:hAnsi="Times New Roman" w:eastAsia="宋体" w:cs="宋体"/>
          <w:color w:val="auto"/>
          <w:szCs w:val="21"/>
          <w:highlight w:val="none"/>
          <w:u w:val="single"/>
          <w:shd w:val="clear" w:color="auto" w:fill="auto"/>
        </w:rPr>
        <w:t xml:space="preserve"> </w:t>
      </w:r>
      <w:r>
        <w:rPr>
          <w:rFonts w:hint="eastAsia" w:ascii="Times New Roman" w:hAnsi="Times New Roman" w:eastAsia="宋体" w:cs="宋体"/>
          <w:color w:val="auto"/>
          <w:szCs w:val="21"/>
          <w:highlight w:val="none"/>
          <w:u w:val="single"/>
          <w:shd w:val="clear" w:color="auto" w:fill="auto"/>
          <w:lang w:eastAsia="zh-CN"/>
        </w:rPr>
        <w:t>连云港徐圩城建工程有限公司</w:t>
      </w:r>
      <w:r>
        <w:rPr>
          <w:rFonts w:hint="eastAsia" w:ascii="Times New Roman" w:hAnsi="Times New Roman" w:eastAsia="宋体" w:cs="宋体"/>
          <w:color w:val="auto"/>
          <w:szCs w:val="21"/>
          <w:highlight w:val="none"/>
          <w:u w:val="single"/>
          <w:shd w:val="clear" w:color="auto" w:fill="auto"/>
        </w:rPr>
        <w:t xml:space="preserve">  </w:t>
      </w:r>
      <w:r>
        <w:rPr>
          <w:rFonts w:hint="eastAsia" w:ascii="Times New Roman" w:hAnsi="Times New Roman" w:eastAsia="宋体" w:cs="宋体"/>
          <w:color w:val="auto"/>
          <w:szCs w:val="21"/>
          <w:highlight w:val="none"/>
          <w:shd w:val="clear" w:color="auto" w:fill="auto"/>
        </w:rPr>
        <w:t>的</w:t>
      </w:r>
      <w:r>
        <w:rPr>
          <w:rFonts w:hint="eastAsia" w:ascii="Times New Roman" w:hAnsi="Times New Roman" w:eastAsia="宋体" w:cs="宋体"/>
          <w:color w:val="auto"/>
          <w:szCs w:val="21"/>
          <w:highlight w:val="none"/>
          <w:u w:val="single"/>
          <w:shd w:val="clear" w:color="auto" w:fill="auto"/>
          <w:lang w:val="en-US" w:eastAsia="zh-CN"/>
        </w:rPr>
        <w:t xml:space="preserve"> </w:t>
      </w:r>
      <w:r>
        <w:rPr>
          <w:rFonts w:hint="eastAsia" w:cs="宋体"/>
          <w:color w:val="auto"/>
          <w:szCs w:val="21"/>
          <w:highlight w:val="none"/>
          <w:u w:val="single"/>
          <w:shd w:val="clear" w:color="auto" w:fill="auto"/>
          <w:lang w:eastAsia="zh-CN"/>
        </w:rPr>
        <w:t>物流集散道路工程EPC项目-道路工程劳务</w:t>
      </w:r>
      <w:r>
        <w:rPr>
          <w:rFonts w:hint="eastAsia" w:ascii="Times New Roman" w:hAnsi="Times New Roman" w:eastAsia="宋体" w:cs="宋体"/>
          <w:color w:val="auto"/>
          <w:szCs w:val="21"/>
          <w:highlight w:val="none"/>
          <w:u w:val="single"/>
          <w:shd w:val="clear" w:color="auto" w:fill="auto"/>
          <w:lang w:val="en-US" w:eastAsia="zh-CN"/>
        </w:rPr>
        <w:t xml:space="preserve"> </w:t>
      </w:r>
      <w:r>
        <w:rPr>
          <w:rFonts w:hint="eastAsia" w:ascii="Times New Roman" w:hAnsi="Times New Roman" w:eastAsia="宋体" w:cs="宋体"/>
          <w:color w:val="auto"/>
          <w:szCs w:val="21"/>
          <w:highlight w:val="none"/>
          <w:shd w:val="clear" w:color="auto" w:fill="auto"/>
        </w:rPr>
        <w:t>的中标人，我单位郑重承诺，我单位在该项目标段的投标工作中所出具的所有文件（如单位资质证书、建造师证书、单位及建造师业绩证明等）均是真实有效的，我单位对该中标标段派遣</w:t>
      </w:r>
      <w:r>
        <w:rPr>
          <w:rFonts w:hint="eastAsia" w:ascii="Times New Roman" w:hAnsi="Times New Roman" w:eastAsia="宋体" w:cs="宋体"/>
          <w:color w:val="auto"/>
          <w:szCs w:val="21"/>
          <w:highlight w:val="none"/>
          <w:shd w:val="clear" w:color="auto" w:fill="auto"/>
          <w:lang w:eastAsia="zh-CN"/>
        </w:rPr>
        <w:t>项目负责人</w:t>
      </w:r>
      <w:r>
        <w:rPr>
          <w:rFonts w:hint="eastAsia" w:ascii="Times New Roman" w:hAnsi="Times New Roman" w:eastAsia="宋体" w:cs="宋体"/>
          <w:color w:val="auto"/>
          <w:szCs w:val="21"/>
          <w:highlight w:val="none"/>
          <w:u w:val="single"/>
          <w:shd w:val="clear" w:color="auto" w:fill="auto"/>
          <w:lang w:val="en-US" w:eastAsia="zh-CN"/>
        </w:rPr>
        <w:t xml:space="preserve">    </w:t>
      </w:r>
      <w:r>
        <w:rPr>
          <w:rFonts w:hint="eastAsia" w:ascii="Times New Roman" w:hAnsi="Times New Roman" w:eastAsia="宋体" w:cs="宋体"/>
          <w:color w:val="auto"/>
          <w:szCs w:val="21"/>
          <w:highlight w:val="none"/>
          <w:shd w:val="clear" w:color="auto" w:fill="auto"/>
        </w:rPr>
        <w:t>将严格按照谈判响应文件及合同约定的内容、期限等积极到场开展工作，若我单位投标过程中提供的资审资料及谈判响应文件有伪造事实以及建造师未按合同约定开展现场工作，经查实后，我单位愿意接受相关法律法规处罚，并承担作为不良行为公示所产生的一切后果。</w:t>
      </w:r>
    </w:p>
    <w:p w14:paraId="41D8F85E">
      <w:pPr>
        <w:widowControl/>
        <w:spacing w:before="100" w:beforeAutospacing="1" w:after="100" w:afterAutospacing="1" w:line="400" w:lineRule="exact"/>
        <w:ind w:left="210" w:hanging="210" w:hangingChars="100"/>
        <w:jc w:val="left"/>
        <w:rPr>
          <w:rFonts w:ascii="Times New Roman" w:hAnsi="Times New Roman" w:eastAsia="宋体" w:cs="宋体"/>
          <w:color w:val="auto"/>
          <w:highlight w:val="none"/>
          <w:shd w:val="clear" w:color="auto" w:fill="auto"/>
        </w:rPr>
      </w:pPr>
      <w:r>
        <w:rPr>
          <w:rFonts w:hint="eastAsia" w:ascii="Times New Roman" w:hAnsi="Times New Roman" w:eastAsia="宋体" w:cs="宋体"/>
          <w:color w:val="auto"/>
          <w:szCs w:val="21"/>
          <w:highlight w:val="none"/>
          <w:shd w:val="clear" w:color="auto" w:fill="auto"/>
        </w:rPr>
        <w:t xml:space="preserve"> </w:t>
      </w:r>
    </w:p>
    <w:p w14:paraId="29264B8A">
      <w:pPr>
        <w:widowControl/>
        <w:spacing w:before="100" w:beforeAutospacing="1" w:after="100" w:afterAutospacing="1" w:line="400" w:lineRule="exact"/>
        <w:ind w:left="210" w:hanging="210" w:hangingChars="100"/>
        <w:jc w:val="left"/>
        <w:rPr>
          <w:rFonts w:ascii="Times New Roman" w:hAnsi="Times New Roman" w:eastAsia="宋体" w:cs="宋体"/>
          <w:color w:val="auto"/>
          <w:highlight w:val="none"/>
          <w:shd w:val="clear" w:color="auto" w:fill="auto"/>
        </w:rPr>
      </w:pPr>
      <w:r>
        <w:rPr>
          <w:rFonts w:hint="eastAsia" w:ascii="Times New Roman" w:hAnsi="Times New Roman" w:eastAsia="宋体" w:cs="宋体"/>
          <w:color w:val="auto"/>
          <w:szCs w:val="21"/>
          <w:highlight w:val="none"/>
          <w:shd w:val="clear" w:color="auto" w:fill="auto"/>
        </w:rPr>
        <w:t xml:space="preserve"> </w:t>
      </w:r>
    </w:p>
    <w:p w14:paraId="688AD64E">
      <w:pPr>
        <w:widowControl/>
        <w:spacing w:before="100" w:beforeAutospacing="1" w:after="100" w:afterAutospacing="1" w:line="400" w:lineRule="exact"/>
        <w:ind w:left="210" w:hanging="210" w:hangingChars="100"/>
        <w:jc w:val="left"/>
        <w:rPr>
          <w:rFonts w:ascii="Times New Roman" w:hAnsi="Times New Roman" w:eastAsia="宋体" w:cs="宋体"/>
          <w:color w:val="auto"/>
          <w:highlight w:val="none"/>
          <w:shd w:val="clear" w:color="auto" w:fill="auto"/>
        </w:rPr>
      </w:pPr>
      <w:r>
        <w:rPr>
          <w:rFonts w:hint="eastAsia" w:ascii="Times New Roman" w:hAnsi="Times New Roman" w:eastAsia="宋体" w:cs="宋体"/>
          <w:color w:val="auto"/>
          <w:szCs w:val="21"/>
          <w:highlight w:val="none"/>
          <w:shd w:val="clear" w:color="auto" w:fill="auto"/>
        </w:rPr>
        <w:t xml:space="preserve">        </w:t>
      </w:r>
      <w:r>
        <w:rPr>
          <w:rFonts w:hint="eastAsia" w:ascii="Times New Roman" w:hAnsi="Times New Roman" w:eastAsia="宋体" w:cs="宋体"/>
          <w:color w:val="auto"/>
          <w:szCs w:val="21"/>
          <w:highlight w:val="none"/>
          <w:shd w:val="clear" w:color="auto" w:fill="auto"/>
          <w:lang w:eastAsia="zh-CN"/>
        </w:rPr>
        <w:t>项目</w:t>
      </w:r>
      <w:r>
        <w:rPr>
          <w:rFonts w:hint="eastAsia" w:ascii="Times New Roman" w:hAnsi="Times New Roman" w:eastAsia="宋体" w:cs="宋体"/>
          <w:color w:val="auto"/>
          <w:szCs w:val="21"/>
          <w:highlight w:val="none"/>
          <w:shd w:val="clear" w:color="auto" w:fill="auto"/>
        </w:rPr>
        <w:t>负责人签字：</w:t>
      </w:r>
    </w:p>
    <w:p w14:paraId="28DB6820">
      <w:pPr>
        <w:widowControl/>
        <w:spacing w:before="100" w:beforeAutospacing="1" w:after="100" w:afterAutospacing="1" w:line="400" w:lineRule="exact"/>
        <w:ind w:firstLine="210" w:firstLineChars="100"/>
        <w:jc w:val="left"/>
        <w:rPr>
          <w:rFonts w:ascii="Times New Roman" w:hAnsi="Times New Roman" w:eastAsia="宋体" w:cs="宋体"/>
          <w:color w:val="auto"/>
          <w:highlight w:val="none"/>
          <w:shd w:val="clear" w:color="auto" w:fill="auto"/>
        </w:rPr>
      </w:pPr>
      <w:r>
        <w:rPr>
          <w:rFonts w:hint="eastAsia" w:ascii="Times New Roman" w:hAnsi="Times New Roman" w:eastAsia="宋体" w:cs="宋体"/>
          <w:color w:val="auto"/>
          <w:szCs w:val="21"/>
          <w:highlight w:val="none"/>
          <w:shd w:val="clear" w:color="auto" w:fill="auto"/>
          <w:lang w:val="en-US" w:eastAsia="zh-CN"/>
        </w:rPr>
        <w:t xml:space="preserve">  </w:t>
      </w:r>
      <w:r>
        <w:rPr>
          <w:rFonts w:hint="eastAsia" w:cs="宋体"/>
          <w:color w:val="auto"/>
          <w:szCs w:val="21"/>
          <w:highlight w:val="none"/>
          <w:shd w:val="clear" w:color="auto" w:fill="auto"/>
          <w:lang w:val="en-US" w:eastAsia="zh-CN"/>
        </w:rPr>
        <w:t xml:space="preserve">    </w:t>
      </w:r>
      <w:r>
        <w:rPr>
          <w:rFonts w:hint="eastAsia" w:ascii="Times New Roman" w:hAnsi="Times New Roman" w:eastAsia="宋体" w:cs="宋体"/>
          <w:color w:val="auto"/>
          <w:szCs w:val="21"/>
          <w:highlight w:val="none"/>
          <w:shd w:val="clear" w:color="auto" w:fill="auto"/>
        </w:rPr>
        <w:t>法定代表人或委托代理人签字：</w:t>
      </w:r>
    </w:p>
    <w:p w14:paraId="7A8B305C">
      <w:pPr>
        <w:widowControl/>
        <w:spacing w:before="100" w:beforeAutospacing="1" w:after="100" w:afterAutospacing="1" w:line="400" w:lineRule="exact"/>
        <w:ind w:firstLine="0" w:firstLineChars="0"/>
        <w:jc w:val="left"/>
        <w:rPr>
          <w:rFonts w:ascii="Times New Roman" w:hAnsi="Times New Roman" w:eastAsia="宋体" w:cs="宋体"/>
          <w:color w:val="auto"/>
          <w:highlight w:val="none"/>
          <w:shd w:val="clear" w:color="auto" w:fill="auto"/>
        </w:rPr>
      </w:pPr>
      <w:r>
        <w:rPr>
          <w:rFonts w:hint="eastAsia" w:ascii="Times New Roman" w:hAnsi="Times New Roman" w:eastAsia="宋体" w:cs="宋体"/>
          <w:color w:val="auto"/>
          <w:szCs w:val="21"/>
          <w:highlight w:val="none"/>
          <w:shd w:val="clear" w:color="auto" w:fill="auto"/>
        </w:rPr>
        <w:t xml:space="preserve"> </w:t>
      </w:r>
    </w:p>
    <w:p w14:paraId="13807506">
      <w:pPr>
        <w:widowControl/>
        <w:spacing w:before="100" w:beforeAutospacing="1" w:after="100" w:afterAutospacing="1" w:line="400" w:lineRule="exact"/>
        <w:ind w:firstLine="0" w:firstLineChars="0"/>
        <w:jc w:val="left"/>
        <w:rPr>
          <w:rFonts w:ascii="Times New Roman" w:hAnsi="Times New Roman" w:eastAsia="宋体" w:cs="宋体"/>
          <w:color w:val="auto"/>
          <w:highlight w:val="none"/>
          <w:shd w:val="clear" w:color="auto" w:fill="auto"/>
        </w:rPr>
      </w:pPr>
      <w:r>
        <w:rPr>
          <w:rFonts w:hint="eastAsia" w:ascii="Times New Roman" w:hAnsi="Times New Roman" w:eastAsia="宋体" w:cs="宋体"/>
          <w:color w:val="auto"/>
          <w:szCs w:val="21"/>
          <w:highlight w:val="none"/>
          <w:shd w:val="clear" w:color="auto" w:fill="auto"/>
        </w:rPr>
        <w:t xml:space="preserve">                              公   章</w:t>
      </w:r>
    </w:p>
    <w:p w14:paraId="05615190">
      <w:pPr>
        <w:spacing w:line="400" w:lineRule="exact"/>
        <w:ind w:firstLine="4216" w:firstLineChars="2000"/>
        <w:jc w:val="left"/>
        <w:rPr>
          <w:rFonts w:hint="eastAsia" w:ascii="Times New Roman" w:hAnsi="Times New Roman" w:eastAsia="宋体" w:cs="宋体"/>
          <w:color w:val="auto"/>
          <w:szCs w:val="21"/>
          <w:highlight w:val="none"/>
        </w:rPr>
        <w:sectPr>
          <w:pgSz w:w="11905" w:h="16838"/>
          <w:pgMar w:top="1247" w:right="1247" w:bottom="1247" w:left="1247" w:header="828" w:footer="981" w:gutter="0"/>
          <w:pgBorders>
            <w:top w:val="none" w:sz="0" w:space="0"/>
            <w:left w:val="none" w:sz="0" w:space="0"/>
            <w:bottom w:val="none" w:sz="0" w:space="0"/>
            <w:right w:val="none" w:sz="0" w:space="0"/>
          </w:pgBorders>
          <w:pgNumType w:fmt="decimal"/>
          <w:cols w:space="0" w:num="1"/>
          <w:rtlGutter w:val="0"/>
          <w:docGrid w:linePitch="326" w:charSpace="0"/>
        </w:sectPr>
      </w:pPr>
      <w:r>
        <w:rPr>
          <w:rFonts w:hint="eastAsia" w:ascii="Times New Roman" w:hAnsi="Times New Roman" w:eastAsia="宋体" w:cs="宋体"/>
          <w:b/>
          <w:color w:val="auto"/>
          <w:szCs w:val="21"/>
          <w:highlight w:val="none"/>
          <w:shd w:val="clear" w:color="auto" w:fill="auto"/>
        </w:rPr>
        <w:br w:type="page"/>
      </w:r>
    </w:p>
    <w:p w14:paraId="4C9E5906">
      <w:pPr>
        <w:widowControl/>
        <w:spacing w:before="100" w:beforeAutospacing="1" w:after="100" w:afterAutospacing="1" w:line="400" w:lineRule="exact"/>
        <w:ind w:firstLine="0" w:firstLineChars="0"/>
        <w:jc w:val="left"/>
        <w:outlineLvl w:val="0"/>
        <w:rPr>
          <w:rFonts w:ascii="Times New Roman" w:hAnsi="Times New Roman" w:eastAsia="宋体" w:cs="宋体"/>
          <w:b/>
          <w:color w:val="auto"/>
          <w:szCs w:val="21"/>
          <w:highlight w:val="none"/>
          <w:shd w:val="clear" w:color="auto" w:fill="auto"/>
        </w:rPr>
      </w:pPr>
      <w:r>
        <w:rPr>
          <w:rFonts w:hint="eastAsia" w:ascii="Times New Roman" w:hAnsi="Times New Roman" w:eastAsia="宋体" w:cs="宋体"/>
          <w:b/>
          <w:color w:val="auto"/>
          <w:szCs w:val="21"/>
          <w:highlight w:val="none"/>
          <w:shd w:val="clear" w:color="auto" w:fill="auto"/>
        </w:rPr>
        <w:t>附件</w:t>
      </w:r>
      <w:r>
        <w:rPr>
          <w:rFonts w:hint="eastAsia" w:ascii="Times New Roman" w:hAnsi="Times New Roman" w:eastAsia="宋体" w:cs="宋体"/>
          <w:b/>
          <w:color w:val="auto"/>
          <w:szCs w:val="21"/>
          <w:highlight w:val="none"/>
          <w:shd w:val="clear" w:color="auto" w:fill="auto"/>
          <w:lang w:val="en-US" w:eastAsia="zh-CN"/>
        </w:rPr>
        <w:t>6</w:t>
      </w:r>
      <w:r>
        <w:rPr>
          <w:rFonts w:hint="eastAsia" w:ascii="Times New Roman" w:hAnsi="Times New Roman" w:eastAsia="宋体" w:cs="宋体"/>
          <w:b/>
          <w:color w:val="auto"/>
          <w:szCs w:val="21"/>
          <w:highlight w:val="none"/>
          <w:shd w:val="clear" w:color="auto" w:fill="auto"/>
        </w:rPr>
        <w:t>：</w:t>
      </w:r>
    </w:p>
    <w:p w14:paraId="74D959A3">
      <w:pPr>
        <w:widowControl/>
        <w:spacing w:line="360" w:lineRule="auto"/>
        <w:ind w:left="738" w:hanging="984" w:hangingChars="350"/>
        <w:jc w:val="center"/>
        <w:outlineLvl w:val="0"/>
        <w:rPr>
          <w:rFonts w:ascii="Times New Roman" w:hAnsi="Times New Roman" w:eastAsia="宋体" w:cs="宋体"/>
          <w:color w:val="auto"/>
          <w:sz w:val="28"/>
          <w:szCs w:val="28"/>
          <w:highlight w:val="none"/>
          <w:shd w:val="clear" w:color="auto" w:fill="auto"/>
        </w:rPr>
      </w:pPr>
      <w:r>
        <w:rPr>
          <w:rFonts w:hint="eastAsia" w:ascii="Times New Roman" w:hAnsi="Times New Roman" w:eastAsia="宋体" w:cs="宋体"/>
          <w:b/>
          <w:color w:val="auto"/>
          <w:kern w:val="10"/>
          <w:sz w:val="28"/>
          <w:szCs w:val="28"/>
          <w:highlight w:val="none"/>
          <w:shd w:val="clear" w:color="auto" w:fill="auto"/>
        </w:rPr>
        <w:t>工程质量管理协议书</w:t>
      </w:r>
    </w:p>
    <w:p w14:paraId="46842147">
      <w:pPr>
        <w:widowControl/>
        <w:spacing w:line="360" w:lineRule="auto"/>
        <w:ind w:left="735" w:hanging="735" w:hangingChars="350"/>
        <w:jc w:val="left"/>
        <w:outlineLvl w:val="0"/>
        <w:rPr>
          <w:rFonts w:ascii="Times New Roman" w:hAnsi="Times New Roman" w:eastAsia="宋体" w:cs="宋体"/>
          <w:color w:val="auto"/>
          <w:highlight w:val="none"/>
          <w:shd w:val="clear" w:color="auto" w:fill="auto"/>
        </w:rPr>
      </w:pPr>
      <w:r>
        <w:rPr>
          <w:rFonts w:hint="eastAsia" w:ascii="Times New Roman" w:hAnsi="Times New Roman" w:eastAsia="宋体" w:cs="宋体"/>
          <w:color w:val="auto"/>
          <w:kern w:val="10"/>
          <w:szCs w:val="21"/>
          <w:highlight w:val="none"/>
          <w:shd w:val="clear" w:color="auto" w:fill="auto"/>
        </w:rPr>
        <w:t xml:space="preserve"> </w:t>
      </w:r>
    </w:p>
    <w:p w14:paraId="053D2966">
      <w:pPr>
        <w:widowControl/>
        <w:spacing w:line="400" w:lineRule="exact"/>
        <w:ind w:left="735" w:hanging="735" w:hangingChars="350"/>
        <w:jc w:val="left"/>
        <w:outlineLvl w:val="0"/>
        <w:rPr>
          <w:rFonts w:hint="eastAsia" w:ascii="Times New Roman" w:hAnsi="Times New Roman" w:eastAsia="宋体" w:cs="宋体"/>
          <w:color w:val="auto"/>
          <w:highlight w:val="none"/>
          <w:shd w:val="clear" w:color="auto" w:fill="auto"/>
          <w:lang w:eastAsia="zh-CN"/>
        </w:rPr>
      </w:pPr>
      <w:r>
        <w:rPr>
          <w:rFonts w:hint="eastAsia" w:ascii="Times New Roman" w:hAnsi="Times New Roman" w:eastAsia="宋体" w:cs="宋体"/>
          <w:color w:val="auto"/>
          <w:kern w:val="10"/>
          <w:szCs w:val="21"/>
          <w:highlight w:val="none"/>
          <w:shd w:val="clear" w:color="auto" w:fill="auto"/>
          <w:lang w:eastAsia="zh-CN"/>
        </w:rPr>
        <w:t>甲方</w:t>
      </w:r>
      <w:r>
        <w:rPr>
          <w:rFonts w:hint="eastAsia" w:ascii="Times New Roman" w:hAnsi="Times New Roman" w:eastAsia="宋体" w:cs="宋体"/>
          <w:color w:val="auto"/>
          <w:kern w:val="10"/>
          <w:szCs w:val="21"/>
          <w:highlight w:val="none"/>
          <w:shd w:val="clear" w:color="auto" w:fill="auto"/>
        </w:rPr>
        <w:t>：</w:t>
      </w:r>
      <w:r>
        <w:rPr>
          <w:rFonts w:hint="eastAsia" w:ascii="Times New Roman" w:hAnsi="Times New Roman" w:eastAsia="宋体" w:cs="宋体"/>
          <w:b/>
          <w:color w:val="auto"/>
          <w:szCs w:val="21"/>
          <w:highlight w:val="none"/>
          <w:u w:val="single"/>
          <w:shd w:val="clear" w:color="auto" w:fill="auto"/>
          <w:lang w:eastAsia="zh-CN"/>
        </w:rPr>
        <w:t>连云港徐圩城工程有限公司</w:t>
      </w:r>
    </w:p>
    <w:p w14:paraId="7E82F13C">
      <w:pPr>
        <w:widowControl/>
        <w:spacing w:line="400" w:lineRule="exact"/>
        <w:ind w:left="735" w:hanging="735" w:hangingChars="350"/>
        <w:jc w:val="left"/>
        <w:outlineLvl w:val="0"/>
        <w:rPr>
          <w:rFonts w:hint="default" w:ascii="Times New Roman" w:hAnsi="Times New Roman" w:eastAsia="宋体" w:cs="宋体"/>
          <w:color w:val="auto"/>
          <w:highlight w:val="none"/>
          <w:shd w:val="clear" w:color="auto" w:fill="auto"/>
          <w:lang w:val="en-US" w:eastAsia="zh-CN"/>
        </w:rPr>
      </w:pPr>
      <w:r>
        <w:rPr>
          <w:rFonts w:hint="eastAsia" w:ascii="Times New Roman" w:hAnsi="Times New Roman" w:eastAsia="宋体" w:cs="宋体"/>
          <w:color w:val="auto"/>
          <w:kern w:val="10"/>
          <w:szCs w:val="21"/>
          <w:highlight w:val="none"/>
          <w:shd w:val="clear" w:color="auto" w:fill="auto"/>
          <w:lang w:eastAsia="zh-CN"/>
        </w:rPr>
        <w:t>乙方</w:t>
      </w:r>
      <w:r>
        <w:rPr>
          <w:rFonts w:hint="eastAsia" w:ascii="Times New Roman" w:hAnsi="Times New Roman" w:eastAsia="宋体" w:cs="宋体"/>
          <w:color w:val="auto"/>
          <w:kern w:val="10"/>
          <w:szCs w:val="21"/>
          <w:highlight w:val="none"/>
          <w:shd w:val="clear" w:color="auto" w:fill="auto"/>
        </w:rPr>
        <w:t>：</w:t>
      </w:r>
      <w:r>
        <w:rPr>
          <w:rFonts w:hint="eastAsia" w:ascii="Times New Roman" w:hAnsi="Times New Roman" w:eastAsia="宋体" w:cs="宋体"/>
          <w:b/>
          <w:bCs/>
          <w:color w:val="auto"/>
          <w:szCs w:val="21"/>
          <w:highlight w:val="none"/>
          <w:u w:val="single"/>
          <w:shd w:val="clear" w:color="auto" w:fill="auto"/>
          <w:lang w:val="en-US" w:eastAsia="zh-CN"/>
        </w:rPr>
        <w:t xml:space="preserve">                        </w:t>
      </w:r>
    </w:p>
    <w:p w14:paraId="523F6432">
      <w:pPr>
        <w:widowControl/>
        <w:spacing w:line="400" w:lineRule="exact"/>
        <w:ind w:firstLine="420" w:firstLineChars="200"/>
        <w:jc w:val="left"/>
        <w:outlineLvl w:val="0"/>
        <w:rPr>
          <w:rFonts w:ascii="Times New Roman" w:hAnsi="Times New Roman" w:eastAsia="宋体" w:cs="宋体"/>
          <w:color w:val="auto"/>
          <w:highlight w:val="none"/>
          <w:shd w:val="clear" w:color="auto" w:fill="auto"/>
        </w:rPr>
      </w:pPr>
      <w:r>
        <w:rPr>
          <w:rFonts w:hint="eastAsia" w:ascii="Times New Roman" w:hAnsi="Times New Roman" w:eastAsia="宋体" w:cs="宋体"/>
          <w:color w:val="auto"/>
          <w:kern w:val="10"/>
          <w:szCs w:val="21"/>
          <w:highlight w:val="none"/>
          <w:shd w:val="clear" w:color="auto" w:fill="auto"/>
        </w:rPr>
        <w:t xml:space="preserve"> </w:t>
      </w:r>
    </w:p>
    <w:p w14:paraId="2E40C12E">
      <w:pPr>
        <w:widowControl/>
        <w:spacing w:line="400" w:lineRule="exact"/>
        <w:ind w:firstLine="420" w:firstLineChars="200"/>
        <w:jc w:val="left"/>
        <w:outlineLvl w:val="0"/>
        <w:rPr>
          <w:rFonts w:ascii="Times New Roman" w:hAnsi="Times New Roman" w:eastAsia="宋体" w:cs="宋体"/>
          <w:color w:val="auto"/>
          <w:highlight w:val="none"/>
          <w:shd w:val="clear" w:color="auto" w:fill="auto"/>
        </w:rPr>
      </w:pPr>
      <w:r>
        <w:rPr>
          <w:rFonts w:hint="eastAsia" w:ascii="Times New Roman" w:hAnsi="Times New Roman" w:eastAsia="宋体" w:cs="宋体"/>
          <w:color w:val="auto"/>
          <w:kern w:val="10"/>
          <w:szCs w:val="21"/>
          <w:highlight w:val="none"/>
          <w:shd w:val="clear" w:color="auto" w:fill="auto"/>
        </w:rPr>
        <w:t>为确保本工程的有序实施，进一步明确双方在施工过程中各自的质量责任与职责，确保施工质量，双方依据《中华人民共和国建筑法》、《建设工程质量管理条例》等有关法律法规及国家行业标准的规定，签订本协议，由双方共同遵守执行。</w:t>
      </w:r>
    </w:p>
    <w:p w14:paraId="48B63F5D">
      <w:pPr>
        <w:widowControl/>
        <w:spacing w:line="400" w:lineRule="exact"/>
        <w:ind w:firstLine="420" w:firstLineChars="200"/>
        <w:jc w:val="left"/>
        <w:outlineLvl w:val="0"/>
        <w:rPr>
          <w:rFonts w:ascii="Times New Roman" w:hAnsi="Times New Roman" w:eastAsia="宋体" w:cs="宋体"/>
          <w:color w:val="auto"/>
          <w:highlight w:val="none"/>
          <w:shd w:val="clear" w:color="auto" w:fill="auto"/>
        </w:rPr>
      </w:pPr>
      <w:r>
        <w:rPr>
          <w:rFonts w:hint="eastAsia" w:ascii="Times New Roman" w:hAnsi="Times New Roman" w:eastAsia="宋体" w:cs="宋体"/>
          <w:color w:val="auto"/>
          <w:kern w:val="10"/>
          <w:szCs w:val="21"/>
          <w:highlight w:val="none"/>
          <w:shd w:val="clear" w:color="auto" w:fill="auto"/>
        </w:rPr>
        <w:t>一、质量目标</w:t>
      </w:r>
    </w:p>
    <w:p w14:paraId="03D5EF3B">
      <w:pPr>
        <w:widowControl/>
        <w:spacing w:line="400" w:lineRule="exact"/>
        <w:ind w:firstLine="420" w:firstLineChars="200"/>
        <w:jc w:val="left"/>
        <w:outlineLvl w:val="0"/>
        <w:rPr>
          <w:rFonts w:ascii="Times New Roman" w:hAnsi="Times New Roman" w:eastAsia="宋体" w:cs="宋体"/>
          <w:color w:val="auto"/>
          <w:highlight w:val="none"/>
          <w:shd w:val="clear" w:color="auto" w:fill="auto"/>
        </w:rPr>
      </w:pPr>
      <w:r>
        <w:rPr>
          <w:rFonts w:hint="eastAsia" w:ascii="Times New Roman" w:hAnsi="Times New Roman" w:eastAsia="宋体" w:cs="宋体"/>
          <w:color w:val="auto"/>
          <w:kern w:val="10"/>
          <w:szCs w:val="21"/>
          <w:highlight w:val="none"/>
          <w:shd w:val="clear" w:color="auto" w:fill="auto"/>
        </w:rPr>
        <w:t>1.1工程质量标准必须符合国家现行有关工程施工质量验收规范和标准的要求，有关工程质量的特殊标准或要求由合同当事人在专用合同条款中约定；满足合同，设计（施工图、图纸会审纪要、书面变更文件）等要求。</w:t>
      </w:r>
    </w:p>
    <w:p w14:paraId="31B27360">
      <w:pPr>
        <w:widowControl/>
        <w:spacing w:line="400" w:lineRule="exact"/>
        <w:ind w:firstLine="420" w:firstLineChars="200"/>
        <w:jc w:val="left"/>
        <w:outlineLvl w:val="0"/>
        <w:rPr>
          <w:rFonts w:ascii="Times New Roman" w:hAnsi="Times New Roman" w:eastAsia="宋体" w:cs="宋体"/>
          <w:color w:val="auto"/>
          <w:highlight w:val="none"/>
          <w:shd w:val="clear" w:color="auto" w:fill="auto"/>
        </w:rPr>
      </w:pPr>
      <w:r>
        <w:rPr>
          <w:rFonts w:hint="eastAsia" w:ascii="Times New Roman" w:hAnsi="Times New Roman" w:eastAsia="宋体" w:cs="宋体"/>
          <w:color w:val="auto"/>
          <w:kern w:val="10"/>
          <w:szCs w:val="21"/>
          <w:highlight w:val="none"/>
          <w:shd w:val="clear" w:color="auto" w:fill="auto"/>
        </w:rPr>
        <w:t xml:space="preserve">1.2 符合承包合同约定的相关质量标准。  </w:t>
      </w:r>
    </w:p>
    <w:p w14:paraId="6DBE6228">
      <w:pPr>
        <w:widowControl/>
        <w:spacing w:line="400" w:lineRule="exact"/>
        <w:ind w:firstLine="420" w:firstLineChars="200"/>
        <w:jc w:val="left"/>
        <w:outlineLvl w:val="0"/>
        <w:rPr>
          <w:rFonts w:ascii="Times New Roman" w:hAnsi="Times New Roman" w:eastAsia="宋体" w:cs="宋体"/>
          <w:color w:val="auto"/>
          <w:highlight w:val="none"/>
          <w:shd w:val="clear" w:color="auto" w:fill="auto"/>
        </w:rPr>
      </w:pPr>
      <w:r>
        <w:rPr>
          <w:rFonts w:hint="eastAsia" w:ascii="Times New Roman" w:hAnsi="Times New Roman" w:eastAsia="宋体" w:cs="宋体"/>
          <w:color w:val="auto"/>
          <w:kern w:val="10"/>
          <w:szCs w:val="21"/>
          <w:highlight w:val="none"/>
          <w:shd w:val="clear" w:color="auto" w:fill="auto"/>
        </w:rPr>
        <w:t>1.3 满足</w:t>
      </w:r>
      <w:r>
        <w:rPr>
          <w:rFonts w:hint="eastAsia" w:ascii="Times New Roman" w:hAnsi="Times New Roman" w:eastAsia="宋体" w:cs="宋体"/>
          <w:color w:val="auto"/>
          <w:kern w:val="10"/>
          <w:szCs w:val="21"/>
          <w:highlight w:val="none"/>
          <w:shd w:val="clear" w:color="auto" w:fill="auto"/>
          <w:lang w:eastAsia="zh-CN"/>
        </w:rPr>
        <w:t>甲方</w:t>
      </w:r>
      <w:r>
        <w:rPr>
          <w:rFonts w:hint="eastAsia" w:ascii="Times New Roman" w:hAnsi="Times New Roman" w:eastAsia="宋体" w:cs="宋体"/>
          <w:color w:val="auto"/>
          <w:kern w:val="10"/>
          <w:szCs w:val="21"/>
          <w:highlight w:val="none"/>
          <w:shd w:val="clear" w:color="auto" w:fill="auto"/>
        </w:rPr>
        <w:t>质量管理制度要求，达到质量专项检查标准。</w:t>
      </w:r>
    </w:p>
    <w:p w14:paraId="3AEFBFDC">
      <w:pPr>
        <w:widowControl/>
        <w:spacing w:line="400" w:lineRule="exact"/>
        <w:ind w:firstLine="420" w:firstLineChars="200"/>
        <w:jc w:val="left"/>
        <w:outlineLvl w:val="0"/>
        <w:rPr>
          <w:rFonts w:ascii="Times New Roman" w:hAnsi="Times New Roman" w:eastAsia="宋体" w:cs="宋体"/>
          <w:color w:val="auto"/>
          <w:highlight w:val="none"/>
          <w:shd w:val="clear" w:color="auto" w:fill="auto"/>
        </w:rPr>
      </w:pPr>
      <w:r>
        <w:rPr>
          <w:rFonts w:hint="eastAsia" w:ascii="Times New Roman" w:hAnsi="Times New Roman" w:eastAsia="宋体" w:cs="宋体"/>
          <w:color w:val="auto"/>
          <w:kern w:val="10"/>
          <w:szCs w:val="21"/>
          <w:highlight w:val="none"/>
          <w:shd w:val="clear" w:color="auto" w:fill="auto"/>
        </w:rPr>
        <w:t>二、验收要求：</w:t>
      </w:r>
    </w:p>
    <w:p w14:paraId="4C27341D">
      <w:pPr>
        <w:widowControl/>
        <w:spacing w:line="400" w:lineRule="exact"/>
        <w:ind w:firstLine="420" w:firstLineChars="200"/>
        <w:jc w:val="left"/>
        <w:outlineLvl w:val="0"/>
        <w:rPr>
          <w:rFonts w:ascii="Times New Roman" w:hAnsi="Times New Roman" w:eastAsia="宋体" w:cs="宋体"/>
          <w:color w:val="auto"/>
          <w:highlight w:val="none"/>
          <w:shd w:val="clear" w:color="auto" w:fill="auto"/>
        </w:rPr>
      </w:pPr>
      <w:r>
        <w:rPr>
          <w:rFonts w:hint="eastAsia" w:ascii="Times New Roman" w:hAnsi="Times New Roman" w:eastAsia="宋体" w:cs="宋体"/>
          <w:color w:val="auto"/>
          <w:kern w:val="10"/>
          <w:szCs w:val="21"/>
          <w:highlight w:val="none"/>
          <w:shd w:val="clear" w:color="auto" w:fill="auto"/>
        </w:rPr>
        <w:t>2.1严格执行质量</w:t>
      </w:r>
      <w:r>
        <w:rPr>
          <w:rFonts w:hint="eastAsia" w:ascii="Times New Roman" w:hAnsi="Times New Roman" w:eastAsia="宋体" w:cs="宋体"/>
          <w:color w:val="auto"/>
          <w:kern w:val="10"/>
          <w:szCs w:val="21"/>
          <w:highlight w:val="none"/>
          <w:shd w:val="clear" w:color="auto" w:fill="auto"/>
          <w:lang w:eastAsia="zh-CN"/>
        </w:rPr>
        <w:t>“</w:t>
      </w:r>
      <w:r>
        <w:rPr>
          <w:rFonts w:hint="eastAsia" w:ascii="Times New Roman" w:hAnsi="Times New Roman" w:eastAsia="宋体" w:cs="宋体"/>
          <w:color w:val="auto"/>
          <w:kern w:val="10"/>
          <w:szCs w:val="21"/>
          <w:highlight w:val="none"/>
          <w:shd w:val="clear" w:color="auto" w:fill="auto"/>
        </w:rPr>
        <w:t>三检”制度及工序交接制度，每道工序完成后，</w:t>
      </w:r>
      <w:r>
        <w:rPr>
          <w:rFonts w:hint="eastAsia" w:ascii="Times New Roman" w:hAnsi="Times New Roman" w:eastAsia="宋体" w:cs="宋体"/>
          <w:color w:val="auto"/>
          <w:kern w:val="10"/>
          <w:szCs w:val="21"/>
          <w:highlight w:val="none"/>
          <w:shd w:val="clear" w:color="auto" w:fill="auto"/>
          <w:lang w:eastAsia="zh-CN"/>
        </w:rPr>
        <w:t>乙方</w:t>
      </w:r>
      <w:r>
        <w:rPr>
          <w:rFonts w:hint="eastAsia" w:ascii="Times New Roman" w:hAnsi="Times New Roman" w:eastAsia="宋体" w:cs="宋体"/>
          <w:color w:val="auto"/>
          <w:kern w:val="10"/>
          <w:szCs w:val="21"/>
          <w:highlight w:val="none"/>
          <w:shd w:val="clear" w:color="auto" w:fill="auto"/>
        </w:rPr>
        <w:t>根据</w:t>
      </w:r>
      <w:r>
        <w:rPr>
          <w:rFonts w:hint="eastAsia" w:ascii="Times New Roman" w:hAnsi="Times New Roman" w:eastAsia="宋体" w:cs="宋体"/>
          <w:color w:val="auto"/>
          <w:kern w:val="10"/>
          <w:szCs w:val="21"/>
          <w:highlight w:val="none"/>
          <w:shd w:val="clear" w:color="auto" w:fill="auto"/>
          <w:lang w:eastAsia="zh-CN"/>
        </w:rPr>
        <w:t>甲方</w:t>
      </w:r>
      <w:r>
        <w:rPr>
          <w:rFonts w:hint="eastAsia" w:ascii="Times New Roman" w:hAnsi="Times New Roman" w:eastAsia="宋体" w:cs="宋体"/>
          <w:color w:val="auto"/>
          <w:kern w:val="10"/>
          <w:szCs w:val="21"/>
          <w:highlight w:val="none"/>
          <w:shd w:val="clear" w:color="auto" w:fill="auto"/>
        </w:rPr>
        <w:t>要求，首先进行自检、互检、交接检并做好记录，合格后方可要求</w:t>
      </w:r>
      <w:r>
        <w:rPr>
          <w:rFonts w:hint="eastAsia" w:ascii="Times New Roman" w:hAnsi="Times New Roman" w:eastAsia="宋体" w:cs="宋体"/>
          <w:color w:val="auto"/>
          <w:kern w:val="10"/>
          <w:szCs w:val="21"/>
          <w:highlight w:val="none"/>
          <w:shd w:val="clear" w:color="auto" w:fill="auto"/>
          <w:lang w:eastAsia="zh-CN"/>
        </w:rPr>
        <w:t>甲方</w:t>
      </w:r>
      <w:r>
        <w:rPr>
          <w:rFonts w:hint="eastAsia" w:ascii="Times New Roman" w:hAnsi="Times New Roman" w:eastAsia="宋体" w:cs="宋体"/>
          <w:color w:val="auto"/>
          <w:kern w:val="10"/>
          <w:szCs w:val="21"/>
          <w:highlight w:val="none"/>
          <w:shd w:val="clear" w:color="auto" w:fill="auto"/>
        </w:rPr>
        <w:t>质检员、工长验收，对不进行</w:t>
      </w:r>
      <w:r>
        <w:rPr>
          <w:rFonts w:hint="eastAsia" w:ascii="Times New Roman" w:hAnsi="Times New Roman" w:eastAsia="宋体" w:cs="宋体"/>
          <w:color w:val="auto"/>
          <w:kern w:val="10"/>
          <w:szCs w:val="21"/>
          <w:highlight w:val="none"/>
          <w:shd w:val="clear" w:color="auto" w:fill="auto"/>
          <w:lang w:eastAsia="zh-CN"/>
        </w:rPr>
        <w:t>“</w:t>
      </w:r>
      <w:r>
        <w:rPr>
          <w:rFonts w:hint="eastAsia" w:ascii="Times New Roman" w:hAnsi="Times New Roman" w:eastAsia="宋体" w:cs="宋体"/>
          <w:color w:val="auto"/>
          <w:kern w:val="10"/>
          <w:szCs w:val="21"/>
          <w:highlight w:val="none"/>
          <w:shd w:val="clear" w:color="auto" w:fill="auto"/>
        </w:rPr>
        <w:t>三检”或无记录即要求</w:t>
      </w:r>
      <w:r>
        <w:rPr>
          <w:rFonts w:hint="eastAsia" w:ascii="Times New Roman" w:hAnsi="Times New Roman" w:eastAsia="宋体" w:cs="宋体"/>
          <w:color w:val="auto"/>
          <w:kern w:val="10"/>
          <w:szCs w:val="21"/>
          <w:highlight w:val="none"/>
          <w:shd w:val="clear" w:color="auto" w:fill="auto"/>
          <w:lang w:eastAsia="zh-CN"/>
        </w:rPr>
        <w:t>甲方</w:t>
      </w:r>
      <w:r>
        <w:rPr>
          <w:rFonts w:hint="eastAsia" w:ascii="Times New Roman" w:hAnsi="Times New Roman" w:eastAsia="宋体" w:cs="宋体"/>
          <w:color w:val="auto"/>
          <w:kern w:val="10"/>
          <w:szCs w:val="21"/>
          <w:highlight w:val="none"/>
          <w:shd w:val="clear" w:color="auto" w:fill="auto"/>
        </w:rPr>
        <w:t>验收的，每发生一次，承担违约金 5000元，或记录与事实不符即要求验收的，</w:t>
      </w:r>
      <w:r>
        <w:rPr>
          <w:rFonts w:hint="eastAsia" w:ascii="Times New Roman" w:hAnsi="Times New Roman" w:eastAsia="宋体" w:cs="宋体"/>
          <w:color w:val="auto"/>
          <w:kern w:val="10"/>
          <w:szCs w:val="21"/>
          <w:highlight w:val="none"/>
          <w:shd w:val="clear" w:color="auto" w:fill="auto"/>
          <w:lang w:eastAsia="zh-CN"/>
        </w:rPr>
        <w:t>甲方</w:t>
      </w:r>
      <w:r>
        <w:rPr>
          <w:rFonts w:hint="eastAsia" w:ascii="Times New Roman" w:hAnsi="Times New Roman" w:eastAsia="宋体" w:cs="宋体"/>
          <w:color w:val="auto"/>
          <w:kern w:val="10"/>
          <w:szCs w:val="21"/>
          <w:highlight w:val="none"/>
          <w:shd w:val="clear" w:color="auto" w:fill="auto"/>
        </w:rPr>
        <w:t>有权取消该部位工序结算。</w:t>
      </w:r>
    </w:p>
    <w:p w14:paraId="389F9713">
      <w:pPr>
        <w:widowControl/>
        <w:spacing w:line="400" w:lineRule="exact"/>
        <w:ind w:firstLine="420" w:firstLineChars="200"/>
        <w:jc w:val="left"/>
        <w:outlineLvl w:val="0"/>
        <w:rPr>
          <w:rFonts w:ascii="Times New Roman" w:hAnsi="Times New Roman" w:eastAsia="宋体" w:cs="宋体"/>
          <w:color w:val="auto"/>
          <w:highlight w:val="none"/>
          <w:shd w:val="clear" w:color="auto" w:fill="auto"/>
        </w:rPr>
      </w:pPr>
      <w:r>
        <w:rPr>
          <w:rFonts w:hint="eastAsia" w:ascii="Times New Roman" w:hAnsi="Times New Roman" w:eastAsia="宋体" w:cs="宋体"/>
          <w:color w:val="auto"/>
          <w:kern w:val="10"/>
          <w:szCs w:val="21"/>
          <w:highlight w:val="none"/>
          <w:shd w:val="clear" w:color="auto" w:fill="auto"/>
        </w:rPr>
        <w:t>2.2</w:t>
      </w:r>
      <w:r>
        <w:rPr>
          <w:rFonts w:hint="eastAsia" w:ascii="Times New Roman" w:hAnsi="Times New Roman" w:eastAsia="宋体" w:cs="宋体"/>
          <w:color w:val="auto"/>
          <w:kern w:val="10"/>
          <w:szCs w:val="21"/>
          <w:highlight w:val="none"/>
          <w:shd w:val="clear" w:color="auto" w:fill="auto"/>
          <w:lang w:eastAsia="zh-CN"/>
        </w:rPr>
        <w:t>甲方</w:t>
      </w:r>
      <w:r>
        <w:rPr>
          <w:rFonts w:hint="eastAsia" w:ascii="Times New Roman" w:hAnsi="Times New Roman" w:eastAsia="宋体" w:cs="宋体"/>
          <w:color w:val="auto"/>
          <w:kern w:val="10"/>
          <w:szCs w:val="21"/>
          <w:highlight w:val="none"/>
          <w:shd w:val="clear" w:color="auto" w:fill="auto"/>
        </w:rPr>
        <w:t>在施工过程中或验收评定时提出的整改意见，</w:t>
      </w:r>
      <w:r>
        <w:rPr>
          <w:rFonts w:hint="eastAsia" w:ascii="Times New Roman" w:hAnsi="Times New Roman" w:eastAsia="宋体" w:cs="宋体"/>
          <w:color w:val="auto"/>
          <w:kern w:val="10"/>
          <w:szCs w:val="21"/>
          <w:highlight w:val="none"/>
          <w:shd w:val="clear" w:color="auto" w:fill="auto"/>
          <w:lang w:eastAsia="zh-CN"/>
        </w:rPr>
        <w:t>乙方</w:t>
      </w:r>
      <w:r>
        <w:rPr>
          <w:rFonts w:hint="eastAsia" w:ascii="Times New Roman" w:hAnsi="Times New Roman" w:eastAsia="宋体" w:cs="宋体"/>
          <w:color w:val="auto"/>
          <w:kern w:val="10"/>
          <w:szCs w:val="21"/>
          <w:highlight w:val="none"/>
          <w:shd w:val="clear" w:color="auto" w:fill="auto"/>
        </w:rPr>
        <w:t>必须照章执行，对拒不执行整改意见或整改不及时的或整改仍达不到质量要求的，每次扣除违约金5000元。</w:t>
      </w:r>
    </w:p>
    <w:p w14:paraId="23DEC196">
      <w:pPr>
        <w:widowControl/>
        <w:spacing w:line="400" w:lineRule="exact"/>
        <w:ind w:firstLine="420" w:firstLineChars="200"/>
        <w:jc w:val="left"/>
        <w:outlineLvl w:val="0"/>
        <w:rPr>
          <w:rFonts w:ascii="Times New Roman" w:hAnsi="Times New Roman" w:eastAsia="宋体" w:cs="宋体"/>
          <w:color w:val="auto"/>
          <w:highlight w:val="none"/>
          <w:shd w:val="clear" w:color="auto" w:fill="auto"/>
        </w:rPr>
      </w:pPr>
      <w:r>
        <w:rPr>
          <w:rFonts w:hint="eastAsia" w:ascii="Times New Roman" w:hAnsi="Times New Roman" w:eastAsia="宋体" w:cs="宋体"/>
          <w:color w:val="auto"/>
          <w:kern w:val="10"/>
          <w:szCs w:val="21"/>
          <w:highlight w:val="none"/>
          <w:shd w:val="clear" w:color="auto" w:fill="auto"/>
        </w:rPr>
        <w:t>2.3</w:t>
      </w:r>
      <w:r>
        <w:rPr>
          <w:rFonts w:hint="eastAsia" w:ascii="Times New Roman" w:hAnsi="Times New Roman" w:eastAsia="宋体" w:cs="宋体"/>
          <w:color w:val="auto"/>
          <w:kern w:val="10"/>
          <w:szCs w:val="21"/>
          <w:highlight w:val="none"/>
          <w:shd w:val="clear" w:color="auto" w:fill="auto"/>
          <w:lang w:eastAsia="zh-CN"/>
        </w:rPr>
        <w:t>乙方</w:t>
      </w:r>
      <w:r>
        <w:rPr>
          <w:rFonts w:hint="eastAsia" w:ascii="Times New Roman" w:hAnsi="Times New Roman" w:eastAsia="宋体" w:cs="宋体"/>
          <w:color w:val="auto"/>
          <w:kern w:val="10"/>
          <w:szCs w:val="21"/>
          <w:highlight w:val="none"/>
          <w:shd w:val="clear" w:color="auto" w:fill="auto"/>
        </w:rPr>
        <w:t>按照设计图纸、变更通知、施工规范、施工组织设计方案及有关规定施工，并对所有作业人员进行技术（安全）交底，每人签字，否则承担违约金每人次100元人民币；施工过程中</w:t>
      </w:r>
      <w:r>
        <w:rPr>
          <w:rFonts w:hint="eastAsia" w:ascii="Times New Roman" w:hAnsi="Times New Roman" w:eastAsia="宋体" w:cs="宋体"/>
          <w:color w:val="auto"/>
          <w:kern w:val="10"/>
          <w:szCs w:val="21"/>
          <w:highlight w:val="none"/>
          <w:shd w:val="clear" w:color="auto" w:fill="auto"/>
          <w:lang w:eastAsia="zh-CN"/>
        </w:rPr>
        <w:t>乙方</w:t>
      </w:r>
      <w:r>
        <w:rPr>
          <w:rFonts w:hint="eastAsia" w:ascii="Times New Roman" w:hAnsi="Times New Roman" w:eastAsia="宋体" w:cs="宋体"/>
          <w:color w:val="auto"/>
          <w:kern w:val="10"/>
          <w:szCs w:val="21"/>
          <w:highlight w:val="none"/>
          <w:shd w:val="clear" w:color="auto" w:fill="auto"/>
        </w:rPr>
        <w:t>必须服从</w:t>
      </w:r>
      <w:r>
        <w:rPr>
          <w:rFonts w:hint="eastAsia" w:ascii="Times New Roman" w:hAnsi="Times New Roman" w:eastAsia="宋体" w:cs="宋体"/>
          <w:color w:val="auto"/>
          <w:kern w:val="10"/>
          <w:szCs w:val="21"/>
          <w:highlight w:val="none"/>
          <w:shd w:val="clear" w:color="auto" w:fill="auto"/>
          <w:lang w:eastAsia="zh-CN"/>
        </w:rPr>
        <w:t>甲方</w:t>
      </w:r>
      <w:r>
        <w:rPr>
          <w:rFonts w:hint="eastAsia" w:ascii="Times New Roman" w:hAnsi="Times New Roman" w:eastAsia="宋体" w:cs="宋体"/>
          <w:color w:val="auto"/>
          <w:kern w:val="10"/>
          <w:szCs w:val="21"/>
          <w:highlight w:val="none"/>
          <w:shd w:val="clear" w:color="auto" w:fill="auto"/>
        </w:rPr>
        <w:t>指挥，严把质量关。</w:t>
      </w:r>
      <w:r>
        <w:rPr>
          <w:rFonts w:hint="eastAsia" w:ascii="Times New Roman" w:hAnsi="Times New Roman" w:eastAsia="宋体" w:cs="宋体"/>
          <w:color w:val="auto"/>
          <w:kern w:val="10"/>
          <w:szCs w:val="21"/>
          <w:highlight w:val="none"/>
          <w:shd w:val="clear" w:color="auto" w:fill="auto"/>
          <w:lang w:eastAsia="zh-CN"/>
        </w:rPr>
        <w:t>乙方</w:t>
      </w:r>
      <w:r>
        <w:rPr>
          <w:rFonts w:hint="eastAsia" w:ascii="Times New Roman" w:hAnsi="Times New Roman" w:eastAsia="宋体" w:cs="宋体"/>
          <w:color w:val="auto"/>
          <w:kern w:val="10"/>
          <w:szCs w:val="21"/>
          <w:highlight w:val="none"/>
          <w:shd w:val="clear" w:color="auto" w:fill="auto"/>
        </w:rPr>
        <w:t>应设专职管理人员、质检员，及时进行班组内部自检、互检，凡质量达不到约定的质量标准，</w:t>
      </w:r>
      <w:r>
        <w:rPr>
          <w:rFonts w:hint="eastAsia" w:ascii="Times New Roman" w:hAnsi="Times New Roman" w:eastAsia="宋体" w:cs="宋体"/>
          <w:color w:val="auto"/>
          <w:kern w:val="10"/>
          <w:szCs w:val="21"/>
          <w:highlight w:val="none"/>
          <w:shd w:val="clear" w:color="auto" w:fill="auto"/>
          <w:lang w:eastAsia="zh-CN"/>
        </w:rPr>
        <w:t>乙方</w:t>
      </w:r>
      <w:r>
        <w:rPr>
          <w:rFonts w:hint="eastAsia" w:ascii="Times New Roman" w:hAnsi="Times New Roman" w:eastAsia="宋体" w:cs="宋体"/>
          <w:color w:val="auto"/>
          <w:kern w:val="10"/>
          <w:szCs w:val="21"/>
          <w:highlight w:val="none"/>
          <w:shd w:val="clear" w:color="auto" w:fill="auto"/>
        </w:rPr>
        <w:t>必须及时整改，以满足质量标准要求，返工所发生的费用均由</w:t>
      </w:r>
      <w:r>
        <w:rPr>
          <w:rFonts w:hint="eastAsia" w:ascii="Times New Roman" w:hAnsi="Times New Roman" w:eastAsia="宋体" w:cs="宋体"/>
          <w:color w:val="auto"/>
          <w:kern w:val="10"/>
          <w:szCs w:val="21"/>
          <w:highlight w:val="none"/>
          <w:shd w:val="clear" w:color="auto" w:fill="auto"/>
          <w:lang w:eastAsia="zh-CN"/>
        </w:rPr>
        <w:t>乙方</w:t>
      </w:r>
      <w:r>
        <w:rPr>
          <w:rFonts w:hint="eastAsia" w:ascii="Times New Roman" w:hAnsi="Times New Roman" w:eastAsia="宋体" w:cs="宋体"/>
          <w:color w:val="auto"/>
          <w:kern w:val="10"/>
          <w:szCs w:val="21"/>
          <w:highlight w:val="none"/>
          <w:shd w:val="clear" w:color="auto" w:fill="auto"/>
        </w:rPr>
        <w:t>全部承担，且工期不予顺延，质量未达到约定标准的分项工程不予结算，同时，</w:t>
      </w:r>
      <w:r>
        <w:rPr>
          <w:rFonts w:hint="eastAsia" w:ascii="Times New Roman" w:hAnsi="Times New Roman" w:eastAsia="宋体" w:cs="宋体"/>
          <w:color w:val="auto"/>
          <w:kern w:val="10"/>
          <w:szCs w:val="21"/>
          <w:highlight w:val="none"/>
          <w:shd w:val="clear" w:color="auto" w:fill="auto"/>
          <w:lang w:eastAsia="zh-CN"/>
        </w:rPr>
        <w:t>甲方</w:t>
      </w:r>
      <w:r>
        <w:rPr>
          <w:rFonts w:hint="eastAsia" w:ascii="Times New Roman" w:hAnsi="Times New Roman" w:eastAsia="宋体" w:cs="宋体"/>
          <w:color w:val="auto"/>
          <w:kern w:val="10"/>
          <w:szCs w:val="21"/>
          <w:highlight w:val="none"/>
          <w:shd w:val="clear" w:color="auto" w:fill="auto"/>
        </w:rPr>
        <w:t>有权拒付该部分的人工费，因此造成的损失均由</w:t>
      </w:r>
      <w:r>
        <w:rPr>
          <w:rFonts w:hint="eastAsia" w:ascii="Times New Roman" w:hAnsi="Times New Roman" w:eastAsia="宋体" w:cs="宋体"/>
          <w:color w:val="auto"/>
          <w:kern w:val="10"/>
          <w:szCs w:val="21"/>
          <w:highlight w:val="none"/>
          <w:shd w:val="clear" w:color="auto" w:fill="auto"/>
          <w:lang w:eastAsia="zh-CN"/>
        </w:rPr>
        <w:t>乙方</w:t>
      </w:r>
      <w:r>
        <w:rPr>
          <w:rFonts w:hint="eastAsia" w:ascii="Times New Roman" w:hAnsi="Times New Roman" w:eastAsia="宋体" w:cs="宋体"/>
          <w:color w:val="auto"/>
          <w:kern w:val="10"/>
          <w:szCs w:val="21"/>
          <w:highlight w:val="none"/>
          <w:shd w:val="clear" w:color="auto" w:fill="auto"/>
        </w:rPr>
        <w:t>承担，款项由</w:t>
      </w:r>
      <w:r>
        <w:rPr>
          <w:rFonts w:hint="eastAsia" w:ascii="Times New Roman" w:hAnsi="Times New Roman" w:eastAsia="宋体" w:cs="宋体"/>
          <w:color w:val="auto"/>
          <w:kern w:val="10"/>
          <w:szCs w:val="21"/>
          <w:highlight w:val="none"/>
          <w:shd w:val="clear" w:color="auto" w:fill="auto"/>
          <w:lang w:eastAsia="zh-CN"/>
        </w:rPr>
        <w:t>甲方</w:t>
      </w:r>
      <w:r>
        <w:rPr>
          <w:rFonts w:hint="eastAsia" w:ascii="Times New Roman" w:hAnsi="Times New Roman" w:eastAsia="宋体" w:cs="宋体"/>
          <w:color w:val="auto"/>
          <w:kern w:val="10"/>
          <w:szCs w:val="21"/>
          <w:highlight w:val="none"/>
          <w:shd w:val="clear" w:color="auto" w:fill="auto"/>
        </w:rPr>
        <w:t>直接在支付</w:t>
      </w:r>
      <w:r>
        <w:rPr>
          <w:rFonts w:hint="eastAsia" w:ascii="Times New Roman" w:hAnsi="Times New Roman" w:eastAsia="宋体" w:cs="宋体"/>
          <w:color w:val="auto"/>
          <w:kern w:val="10"/>
          <w:szCs w:val="21"/>
          <w:highlight w:val="none"/>
          <w:shd w:val="clear" w:color="auto" w:fill="auto"/>
          <w:lang w:eastAsia="zh-CN"/>
        </w:rPr>
        <w:t>乙方</w:t>
      </w:r>
      <w:r>
        <w:rPr>
          <w:rFonts w:hint="eastAsia" w:ascii="Times New Roman" w:hAnsi="Times New Roman" w:eastAsia="宋体" w:cs="宋体"/>
          <w:color w:val="auto"/>
          <w:kern w:val="10"/>
          <w:szCs w:val="21"/>
          <w:highlight w:val="none"/>
          <w:shd w:val="clear" w:color="auto" w:fill="auto"/>
        </w:rPr>
        <w:t>工程款中扣除。</w:t>
      </w:r>
    </w:p>
    <w:p w14:paraId="4686AC5B">
      <w:pPr>
        <w:widowControl/>
        <w:spacing w:line="400" w:lineRule="exact"/>
        <w:ind w:firstLine="420" w:firstLineChars="200"/>
        <w:jc w:val="left"/>
        <w:outlineLvl w:val="0"/>
        <w:rPr>
          <w:rFonts w:ascii="Times New Roman" w:hAnsi="Times New Roman" w:eastAsia="宋体" w:cs="宋体"/>
          <w:color w:val="auto"/>
          <w:highlight w:val="none"/>
          <w:shd w:val="clear" w:color="auto" w:fill="auto"/>
        </w:rPr>
      </w:pPr>
      <w:r>
        <w:rPr>
          <w:rFonts w:hint="eastAsia" w:ascii="Times New Roman" w:hAnsi="Times New Roman" w:eastAsia="宋体" w:cs="宋体"/>
          <w:color w:val="auto"/>
          <w:kern w:val="10"/>
          <w:szCs w:val="21"/>
          <w:highlight w:val="none"/>
          <w:shd w:val="clear" w:color="auto" w:fill="auto"/>
        </w:rPr>
        <w:t>三、</w:t>
      </w:r>
      <w:r>
        <w:rPr>
          <w:rFonts w:hint="eastAsia" w:ascii="Times New Roman" w:hAnsi="Times New Roman" w:eastAsia="宋体" w:cs="宋体"/>
          <w:color w:val="auto"/>
          <w:kern w:val="10"/>
          <w:szCs w:val="21"/>
          <w:highlight w:val="none"/>
          <w:shd w:val="clear" w:color="auto" w:fill="auto"/>
          <w:lang w:eastAsia="zh-CN"/>
        </w:rPr>
        <w:t>甲方</w:t>
      </w:r>
      <w:r>
        <w:rPr>
          <w:rFonts w:hint="eastAsia" w:ascii="Times New Roman" w:hAnsi="Times New Roman" w:eastAsia="宋体" w:cs="宋体"/>
          <w:color w:val="auto"/>
          <w:kern w:val="10"/>
          <w:szCs w:val="21"/>
          <w:highlight w:val="none"/>
          <w:shd w:val="clear" w:color="auto" w:fill="auto"/>
        </w:rPr>
        <w:t>的权利与义务</w:t>
      </w:r>
    </w:p>
    <w:p w14:paraId="6A8C532B">
      <w:pPr>
        <w:widowControl/>
        <w:spacing w:line="400" w:lineRule="exact"/>
        <w:ind w:firstLine="420" w:firstLineChars="200"/>
        <w:jc w:val="left"/>
        <w:outlineLvl w:val="0"/>
        <w:rPr>
          <w:rFonts w:ascii="Times New Roman" w:hAnsi="Times New Roman" w:eastAsia="宋体" w:cs="宋体"/>
          <w:color w:val="auto"/>
          <w:highlight w:val="none"/>
          <w:shd w:val="clear" w:color="auto" w:fill="auto"/>
        </w:rPr>
      </w:pPr>
      <w:r>
        <w:rPr>
          <w:rFonts w:hint="eastAsia" w:ascii="Times New Roman" w:hAnsi="Times New Roman" w:eastAsia="宋体" w:cs="宋体"/>
          <w:color w:val="auto"/>
          <w:kern w:val="10"/>
          <w:szCs w:val="21"/>
          <w:highlight w:val="none"/>
          <w:shd w:val="clear" w:color="auto" w:fill="auto"/>
        </w:rPr>
        <w:t>3.1</w:t>
      </w:r>
      <w:r>
        <w:rPr>
          <w:rFonts w:hint="eastAsia" w:ascii="Times New Roman" w:hAnsi="Times New Roman" w:eastAsia="宋体" w:cs="宋体"/>
          <w:color w:val="auto"/>
          <w:kern w:val="10"/>
          <w:szCs w:val="21"/>
          <w:highlight w:val="none"/>
          <w:shd w:val="clear" w:color="auto" w:fill="auto"/>
          <w:lang w:eastAsia="zh-CN"/>
        </w:rPr>
        <w:t>甲方</w:t>
      </w:r>
      <w:r>
        <w:rPr>
          <w:rFonts w:hint="eastAsia" w:ascii="Times New Roman" w:hAnsi="Times New Roman" w:eastAsia="宋体" w:cs="宋体"/>
          <w:color w:val="auto"/>
          <w:kern w:val="10"/>
          <w:szCs w:val="21"/>
          <w:highlight w:val="none"/>
          <w:shd w:val="clear" w:color="auto" w:fill="auto"/>
        </w:rPr>
        <w:t>项目经理/项目执行经理，落实项目质量管理工作。</w:t>
      </w:r>
    </w:p>
    <w:p w14:paraId="1853FA8D">
      <w:pPr>
        <w:widowControl/>
        <w:spacing w:line="400" w:lineRule="exact"/>
        <w:ind w:firstLine="420" w:firstLineChars="200"/>
        <w:jc w:val="left"/>
        <w:outlineLvl w:val="0"/>
        <w:rPr>
          <w:rFonts w:ascii="Times New Roman" w:hAnsi="Times New Roman" w:eastAsia="宋体" w:cs="宋体"/>
          <w:color w:val="auto"/>
          <w:highlight w:val="none"/>
          <w:shd w:val="clear" w:color="auto" w:fill="auto"/>
        </w:rPr>
      </w:pPr>
      <w:r>
        <w:rPr>
          <w:rFonts w:hint="eastAsia" w:ascii="Times New Roman" w:hAnsi="Times New Roman" w:eastAsia="宋体" w:cs="宋体"/>
          <w:color w:val="auto"/>
          <w:kern w:val="10"/>
          <w:szCs w:val="21"/>
          <w:highlight w:val="none"/>
          <w:shd w:val="clear" w:color="auto" w:fill="auto"/>
        </w:rPr>
        <w:t>3.2</w:t>
      </w:r>
      <w:r>
        <w:rPr>
          <w:rFonts w:hint="eastAsia" w:ascii="Times New Roman" w:hAnsi="Times New Roman" w:eastAsia="宋体" w:cs="宋体"/>
          <w:color w:val="auto"/>
          <w:kern w:val="10"/>
          <w:szCs w:val="21"/>
          <w:highlight w:val="none"/>
          <w:shd w:val="clear" w:color="auto" w:fill="auto"/>
          <w:lang w:eastAsia="zh-CN"/>
        </w:rPr>
        <w:t>甲方</w:t>
      </w:r>
      <w:r>
        <w:rPr>
          <w:rFonts w:hint="eastAsia" w:ascii="Times New Roman" w:hAnsi="Times New Roman" w:eastAsia="宋体" w:cs="宋体"/>
          <w:color w:val="auto"/>
          <w:kern w:val="10"/>
          <w:szCs w:val="21"/>
          <w:highlight w:val="none"/>
          <w:shd w:val="clear" w:color="auto" w:fill="auto"/>
        </w:rPr>
        <w:t>应向</w:t>
      </w:r>
      <w:r>
        <w:rPr>
          <w:rFonts w:hint="eastAsia" w:ascii="Times New Roman" w:hAnsi="Times New Roman" w:eastAsia="宋体" w:cs="宋体"/>
          <w:color w:val="auto"/>
          <w:kern w:val="10"/>
          <w:szCs w:val="21"/>
          <w:highlight w:val="none"/>
          <w:shd w:val="clear" w:color="auto" w:fill="auto"/>
          <w:lang w:eastAsia="zh-CN"/>
        </w:rPr>
        <w:t>乙方</w:t>
      </w:r>
      <w:r>
        <w:rPr>
          <w:rFonts w:hint="eastAsia" w:ascii="Times New Roman" w:hAnsi="Times New Roman" w:eastAsia="宋体" w:cs="宋体"/>
          <w:color w:val="auto"/>
          <w:kern w:val="10"/>
          <w:szCs w:val="21"/>
          <w:highlight w:val="none"/>
          <w:shd w:val="clear" w:color="auto" w:fill="auto"/>
        </w:rPr>
        <w:t>提供有关技术配合服务。包括主控制线，主标高点，施工图，施工方案及安全技术交底。</w:t>
      </w:r>
    </w:p>
    <w:p w14:paraId="1505FAC9">
      <w:pPr>
        <w:widowControl/>
        <w:spacing w:line="400" w:lineRule="exact"/>
        <w:ind w:firstLine="420" w:firstLineChars="200"/>
        <w:jc w:val="left"/>
        <w:outlineLvl w:val="0"/>
        <w:rPr>
          <w:rFonts w:ascii="Times New Roman" w:hAnsi="Times New Roman" w:eastAsia="宋体" w:cs="宋体"/>
          <w:color w:val="auto"/>
          <w:highlight w:val="none"/>
          <w:shd w:val="clear" w:color="auto" w:fill="auto"/>
        </w:rPr>
      </w:pPr>
      <w:r>
        <w:rPr>
          <w:rFonts w:hint="eastAsia" w:ascii="Times New Roman" w:hAnsi="Times New Roman" w:eastAsia="宋体" w:cs="宋体"/>
          <w:color w:val="auto"/>
          <w:kern w:val="10"/>
          <w:szCs w:val="21"/>
          <w:highlight w:val="none"/>
          <w:shd w:val="clear" w:color="auto" w:fill="auto"/>
        </w:rPr>
        <w:t xml:space="preserve">3.3 </w:t>
      </w:r>
      <w:r>
        <w:rPr>
          <w:rFonts w:hint="eastAsia" w:ascii="Times New Roman" w:hAnsi="Times New Roman" w:eastAsia="宋体" w:cs="宋体"/>
          <w:color w:val="auto"/>
          <w:kern w:val="10"/>
          <w:szCs w:val="21"/>
          <w:highlight w:val="none"/>
          <w:shd w:val="clear" w:color="auto" w:fill="auto"/>
          <w:lang w:eastAsia="zh-CN"/>
        </w:rPr>
        <w:t>甲方</w:t>
      </w:r>
      <w:r>
        <w:rPr>
          <w:rFonts w:hint="eastAsia" w:ascii="Times New Roman" w:hAnsi="Times New Roman" w:eastAsia="宋体" w:cs="宋体"/>
          <w:color w:val="auto"/>
          <w:kern w:val="10"/>
          <w:szCs w:val="21"/>
          <w:highlight w:val="none"/>
          <w:shd w:val="clear" w:color="auto" w:fill="auto"/>
        </w:rPr>
        <w:t>需及时对</w:t>
      </w:r>
      <w:r>
        <w:rPr>
          <w:rFonts w:hint="eastAsia" w:ascii="Times New Roman" w:hAnsi="Times New Roman" w:eastAsia="宋体" w:cs="宋体"/>
          <w:color w:val="auto"/>
          <w:kern w:val="10"/>
          <w:szCs w:val="21"/>
          <w:highlight w:val="none"/>
          <w:shd w:val="clear" w:color="auto" w:fill="auto"/>
          <w:lang w:eastAsia="zh-CN"/>
        </w:rPr>
        <w:t>乙方</w:t>
      </w:r>
      <w:r>
        <w:rPr>
          <w:rFonts w:hint="eastAsia" w:ascii="Times New Roman" w:hAnsi="Times New Roman" w:eastAsia="宋体" w:cs="宋体"/>
          <w:color w:val="auto"/>
          <w:kern w:val="10"/>
          <w:szCs w:val="21"/>
          <w:highlight w:val="none"/>
          <w:shd w:val="clear" w:color="auto" w:fill="auto"/>
        </w:rPr>
        <w:t>上报施工任务进行检查验收，提出整改意见。对于</w:t>
      </w:r>
      <w:r>
        <w:rPr>
          <w:rFonts w:hint="eastAsia" w:ascii="Times New Roman" w:hAnsi="Times New Roman" w:eastAsia="宋体" w:cs="宋体"/>
          <w:color w:val="auto"/>
          <w:kern w:val="10"/>
          <w:szCs w:val="21"/>
          <w:highlight w:val="none"/>
          <w:shd w:val="clear" w:color="auto" w:fill="auto"/>
          <w:lang w:eastAsia="zh-CN"/>
        </w:rPr>
        <w:t>乙方</w:t>
      </w:r>
      <w:r>
        <w:rPr>
          <w:rFonts w:hint="eastAsia" w:ascii="Times New Roman" w:hAnsi="Times New Roman" w:eastAsia="宋体" w:cs="宋体"/>
          <w:color w:val="auto"/>
          <w:kern w:val="10"/>
          <w:szCs w:val="21"/>
          <w:highlight w:val="none"/>
          <w:shd w:val="clear" w:color="auto" w:fill="auto"/>
        </w:rPr>
        <w:t>未报验或经检查不合格或未在约定期限内整改完成的施工部位有权利下达返工和停工整改命令，直至验收合格后方可进行下道工序施工。</w:t>
      </w:r>
    </w:p>
    <w:p w14:paraId="7356F967">
      <w:pPr>
        <w:widowControl/>
        <w:spacing w:line="400" w:lineRule="exact"/>
        <w:ind w:firstLine="420" w:firstLineChars="200"/>
        <w:jc w:val="left"/>
        <w:outlineLvl w:val="0"/>
        <w:rPr>
          <w:rFonts w:ascii="Times New Roman" w:hAnsi="Times New Roman" w:eastAsia="宋体" w:cs="宋体"/>
          <w:color w:val="auto"/>
          <w:highlight w:val="none"/>
          <w:shd w:val="clear" w:color="auto" w:fill="auto"/>
        </w:rPr>
      </w:pPr>
      <w:r>
        <w:rPr>
          <w:rFonts w:hint="eastAsia" w:ascii="Times New Roman" w:hAnsi="Times New Roman" w:eastAsia="宋体" w:cs="宋体"/>
          <w:color w:val="auto"/>
          <w:kern w:val="10"/>
          <w:szCs w:val="21"/>
          <w:highlight w:val="none"/>
          <w:shd w:val="clear" w:color="auto" w:fill="auto"/>
        </w:rPr>
        <w:t>3.4</w:t>
      </w:r>
      <w:r>
        <w:rPr>
          <w:rFonts w:hint="eastAsia" w:ascii="Times New Roman" w:hAnsi="Times New Roman" w:eastAsia="宋体" w:cs="宋体"/>
          <w:color w:val="auto"/>
          <w:kern w:val="10"/>
          <w:szCs w:val="21"/>
          <w:highlight w:val="none"/>
          <w:shd w:val="clear" w:color="auto" w:fill="auto"/>
          <w:lang w:eastAsia="zh-CN"/>
        </w:rPr>
        <w:t>甲方</w:t>
      </w:r>
      <w:r>
        <w:rPr>
          <w:rFonts w:hint="eastAsia" w:ascii="Times New Roman" w:hAnsi="Times New Roman" w:eastAsia="宋体" w:cs="宋体"/>
          <w:color w:val="auto"/>
          <w:kern w:val="10"/>
          <w:szCs w:val="21"/>
          <w:highlight w:val="none"/>
          <w:shd w:val="clear" w:color="auto" w:fill="auto"/>
        </w:rPr>
        <w:t>需提示并监督</w:t>
      </w:r>
      <w:r>
        <w:rPr>
          <w:rFonts w:hint="eastAsia" w:ascii="Times New Roman" w:hAnsi="Times New Roman" w:eastAsia="宋体" w:cs="宋体"/>
          <w:color w:val="auto"/>
          <w:kern w:val="10"/>
          <w:szCs w:val="21"/>
          <w:highlight w:val="none"/>
          <w:shd w:val="clear" w:color="auto" w:fill="auto"/>
          <w:lang w:eastAsia="zh-CN"/>
        </w:rPr>
        <w:t>乙方</w:t>
      </w:r>
      <w:r>
        <w:rPr>
          <w:rFonts w:hint="eastAsia" w:ascii="Times New Roman" w:hAnsi="Times New Roman" w:eastAsia="宋体" w:cs="宋体"/>
          <w:color w:val="auto"/>
          <w:kern w:val="10"/>
          <w:szCs w:val="21"/>
          <w:highlight w:val="none"/>
          <w:shd w:val="clear" w:color="auto" w:fill="auto"/>
        </w:rPr>
        <w:t>完成合同范围内的施工任务。</w:t>
      </w:r>
    </w:p>
    <w:p w14:paraId="7EE35723">
      <w:pPr>
        <w:widowControl/>
        <w:spacing w:line="400" w:lineRule="exact"/>
        <w:ind w:firstLine="420" w:firstLineChars="200"/>
        <w:jc w:val="left"/>
        <w:outlineLvl w:val="0"/>
        <w:rPr>
          <w:rFonts w:ascii="Times New Roman" w:hAnsi="Times New Roman" w:eastAsia="宋体" w:cs="宋体"/>
          <w:color w:val="auto"/>
          <w:highlight w:val="none"/>
          <w:shd w:val="clear" w:color="auto" w:fill="auto"/>
        </w:rPr>
      </w:pPr>
      <w:r>
        <w:rPr>
          <w:rFonts w:hint="eastAsia" w:ascii="Times New Roman" w:hAnsi="Times New Roman" w:eastAsia="宋体" w:cs="宋体"/>
          <w:color w:val="auto"/>
          <w:kern w:val="10"/>
          <w:szCs w:val="21"/>
          <w:highlight w:val="none"/>
          <w:shd w:val="clear" w:color="auto" w:fill="auto"/>
        </w:rPr>
        <w:t>3.5</w:t>
      </w:r>
      <w:r>
        <w:rPr>
          <w:rFonts w:hint="eastAsia" w:ascii="Times New Roman" w:hAnsi="Times New Roman" w:eastAsia="宋体" w:cs="宋体"/>
          <w:color w:val="auto"/>
          <w:kern w:val="10"/>
          <w:szCs w:val="21"/>
          <w:highlight w:val="none"/>
          <w:shd w:val="clear" w:color="auto" w:fill="auto"/>
          <w:lang w:eastAsia="zh-CN"/>
        </w:rPr>
        <w:t>乙方</w:t>
      </w:r>
      <w:r>
        <w:rPr>
          <w:rFonts w:hint="eastAsia" w:ascii="Times New Roman" w:hAnsi="Times New Roman" w:eastAsia="宋体" w:cs="宋体"/>
          <w:color w:val="auto"/>
          <w:kern w:val="10"/>
          <w:szCs w:val="21"/>
          <w:highlight w:val="none"/>
          <w:shd w:val="clear" w:color="auto" w:fill="auto"/>
        </w:rPr>
        <w:t>选用的施工班组必须经</w:t>
      </w:r>
      <w:r>
        <w:rPr>
          <w:rFonts w:hint="eastAsia" w:ascii="Times New Roman" w:hAnsi="Times New Roman" w:eastAsia="宋体" w:cs="宋体"/>
          <w:color w:val="auto"/>
          <w:kern w:val="10"/>
          <w:szCs w:val="21"/>
          <w:highlight w:val="none"/>
          <w:shd w:val="clear" w:color="auto" w:fill="auto"/>
          <w:lang w:eastAsia="zh-CN"/>
        </w:rPr>
        <w:t>甲方</w:t>
      </w:r>
      <w:r>
        <w:rPr>
          <w:rFonts w:hint="eastAsia" w:ascii="Times New Roman" w:hAnsi="Times New Roman" w:eastAsia="宋体" w:cs="宋体"/>
          <w:color w:val="auto"/>
          <w:kern w:val="10"/>
          <w:szCs w:val="21"/>
          <w:highlight w:val="none"/>
          <w:shd w:val="clear" w:color="auto" w:fill="auto"/>
        </w:rPr>
        <w:t>认可，未经</w:t>
      </w:r>
      <w:r>
        <w:rPr>
          <w:rFonts w:hint="eastAsia" w:ascii="Times New Roman" w:hAnsi="Times New Roman" w:eastAsia="宋体" w:cs="宋体"/>
          <w:color w:val="auto"/>
          <w:kern w:val="10"/>
          <w:szCs w:val="21"/>
          <w:highlight w:val="none"/>
          <w:shd w:val="clear" w:color="auto" w:fill="auto"/>
          <w:lang w:eastAsia="zh-CN"/>
        </w:rPr>
        <w:t>甲方</w:t>
      </w:r>
      <w:r>
        <w:rPr>
          <w:rFonts w:hint="eastAsia" w:ascii="Times New Roman" w:hAnsi="Times New Roman" w:eastAsia="宋体" w:cs="宋体"/>
          <w:color w:val="auto"/>
          <w:kern w:val="10"/>
          <w:szCs w:val="21"/>
          <w:highlight w:val="none"/>
          <w:shd w:val="clear" w:color="auto" w:fill="auto"/>
        </w:rPr>
        <w:t>认可的施工班组，不予进场施工。</w:t>
      </w:r>
    </w:p>
    <w:p w14:paraId="1F97CC9D">
      <w:pPr>
        <w:widowControl/>
        <w:spacing w:line="400" w:lineRule="exact"/>
        <w:ind w:firstLine="420" w:firstLineChars="200"/>
        <w:jc w:val="left"/>
        <w:outlineLvl w:val="0"/>
        <w:rPr>
          <w:rFonts w:ascii="Times New Roman" w:hAnsi="Times New Roman" w:eastAsia="宋体" w:cs="宋体"/>
          <w:color w:val="auto"/>
          <w:highlight w:val="none"/>
          <w:shd w:val="clear" w:color="auto" w:fill="auto"/>
        </w:rPr>
      </w:pPr>
      <w:r>
        <w:rPr>
          <w:rFonts w:hint="eastAsia" w:ascii="Times New Roman" w:hAnsi="Times New Roman" w:eastAsia="宋体" w:cs="宋体"/>
          <w:color w:val="auto"/>
          <w:kern w:val="10"/>
          <w:szCs w:val="21"/>
          <w:highlight w:val="none"/>
          <w:shd w:val="clear" w:color="auto" w:fill="auto"/>
        </w:rPr>
        <w:t>3.6在施工过程中，</w:t>
      </w:r>
      <w:r>
        <w:rPr>
          <w:rFonts w:hint="eastAsia" w:ascii="Times New Roman" w:hAnsi="Times New Roman" w:eastAsia="宋体" w:cs="宋体"/>
          <w:color w:val="auto"/>
          <w:kern w:val="10"/>
          <w:szCs w:val="21"/>
          <w:highlight w:val="none"/>
          <w:shd w:val="clear" w:color="auto" w:fill="auto"/>
          <w:lang w:eastAsia="zh-CN"/>
        </w:rPr>
        <w:t>甲方</w:t>
      </w:r>
      <w:r>
        <w:rPr>
          <w:rFonts w:hint="eastAsia" w:ascii="Times New Roman" w:hAnsi="Times New Roman" w:eastAsia="宋体" w:cs="宋体"/>
          <w:color w:val="auto"/>
          <w:kern w:val="10"/>
          <w:szCs w:val="21"/>
          <w:highlight w:val="none"/>
          <w:shd w:val="clear" w:color="auto" w:fill="auto"/>
        </w:rPr>
        <w:t>有权清退不服从现场管理的施工班组，</w:t>
      </w:r>
      <w:r>
        <w:rPr>
          <w:rFonts w:hint="eastAsia" w:ascii="Times New Roman" w:hAnsi="Times New Roman" w:eastAsia="宋体" w:cs="宋体"/>
          <w:color w:val="auto"/>
          <w:kern w:val="10"/>
          <w:szCs w:val="21"/>
          <w:highlight w:val="none"/>
          <w:shd w:val="clear" w:color="auto" w:fill="auto"/>
          <w:lang w:eastAsia="zh-CN"/>
        </w:rPr>
        <w:t>乙方</w:t>
      </w:r>
      <w:r>
        <w:rPr>
          <w:rFonts w:hint="eastAsia" w:ascii="Times New Roman" w:hAnsi="Times New Roman" w:eastAsia="宋体" w:cs="宋体"/>
          <w:color w:val="auto"/>
          <w:kern w:val="10"/>
          <w:szCs w:val="21"/>
          <w:highlight w:val="none"/>
          <w:shd w:val="clear" w:color="auto" w:fill="auto"/>
        </w:rPr>
        <w:t>必须无条件执行。</w:t>
      </w:r>
    </w:p>
    <w:p w14:paraId="3E78D513">
      <w:pPr>
        <w:widowControl/>
        <w:spacing w:line="400" w:lineRule="exact"/>
        <w:ind w:firstLine="420" w:firstLineChars="200"/>
        <w:jc w:val="left"/>
        <w:outlineLvl w:val="0"/>
        <w:rPr>
          <w:rFonts w:ascii="Times New Roman" w:hAnsi="Times New Roman" w:eastAsia="宋体" w:cs="宋体"/>
          <w:color w:val="auto"/>
          <w:highlight w:val="none"/>
          <w:shd w:val="clear" w:color="auto" w:fill="auto"/>
        </w:rPr>
      </w:pPr>
      <w:r>
        <w:rPr>
          <w:rFonts w:hint="eastAsia" w:ascii="Times New Roman" w:hAnsi="Times New Roman" w:eastAsia="宋体" w:cs="宋体"/>
          <w:color w:val="auto"/>
          <w:kern w:val="10"/>
          <w:szCs w:val="21"/>
          <w:highlight w:val="none"/>
          <w:shd w:val="clear" w:color="auto" w:fill="auto"/>
        </w:rPr>
        <w:t>3.7</w:t>
      </w:r>
      <w:r>
        <w:rPr>
          <w:rFonts w:hint="eastAsia" w:ascii="Times New Roman" w:hAnsi="Times New Roman" w:eastAsia="宋体" w:cs="宋体"/>
          <w:color w:val="auto"/>
          <w:kern w:val="10"/>
          <w:szCs w:val="21"/>
          <w:highlight w:val="none"/>
          <w:shd w:val="clear" w:color="auto" w:fill="auto"/>
          <w:lang w:eastAsia="zh-CN"/>
        </w:rPr>
        <w:t>乙方</w:t>
      </w:r>
      <w:r>
        <w:rPr>
          <w:rFonts w:hint="eastAsia" w:ascii="Times New Roman" w:hAnsi="Times New Roman" w:eastAsia="宋体" w:cs="宋体"/>
          <w:color w:val="auto"/>
          <w:kern w:val="10"/>
          <w:szCs w:val="21"/>
          <w:highlight w:val="none"/>
          <w:shd w:val="clear" w:color="auto" w:fill="auto"/>
        </w:rPr>
        <w:t>须无条件服从</w:t>
      </w:r>
      <w:r>
        <w:rPr>
          <w:rFonts w:hint="eastAsia" w:ascii="Times New Roman" w:hAnsi="Times New Roman" w:eastAsia="宋体" w:cs="宋体"/>
          <w:color w:val="auto"/>
          <w:kern w:val="10"/>
          <w:szCs w:val="21"/>
          <w:highlight w:val="none"/>
          <w:shd w:val="clear" w:color="auto" w:fill="auto"/>
          <w:lang w:eastAsia="zh-CN"/>
        </w:rPr>
        <w:t>甲方</w:t>
      </w:r>
      <w:r>
        <w:rPr>
          <w:rFonts w:hint="eastAsia" w:ascii="Times New Roman" w:hAnsi="Times New Roman" w:eastAsia="宋体" w:cs="宋体"/>
          <w:color w:val="auto"/>
          <w:kern w:val="10"/>
          <w:szCs w:val="21"/>
          <w:highlight w:val="none"/>
          <w:shd w:val="clear" w:color="auto" w:fill="auto"/>
        </w:rPr>
        <w:t>要求制作样板。</w:t>
      </w:r>
    </w:p>
    <w:p w14:paraId="0C7E7108">
      <w:pPr>
        <w:widowControl/>
        <w:spacing w:line="400" w:lineRule="exact"/>
        <w:ind w:firstLine="420" w:firstLineChars="200"/>
        <w:jc w:val="left"/>
        <w:outlineLvl w:val="0"/>
        <w:rPr>
          <w:rFonts w:ascii="Times New Roman" w:hAnsi="Times New Roman" w:eastAsia="宋体" w:cs="宋体"/>
          <w:color w:val="auto"/>
          <w:highlight w:val="none"/>
          <w:shd w:val="clear" w:color="auto" w:fill="auto"/>
        </w:rPr>
      </w:pPr>
      <w:r>
        <w:rPr>
          <w:rFonts w:hint="eastAsia" w:ascii="Times New Roman" w:hAnsi="Times New Roman" w:eastAsia="宋体" w:cs="宋体"/>
          <w:color w:val="auto"/>
          <w:kern w:val="10"/>
          <w:szCs w:val="21"/>
          <w:highlight w:val="none"/>
          <w:shd w:val="clear" w:color="auto" w:fill="auto"/>
        </w:rPr>
        <w:t>四、</w:t>
      </w:r>
      <w:r>
        <w:rPr>
          <w:rFonts w:hint="eastAsia" w:ascii="Times New Roman" w:hAnsi="Times New Roman" w:eastAsia="宋体" w:cs="宋体"/>
          <w:color w:val="auto"/>
          <w:kern w:val="10"/>
          <w:szCs w:val="21"/>
          <w:highlight w:val="none"/>
          <w:shd w:val="clear" w:color="auto" w:fill="auto"/>
          <w:lang w:eastAsia="zh-CN"/>
        </w:rPr>
        <w:t>乙方</w:t>
      </w:r>
      <w:r>
        <w:rPr>
          <w:rFonts w:hint="eastAsia" w:ascii="Times New Roman" w:hAnsi="Times New Roman" w:eastAsia="宋体" w:cs="宋体"/>
          <w:color w:val="auto"/>
          <w:kern w:val="10"/>
          <w:szCs w:val="21"/>
          <w:highlight w:val="none"/>
          <w:shd w:val="clear" w:color="auto" w:fill="auto"/>
        </w:rPr>
        <w:t>的权利与义务</w:t>
      </w:r>
    </w:p>
    <w:p w14:paraId="6BFE0D3C">
      <w:pPr>
        <w:widowControl/>
        <w:spacing w:line="400" w:lineRule="exact"/>
        <w:ind w:firstLine="420" w:firstLineChars="200"/>
        <w:jc w:val="left"/>
        <w:outlineLvl w:val="0"/>
        <w:rPr>
          <w:rFonts w:ascii="Times New Roman" w:hAnsi="Times New Roman" w:eastAsia="宋体" w:cs="宋体"/>
          <w:color w:val="auto"/>
          <w:highlight w:val="none"/>
          <w:shd w:val="clear" w:color="auto" w:fill="auto"/>
        </w:rPr>
      </w:pPr>
      <w:r>
        <w:rPr>
          <w:rFonts w:hint="eastAsia" w:ascii="Times New Roman" w:hAnsi="Times New Roman" w:eastAsia="宋体" w:cs="宋体"/>
          <w:color w:val="auto"/>
          <w:kern w:val="10"/>
          <w:szCs w:val="21"/>
          <w:highlight w:val="none"/>
          <w:shd w:val="clear" w:color="auto" w:fill="auto"/>
        </w:rPr>
        <w:t>4.1</w:t>
      </w:r>
      <w:r>
        <w:rPr>
          <w:rFonts w:hint="eastAsia" w:ascii="Times New Roman" w:hAnsi="Times New Roman" w:eastAsia="宋体" w:cs="宋体"/>
          <w:color w:val="auto"/>
          <w:kern w:val="10"/>
          <w:szCs w:val="21"/>
          <w:highlight w:val="none"/>
          <w:shd w:val="clear" w:color="auto" w:fill="auto"/>
          <w:lang w:eastAsia="zh-CN"/>
        </w:rPr>
        <w:t>乙方</w:t>
      </w:r>
      <w:r>
        <w:rPr>
          <w:rFonts w:hint="eastAsia" w:ascii="Times New Roman" w:hAnsi="Times New Roman" w:eastAsia="宋体" w:cs="宋体"/>
          <w:color w:val="auto"/>
          <w:kern w:val="10"/>
          <w:szCs w:val="21"/>
          <w:highlight w:val="none"/>
          <w:shd w:val="clear" w:color="auto" w:fill="auto"/>
        </w:rPr>
        <w:t>应按照施工图及施工方案组织充足的人力、物资及机具，确保施工安全、质量及工期要求。</w:t>
      </w:r>
    </w:p>
    <w:p w14:paraId="43C74D9F">
      <w:pPr>
        <w:widowControl/>
        <w:spacing w:line="400" w:lineRule="exact"/>
        <w:ind w:firstLine="420" w:firstLineChars="200"/>
        <w:jc w:val="left"/>
        <w:outlineLvl w:val="0"/>
        <w:rPr>
          <w:rFonts w:ascii="Times New Roman" w:hAnsi="Times New Roman" w:eastAsia="宋体" w:cs="宋体"/>
          <w:color w:val="auto"/>
          <w:highlight w:val="none"/>
          <w:shd w:val="clear" w:color="auto" w:fill="auto"/>
        </w:rPr>
      </w:pPr>
      <w:r>
        <w:rPr>
          <w:rFonts w:hint="eastAsia" w:ascii="Times New Roman" w:hAnsi="Times New Roman" w:eastAsia="宋体" w:cs="宋体"/>
          <w:color w:val="auto"/>
          <w:kern w:val="10"/>
          <w:szCs w:val="21"/>
          <w:highlight w:val="none"/>
          <w:shd w:val="clear" w:color="auto" w:fill="auto"/>
        </w:rPr>
        <w:t>4.2</w:t>
      </w:r>
      <w:r>
        <w:rPr>
          <w:rFonts w:hint="eastAsia" w:ascii="Times New Roman" w:hAnsi="Times New Roman" w:eastAsia="宋体" w:cs="宋体"/>
          <w:color w:val="auto"/>
          <w:kern w:val="10"/>
          <w:szCs w:val="21"/>
          <w:highlight w:val="none"/>
          <w:shd w:val="clear" w:color="auto" w:fill="auto"/>
          <w:lang w:eastAsia="zh-CN"/>
        </w:rPr>
        <w:t>乙方</w:t>
      </w:r>
      <w:r>
        <w:rPr>
          <w:rFonts w:hint="eastAsia" w:ascii="Times New Roman" w:hAnsi="Times New Roman" w:eastAsia="宋体" w:cs="宋体"/>
          <w:color w:val="auto"/>
          <w:kern w:val="10"/>
          <w:szCs w:val="21"/>
          <w:highlight w:val="none"/>
          <w:shd w:val="clear" w:color="auto" w:fill="auto"/>
        </w:rPr>
        <w:t>按照时间节点及质量标准完成施工任务，并进行自检，做好检查记录，自检合格后上报给</w:t>
      </w:r>
      <w:r>
        <w:rPr>
          <w:rFonts w:hint="eastAsia" w:ascii="Times New Roman" w:hAnsi="Times New Roman" w:eastAsia="宋体" w:cs="宋体"/>
          <w:color w:val="auto"/>
          <w:kern w:val="10"/>
          <w:szCs w:val="21"/>
          <w:highlight w:val="none"/>
          <w:shd w:val="clear" w:color="auto" w:fill="auto"/>
          <w:lang w:eastAsia="zh-CN"/>
        </w:rPr>
        <w:t>甲方</w:t>
      </w:r>
      <w:r>
        <w:rPr>
          <w:rFonts w:hint="eastAsia" w:ascii="Times New Roman" w:hAnsi="Times New Roman" w:eastAsia="宋体" w:cs="宋体"/>
          <w:color w:val="auto"/>
          <w:kern w:val="10"/>
          <w:szCs w:val="21"/>
          <w:highlight w:val="none"/>
          <w:shd w:val="clear" w:color="auto" w:fill="auto"/>
        </w:rPr>
        <w:t>复查，验收合格后方可进行下道工序施工。</w:t>
      </w:r>
    </w:p>
    <w:p w14:paraId="584D1A98">
      <w:pPr>
        <w:widowControl/>
        <w:spacing w:line="400" w:lineRule="exact"/>
        <w:ind w:firstLine="420" w:firstLineChars="200"/>
        <w:jc w:val="left"/>
        <w:outlineLvl w:val="0"/>
        <w:rPr>
          <w:rFonts w:ascii="Times New Roman" w:hAnsi="Times New Roman" w:eastAsia="宋体" w:cs="宋体"/>
          <w:color w:val="auto"/>
          <w:highlight w:val="none"/>
          <w:shd w:val="clear" w:color="auto" w:fill="auto"/>
        </w:rPr>
      </w:pPr>
      <w:r>
        <w:rPr>
          <w:rFonts w:hint="eastAsia" w:ascii="Times New Roman" w:hAnsi="Times New Roman" w:eastAsia="宋体" w:cs="宋体"/>
          <w:color w:val="auto"/>
          <w:kern w:val="10"/>
          <w:szCs w:val="21"/>
          <w:highlight w:val="none"/>
          <w:shd w:val="clear" w:color="auto" w:fill="auto"/>
        </w:rPr>
        <w:t>4.3</w:t>
      </w:r>
      <w:r>
        <w:rPr>
          <w:rFonts w:hint="eastAsia" w:ascii="Times New Roman" w:hAnsi="Times New Roman" w:eastAsia="宋体" w:cs="宋体"/>
          <w:color w:val="auto"/>
          <w:kern w:val="10"/>
          <w:szCs w:val="21"/>
          <w:highlight w:val="none"/>
          <w:shd w:val="clear" w:color="auto" w:fill="auto"/>
          <w:lang w:eastAsia="zh-CN"/>
        </w:rPr>
        <w:t>乙方</w:t>
      </w:r>
      <w:r>
        <w:rPr>
          <w:rFonts w:hint="eastAsia" w:ascii="Times New Roman" w:hAnsi="Times New Roman" w:eastAsia="宋体" w:cs="宋体"/>
          <w:color w:val="auto"/>
          <w:kern w:val="10"/>
          <w:szCs w:val="21"/>
          <w:highlight w:val="none"/>
          <w:shd w:val="clear" w:color="auto" w:fill="auto"/>
        </w:rPr>
        <w:t>施工前应熟悉施工图纸及施工方案，施工过程中应遵照图示要求进行施工，验收时应严谨细致，准备相关图纸及技术资料认真核对现场结构尺寸，有验收记录且验收记录真实有效。</w:t>
      </w:r>
    </w:p>
    <w:p w14:paraId="585B4F35">
      <w:pPr>
        <w:widowControl/>
        <w:spacing w:line="400" w:lineRule="exact"/>
        <w:ind w:firstLine="420" w:firstLineChars="200"/>
        <w:jc w:val="left"/>
        <w:outlineLvl w:val="0"/>
        <w:rPr>
          <w:rFonts w:ascii="Times New Roman" w:hAnsi="Times New Roman" w:eastAsia="宋体" w:cs="宋体"/>
          <w:color w:val="auto"/>
          <w:highlight w:val="none"/>
          <w:shd w:val="clear" w:color="auto" w:fill="auto"/>
        </w:rPr>
      </w:pPr>
      <w:r>
        <w:rPr>
          <w:rFonts w:hint="eastAsia" w:ascii="Times New Roman" w:hAnsi="Times New Roman" w:eastAsia="宋体" w:cs="宋体"/>
          <w:color w:val="auto"/>
          <w:kern w:val="10"/>
          <w:szCs w:val="21"/>
          <w:highlight w:val="none"/>
          <w:shd w:val="clear" w:color="auto" w:fill="auto"/>
        </w:rPr>
        <w:t>4.4</w:t>
      </w:r>
      <w:r>
        <w:rPr>
          <w:rFonts w:hint="eastAsia" w:ascii="Times New Roman" w:hAnsi="Times New Roman" w:eastAsia="宋体" w:cs="宋体"/>
          <w:color w:val="auto"/>
          <w:kern w:val="10"/>
          <w:szCs w:val="21"/>
          <w:highlight w:val="none"/>
          <w:shd w:val="clear" w:color="auto" w:fill="auto"/>
          <w:lang w:eastAsia="zh-CN"/>
        </w:rPr>
        <w:t>乙方</w:t>
      </w:r>
      <w:r>
        <w:rPr>
          <w:rFonts w:hint="eastAsia" w:ascii="Times New Roman" w:hAnsi="Times New Roman" w:eastAsia="宋体" w:cs="宋体"/>
          <w:color w:val="auto"/>
          <w:kern w:val="10"/>
          <w:szCs w:val="21"/>
          <w:highlight w:val="none"/>
          <w:shd w:val="clear" w:color="auto" w:fill="auto"/>
        </w:rPr>
        <w:t>应当每月提交施工过程中相关资料。</w:t>
      </w:r>
    </w:p>
    <w:p w14:paraId="7282E00E">
      <w:pPr>
        <w:widowControl/>
        <w:spacing w:line="400" w:lineRule="exact"/>
        <w:ind w:firstLine="420" w:firstLineChars="200"/>
        <w:jc w:val="left"/>
        <w:outlineLvl w:val="0"/>
        <w:rPr>
          <w:rFonts w:ascii="Times New Roman" w:hAnsi="Times New Roman" w:eastAsia="宋体" w:cs="宋体"/>
          <w:color w:val="auto"/>
          <w:highlight w:val="none"/>
          <w:shd w:val="clear" w:color="auto" w:fill="auto"/>
        </w:rPr>
      </w:pPr>
      <w:r>
        <w:rPr>
          <w:rFonts w:hint="eastAsia" w:ascii="Times New Roman" w:hAnsi="Times New Roman" w:eastAsia="宋体" w:cs="宋体"/>
          <w:color w:val="auto"/>
          <w:kern w:val="10"/>
          <w:szCs w:val="21"/>
          <w:highlight w:val="none"/>
          <w:shd w:val="clear" w:color="auto" w:fill="auto"/>
        </w:rPr>
        <w:t>4.5</w:t>
      </w:r>
      <w:r>
        <w:rPr>
          <w:rFonts w:hint="eastAsia" w:ascii="Times New Roman" w:hAnsi="Times New Roman" w:eastAsia="宋体" w:cs="宋体"/>
          <w:color w:val="auto"/>
          <w:kern w:val="10"/>
          <w:szCs w:val="21"/>
          <w:highlight w:val="none"/>
          <w:shd w:val="clear" w:color="auto" w:fill="auto"/>
          <w:lang w:eastAsia="zh-CN"/>
        </w:rPr>
        <w:t>乙方</w:t>
      </w:r>
      <w:r>
        <w:rPr>
          <w:rFonts w:hint="eastAsia" w:ascii="Times New Roman" w:hAnsi="Times New Roman" w:eastAsia="宋体" w:cs="宋体"/>
          <w:color w:val="auto"/>
          <w:kern w:val="10"/>
          <w:szCs w:val="21"/>
          <w:highlight w:val="none"/>
          <w:shd w:val="clear" w:color="auto" w:fill="auto"/>
        </w:rPr>
        <w:t>应配合</w:t>
      </w:r>
      <w:r>
        <w:rPr>
          <w:rFonts w:hint="eastAsia" w:ascii="Times New Roman" w:hAnsi="Times New Roman" w:eastAsia="宋体" w:cs="宋体"/>
          <w:color w:val="auto"/>
          <w:kern w:val="10"/>
          <w:szCs w:val="21"/>
          <w:highlight w:val="none"/>
          <w:shd w:val="clear" w:color="auto" w:fill="auto"/>
          <w:lang w:eastAsia="zh-CN"/>
        </w:rPr>
        <w:t>甲方</w:t>
      </w:r>
      <w:r>
        <w:rPr>
          <w:rFonts w:hint="eastAsia" w:ascii="Times New Roman" w:hAnsi="Times New Roman" w:eastAsia="宋体" w:cs="宋体"/>
          <w:color w:val="auto"/>
          <w:kern w:val="10"/>
          <w:szCs w:val="21"/>
          <w:highlight w:val="none"/>
          <w:shd w:val="clear" w:color="auto" w:fill="auto"/>
        </w:rPr>
        <w:t>验收及第三方验收工作。</w:t>
      </w:r>
    </w:p>
    <w:p w14:paraId="17720D40">
      <w:pPr>
        <w:widowControl/>
        <w:spacing w:line="400" w:lineRule="exact"/>
        <w:ind w:firstLine="420" w:firstLineChars="200"/>
        <w:jc w:val="left"/>
        <w:outlineLvl w:val="0"/>
        <w:rPr>
          <w:rFonts w:ascii="Times New Roman" w:hAnsi="Times New Roman" w:eastAsia="宋体" w:cs="宋体"/>
          <w:color w:val="auto"/>
          <w:highlight w:val="none"/>
          <w:shd w:val="clear" w:color="auto" w:fill="auto"/>
        </w:rPr>
      </w:pPr>
      <w:r>
        <w:rPr>
          <w:rFonts w:hint="eastAsia" w:ascii="Times New Roman" w:hAnsi="Times New Roman" w:eastAsia="宋体" w:cs="宋体"/>
          <w:color w:val="auto"/>
          <w:kern w:val="10"/>
          <w:szCs w:val="21"/>
          <w:highlight w:val="none"/>
          <w:shd w:val="clear" w:color="auto" w:fill="auto"/>
        </w:rPr>
        <w:t>4.6</w:t>
      </w:r>
      <w:r>
        <w:rPr>
          <w:rFonts w:hint="eastAsia" w:ascii="Times New Roman" w:hAnsi="Times New Roman" w:eastAsia="宋体" w:cs="宋体"/>
          <w:color w:val="auto"/>
          <w:kern w:val="10"/>
          <w:szCs w:val="21"/>
          <w:highlight w:val="none"/>
          <w:shd w:val="clear" w:color="auto" w:fill="auto"/>
          <w:lang w:eastAsia="zh-CN"/>
        </w:rPr>
        <w:t>乙方</w:t>
      </w:r>
      <w:r>
        <w:rPr>
          <w:rFonts w:hint="eastAsia" w:ascii="Times New Roman" w:hAnsi="Times New Roman" w:eastAsia="宋体" w:cs="宋体"/>
          <w:color w:val="auto"/>
          <w:kern w:val="10"/>
          <w:szCs w:val="21"/>
          <w:highlight w:val="none"/>
          <w:shd w:val="clear" w:color="auto" w:fill="auto"/>
        </w:rPr>
        <w:t>应配合</w:t>
      </w:r>
      <w:r>
        <w:rPr>
          <w:rFonts w:hint="eastAsia" w:ascii="Times New Roman" w:hAnsi="Times New Roman" w:eastAsia="宋体" w:cs="宋体"/>
          <w:color w:val="auto"/>
          <w:kern w:val="10"/>
          <w:szCs w:val="21"/>
          <w:highlight w:val="none"/>
          <w:shd w:val="clear" w:color="auto" w:fill="auto"/>
          <w:lang w:eastAsia="zh-CN"/>
        </w:rPr>
        <w:t>甲方</w:t>
      </w:r>
      <w:r>
        <w:rPr>
          <w:rFonts w:hint="eastAsia" w:ascii="Times New Roman" w:hAnsi="Times New Roman" w:eastAsia="宋体" w:cs="宋体"/>
          <w:color w:val="auto"/>
          <w:kern w:val="10"/>
          <w:szCs w:val="21"/>
          <w:highlight w:val="none"/>
          <w:shd w:val="clear" w:color="auto" w:fill="auto"/>
        </w:rPr>
        <w:t>各项检查，并无条件整改工程中出现的质量问题。</w:t>
      </w:r>
    </w:p>
    <w:p w14:paraId="1F00AF37">
      <w:pPr>
        <w:widowControl/>
        <w:spacing w:line="400" w:lineRule="exact"/>
        <w:ind w:firstLine="420" w:firstLineChars="200"/>
        <w:jc w:val="left"/>
        <w:outlineLvl w:val="0"/>
        <w:rPr>
          <w:rFonts w:ascii="Times New Roman" w:hAnsi="Times New Roman" w:eastAsia="宋体" w:cs="宋体"/>
          <w:color w:val="auto"/>
          <w:highlight w:val="none"/>
          <w:shd w:val="clear" w:color="auto" w:fill="auto"/>
        </w:rPr>
      </w:pPr>
      <w:r>
        <w:rPr>
          <w:rFonts w:hint="eastAsia" w:ascii="Times New Roman" w:hAnsi="Times New Roman" w:eastAsia="宋体" w:cs="宋体"/>
          <w:color w:val="auto"/>
          <w:kern w:val="10"/>
          <w:szCs w:val="21"/>
          <w:highlight w:val="none"/>
          <w:shd w:val="clear" w:color="auto" w:fill="auto"/>
        </w:rPr>
        <w:t>4.7</w:t>
      </w:r>
      <w:r>
        <w:rPr>
          <w:rFonts w:hint="eastAsia" w:ascii="Times New Roman" w:hAnsi="Times New Roman" w:eastAsia="宋体" w:cs="宋体"/>
          <w:color w:val="auto"/>
          <w:kern w:val="10"/>
          <w:szCs w:val="21"/>
          <w:highlight w:val="none"/>
          <w:shd w:val="clear" w:color="auto" w:fill="auto"/>
          <w:lang w:eastAsia="zh-CN"/>
        </w:rPr>
        <w:t>乙方</w:t>
      </w:r>
      <w:r>
        <w:rPr>
          <w:rFonts w:hint="eastAsia" w:ascii="Times New Roman" w:hAnsi="Times New Roman" w:eastAsia="宋体" w:cs="宋体"/>
          <w:color w:val="auto"/>
          <w:kern w:val="10"/>
          <w:szCs w:val="21"/>
          <w:highlight w:val="none"/>
          <w:shd w:val="clear" w:color="auto" w:fill="auto"/>
        </w:rPr>
        <w:t>须配备项目专职质量员，并常驻项目。</w:t>
      </w:r>
    </w:p>
    <w:p w14:paraId="79024DDB">
      <w:pPr>
        <w:widowControl/>
        <w:spacing w:line="400" w:lineRule="exact"/>
        <w:ind w:firstLine="420" w:firstLineChars="200"/>
        <w:jc w:val="left"/>
        <w:outlineLvl w:val="0"/>
        <w:rPr>
          <w:rFonts w:ascii="Times New Roman" w:hAnsi="Times New Roman" w:eastAsia="宋体" w:cs="宋体"/>
          <w:color w:val="auto"/>
          <w:highlight w:val="none"/>
          <w:shd w:val="clear" w:color="auto" w:fill="auto"/>
        </w:rPr>
      </w:pPr>
      <w:r>
        <w:rPr>
          <w:rFonts w:hint="eastAsia" w:ascii="Times New Roman" w:hAnsi="Times New Roman" w:eastAsia="宋体" w:cs="宋体"/>
          <w:color w:val="auto"/>
          <w:kern w:val="10"/>
          <w:szCs w:val="21"/>
          <w:highlight w:val="none"/>
          <w:shd w:val="clear" w:color="auto" w:fill="auto"/>
        </w:rPr>
        <w:t>五、本</w:t>
      </w:r>
      <w:r>
        <w:rPr>
          <w:rFonts w:hint="eastAsia" w:ascii="Times New Roman" w:hAnsi="Times New Roman" w:eastAsia="宋体" w:cs="宋体"/>
          <w:color w:val="auto"/>
          <w:szCs w:val="21"/>
          <w:highlight w:val="none"/>
          <w:shd w:val="clear" w:color="auto" w:fill="auto"/>
        </w:rPr>
        <w:t>协议自</w:t>
      </w:r>
      <w:r>
        <w:rPr>
          <w:rFonts w:hint="eastAsia" w:ascii="Times New Roman" w:hAnsi="Times New Roman" w:eastAsia="宋体" w:cs="宋体"/>
          <w:color w:val="auto"/>
          <w:szCs w:val="21"/>
          <w:highlight w:val="none"/>
          <w:shd w:val="clear" w:color="auto" w:fill="auto"/>
          <w:lang w:eastAsia="zh-CN"/>
        </w:rPr>
        <w:t>甲方</w:t>
      </w:r>
      <w:r>
        <w:rPr>
          <w:rFonts w:hint="eastAsia" w:ascii="Times New Roman" w:hAnsi="Times New Roman" w:eastAsia="宋体" w:cs="宋体"/>
          <w:color w:val="auto"/>
          <w:szCs w:val="21"/>
          <w:highlight w:val="none"/>
          <w:shd w:val="clear" w:color="auto" w:fill="auto"/>
        </w:rPr>
        <w:t>加盖合同专用章、</w:t>
      </w:r>
      <w:r>
        <w:rPr>
          <w:rFonts w:hint="eastAsia" w:ascii="Times New Roman" w:hAnsi="Times New Roman" w:eastAsia="宋体" w:cs="宋体"/>
          <w:color w:val="auto"/>
          <w:szCs w:val="21"/>
          <w:highlight w:val="none"/>
          <w:shd w:val="clear" w:color="auto" w:fill="auto"/>
          <w:lang w:eastAsia="zh-CN"/>
        </w:rPr>
        <w:t>乙方</w:t>
      </w:r>
      <w:r>
        <w:rPr>
          <w:rFonts w:hint="eastAsia" w:ascii="Times New Roman" w:hAnsi="Times New Roman" w:eastAsia="宋体" w:cs="宋体"/>
          <w:color w:val="auto"/>
          <w:szCs w:val="21"/>
          <w:highlight w:val="none"/>
          <w:shd w:val="clear" w:color="auto" w:fill="auto"/>
        </w:rPr>
        <w:t>（法定代表人或有授权的签字代理人）签字且盖章之日起生效。</w:t>
      </w:r>
    </w:p>
    <w:p w14:paraId="27A7CBC9">
      <w:pPr>
        <w:widowControl/>
        <w:spacing w:line="400" w:lineRule="exact"/>
        <w:ind w:left="735" w:hanging="735" w:hangingChars="350"/>
        <w:jc w:val="left"/>
        <w:outlineLvl w:val="0"/>
        <w:rPr>
          <w:rFonts w:ascii="Times New Roman" w:hAnsi="Times New Roman" w:eastAsia="宋体" w:cs="宋体"/>
          <w:color w:val="auto"/>
          <w:highlight w:val="none"/>
          <w:shd w:val="clear" w:color="auto" w:fill="auto"/>
        </w:rPr>
      </w:pPr>
      <w:r>
        <w:rPr>
          <w:rFonts w:hint="eastAsia" w:ascii="Times New Roman" w:hAnsi="Times New Roman" w:eastAsia="宋体" w:cs="宋体"/>
          <w:color w:val="auto"/>
          <w:kern w:val="10"/>
          <w:szCs w:val="21"/>
          <w:highlight w:val="none"/>
          <w:shd w:val="clear" w:color="auto" w:fill="auto"/>
        </w:rPr>
        <w:t xml:space="preserve"> </w:t>
      </w:r>
    </w:p>
    <w:p w14:paraId="41671463">
      <w:pPr>
        <w:pageBreakBefore w:val="0"/>
        <w:widowControl/>
        <w:kinsoku/>
        <w:wordWrap/>
        <w:overflowPunct/>
        <w:topLinePunct w:val="0"/>
        <w:bidi w:val="0"/>
        <w:adjustRightInd w:val="0"/>
        <w:snapToGrid w:val="0"/>
        <w:spacing w:line="400" w:lineRule="exact"/>
        <w:ind w:firstLine="0" w:firstLineChars="0"/>
        <w:jc w:val="left"/>
        <w:textAlignment w:val="auto"/>
        <w:rPr>
          <w:rFonts w:hint="eastAsia" w:ascii="Times New Roman" w:hAnsi="Times New Roman" w:eastAsia="宋体" w:cs="宋体"/>
          <w:sz w:val="21"/>
          <w:szCs w:val="21"/>
          <w:highlight w:val="none"/>
        </w:rPr>
      </w:pPr>
      <w:r>
        <w:rPr>
          <w:rFonts w:hint="eastAsia" w:ascii="Times New Roman" w:hAnsi="Times New Roman" w:eastAsia="宋体" w:cs="宋体"/>
          <w:sz w:val="21"/>
          <w:szCs w:val="21"/>
          <w:highlight w:val="none"/>
          <w:lang w:eastAsia="zh-CN"/>
        </w:rPr>
        <w:t>甲方</w:t>
      </w:r>
      <w:r>
        <w:rPr>
          <w:rFonts w:hint="eastAsia" w:ascii="Times New Roman" w:hAnsi="Times New Roman" w:eastAsia="宋体" w:cs="宋体"/>
          <w:sz w:val="21"/>
          <w:szCs w:val="21"/>
          <w:highlight w:val="none"/>
        </w:rPr>
        <w:t xml:space="preserve">：（盖章）           </w:t>
      </w:r>
      <w:r>
        <w:rPr>
          <w:rFonts w:hint="eastAsia" w:ascii="Times New Roman" w:hAnsi="Times New Roman" w:eastAsia="宋体" w:cs="宋体"/>
          <w:sz w:val="21"/>
          <w:szCs w:val="21"/>
          <w:highlight w:val="none"/>
          <w:lang w:val="en-US" w:eastAsia="zh-CN"/>
        </w:rPr>
        <w:t xml:space="preserve">                   </w:t>
      </w:r>
      <w:r>
        <w:rPr>
          <w:rFonts w:hint="eastAsia" w:ascii="Times New Roman" w:hAnsi="Times New Roman" w:eastAsia="宋体" w:cs="宋体"/>
          <w:sz w:val="21"/>
          <w:szCs w:val="21"/>
          <w:highlight w:val="none"/>
          <w:lang w:eastAsia="zh-CN"/>
        </w:rPr>
        <w:t>乙方</w:t>
      </w:r>
      <w:r>
        <w:rPr>
          <w:rFonts w:hint="eastAsia" w:ascii="Times New Roman" w:hAnsi="Times New Roman" w:eastAsia="宋体" w:cs="宋体"/>
          <w:sz w:val="21"/>
          <w:szCs w:val="21"/>
          <w:highlight w:val="none"/>
        </w:rPr>
        <w:t>：（盖章）</w:t>
      </w:r>
    </w:p>
    <w:p w14:paraId="56CA7F0B">
      <w:pPr>
        <w:pageBreakBefore w:val="0"/>
        <w:widowControl/>
        <w:kinsoku/>
        <w:wordWrap/>
        <w:overflowPunct/>
        <w:topLinePunct w:val="0"/>
        <w:bidi w:val="0"/>
        <w:adjustRightInd w:val="0"/>
        <w:snapToGrid w:val="0"/>
        <w:spacing w:line="400" w:lineRule="exact"/>
        <w:ind w:left="0" w:leftChars="0" w:firstLine="630" w:firstLineChars="300"/>
        <w:jc w:val="left"/>
        <w:textAlignment w:val="auto"/>
        <w:rPr>
          <w:rFonts w:hint="eastAsia" w:ascii="Times New Roman" w:hAnsi="Times New Roman" w:eastAsia="宋体" w:cs="宋体"/>
          <w:sz w:val="21"/>
          <w:szCs w:val="21"/>
          <w:highlight w:val="none"/>
        </w:rPr>
      </w:pPr>
    </w:p>
    <w:p w14:paraId="27B4D118">
      <w:pPr>
        <w:pageBreakBefore w:val="0"/>
        <w:widowControl/>
        <w:kinsoku/>
        <w:wordWrap/>
        <w:overflowPunct/>
        <w:topLinePunct w:val="0"/>
        <w:bidi w:val="0"/>
        <w:adjustRightInd w:val="0"/>
        <w:snapToGrid w:val="0"/>
        <w:spacing w:line="400" w:lineRule="exact"/>
        <w:ind w:firstLine="0" w:firstLineChars="0"/>
        <w:jc w:val="left"/>
        <w:textAlignment w:val="auto"/>
        <w:rPr>
          <w:rFonts w:hint="eastAsia" w:ascii="Times New Roman" w:hAnsi="Times New Roman" w:eastAsia="宋体" w:cs="宋体"/>
          <w:sz w:val="21"/>
          <w:szCs w:val="21"/>
          <w:highlight w:val="none"/>
          <w:lang w:val="en-US" w:eastAsia="zh-CN"/>
        </w:rPr>
      </w:pPr>
      <w:r>
        <w:rPr>
          <w:rFonts w:hint="eastAsia" w:ascii="Times New Roman" w:hAnsi="Times New Roman" w:eastAsia="宋体" w:cs="宋体"/>
          <w:sz w:val="21"/>
          <w:szCs w:val="21"/>
          <w:highlight w:val="none"/>
        </w:rPr>
        <w:t>法定代表人或其委托代理人：</w:t>
      </w:r>
      <w:r>
        <w:rPr>
          <w:rFonts w:hint="eastAsia" w:ascii="Times New Roman" w:hAnsi="Times New Roman" w:eastAsia="宋体" w:cs="宋体"/>
          <w:sz w:val="21"/>
          <w:szCs w:val="21"/>
          <w:highlight w:val="none"/>
          <w:lang w:val="en-US" w:eastAsia="zh-CN"/>
        </w:rPr>
        <w:t xml:space="preserve">                  </w:t>
      </w:r>
      <w:r>
        <w:rPr>
          <w:rFonts w:hint="eastAsia" w:ascii="Times New Roman" w:hAnsi="Times New Roman" w:eastAsia="宋体" w:cs="宋体"/>
          <w:sz w:val="21"/>
          <w:szCs w:val="21"/>
          <w:highlight w:val="none"/>
        </w:rPr>
        <w:t>法定代表人或其委托代理人：</w:t>
      </w:r>
    </w:p>
    <w:p w14:paraId="4FD9C16D">
      <w:pPr>
        <w:keepNext w:val="0"/>
        <w:keepLines w:val="0"/>
        <w:pageBreakBefore w:val="0"/>
        <w:kinsoku/>
        <w:wordWrap/>
        <w:overflowPunct/>
        <w:topLinePunct w:val="0"/>
        <w:autoSpaceDE/>
        <w:autoSpaceDN/>
        <w:bidi w:val="0"/>
        <w:spacing w:line="360" w:lineRule="auto"/>
        <w:ind w:firstLine="0" w:firstLineChars="0"/>
        <w:textAlignment w:val="auto"/>
        <w:rPr>
          <w:rFonts w:hint="eastAsia" w:ascii="Times New Roman" w:hAnsi="Times New Roman" w:eastAsia="宋体" w:cs="宋体"/>
          <w:sz w:val="21"/>
          <w:szCs w:val="21"/>
          <w:highlight w:val="none"/>
          <w:lang w:eastAsia="zh-CN"/>
        </w:rPr>
      </w:pPr>
      <w:r>
        <w:rPr>
          <w:rFonts w:hint="eastAsia" w:ascii="Times New Roman" w:hAnsi="Times New Roman" w:eastAsia="宋体" w:cs="宋体"/>
          <w:sz w:val="21"/>
          <w:szCs w:val="21"/>
          <w:highlight w:val="none"/>
          <w:lang w:eastAsia="zh-CN"/>
        </w:rPr>
        <w:t>（签字或盖章）</w:t>
      </w:r>
      <w:r>
        <w:rPr>
          <w:rFonts w:hint="eastAsia" w:ascii="Times New Roman" w:hAnsi="Times New Roman" w:eastAsia="宋体" w:cs="宋体"/>
          <w:sz w:val="21"/>
          <w:szCs w:val="21"/>
          <w:highlight w:val="none"/>
        </w:rPr>
        <w:t xml:space="preserve">     </w:t>
      </w:r>
      <w:r>
        <w:rPr>
          <w:rFonts w:hint="eastAsia" w:ascii="Times New Roman" w:hAnsi="Times New Roman" w:eastAsia="宋体" w:cs="宋体"/>
          <w:sz w:val="21"/>
          <w:szCs w:val="21"/>
          <w:highlight w:val="none"/>
          <w:lang w:val="en-US" w:eastAsia="zh-CN"/>
        </w:rPr>
        <w:t xml:space="preserve">                         </w:t>
      </w:r>
      <w:r>
        <w:rPr>
          <w:rFonts w:hint="eastAsia" w:ascii="Times New Roman" w:hAnsi="Times New Roman" w:eastAsia="宋体" w:cs="宋体"/>
          <w:sz w:val="21"/>
          <w:szCs w:val="21"/>
          <w:highlight w:val="none"/>
          <w:lang w:eastAsia="zh-CN"/>
        </w:rPr>
        <w:t>（签字或盖章）</w:t>
      </w:r>
    </w:p>
    <w:p w14:paraId="35DAEA58">
      <w:pPr>
        <w:keepNext w:val="0"/>
        <w:keepLines w:val="0"/>
        <w:pageBreakBefore w:val="0"/>
        <w:kinsoku/>
        <w:wordWrap/>
        <w:overflowPunct/>
        <w:topLinePunct w:val="0"/>
        <w:autoSpaceDE/>
        <w:autoSpaceDN/>
        <w:bidi w:val="0"/>
        <w:spacing w:line="360" w:lineRule="auto"/>
        <w:ind w:left="0" w:leftChars="0" w:firstLine="376" w:firstLineChars="200"/>
        <w:textAlignment w:val="auto"/>
        <w:rPr>
          <w:rFonts w:hint="eastAsia" w:ascii="Times New Roman" w:hAnsi="Times New Roman" w:eastAsia="宋体" w:cs="宋体"/>
          <w:color w:val="auto"/>
          <w:spacing w:val="-11"/>
          <w:szCs w:val="21"/>
          <w:highlight w:val="none"/>
          <w:shd w:val="clear" w:color="auto" w:fill="auto"/>
        </w:rPr>
      </w:pPr>
      <w:r>
        <w:rPr>
          <w:rFonts w:hint="eastAsia" w:ascii="Times New Roman" w:hAnsi="Times New Roman" w:eastAsia="宋体" w:cs="宋体"/>
          <w:color w:val="auto"/>
          <w:spacing w:val="-11"/>
          <w:szCs w:val="21"/>
          <w:highlight w:val="none"/>
          <w:shd w:val="clear" w:color="auto" w:fill="auto"/>
        </w:rPr>
        <w:br w:type="textWrapping"/>
      </w:r>
    </w:p>
    <w:p w14:paraId="7DAB0EAA">
      <w:pPr>
        <w:spacing w:line="240" w:lineRule="auto"/>
        <w:ind w:firstLine="0" w:firstLineChars="0"/>
        <w:rPr>
          <w:rFonts w:hint="eastAsia" w:ascii="Times New Roman" w:hAnsi="Times New Roman" w:eastAsia="宋体" w:cs="宋体"/>
          <w:color w:val="auto"/>
          <w:spacing w:val="-11"/>
          <w:szCs w:val="21"/>
          <w:highlight w:val="none"/>
          <w:shd w:val="clear" w:color="auto" w:fill="auto"/>
        </w:rPr>
      </w:pPr>
      <w:r>
        <w:rPr>
          <w:rFonts w:hint="eastAsia" w:ascii="Times New Roman" w:hAnsi="Times New Roman" w:eastAsia="宋体" w:cs="宋体"/>
          <w:color w:val="auto"/>
          <w:spacing w:val="-11"/>
          <w:szCs w:val="21"/>
          <w:highlight w:val="none"/>
          <w:shd w:val="clear" w:color="auto" w:fill="auto"/>
        </w:rPr>
        <w:br w:type="page"/>
      </w:r>
    </w:p>
    <w:p w14:paraId="638FFD57">
      <w:pPr>
        <w:pageBreakBefore w:val="0"/>
        <w:kinsoku/>
        <w:wordWrap/>
        <w:overflowPunct/>
        <w:topLinePunct w:val="0"/>
        <w:bidi w:val="0"/>
        <w:adjustRightInd w:val="0"/>
        <w:snapToGrid w:val="0"/>
        <w:spacing w:line="360" w:lineRule="auto"/>
        <w:ind w:firstLine="0" w:firstLineChars="0"/>
        <w:rPr>
          <w:rFonts w:hint="eastAsia" w:ascii="宋体" w:hAnsi="宋体" w:eastAsia="宋体" w:cs="宋体"/>
          <w:b/>
          <w:color w:val="000000"/>
          <w:szCs w:val="21"/>
          <w:highlight w:val="none"/>
          <w:lang w:val="en-US" w:eastAsia="zh-CN" w:bidi="ar"/>
        </w:rPr>
      </w:pPr>
      <w:r>
        <w:rPr>
          <w:rFonts w:hint="eastAsia" w:ascii="宋体" w:hAnsi="宋体" w:eastAsia="宋体" w:cs="宋体"/>
          <w:b/>
          <w:color w:val="000000"/>
          <w:szCs w:val="21"/>
          <w:highlight w:val="none"/>
          <w:lang w:val="en-US" w:eastAsia="zh-CN" w:bidi="ar"/>
        </w:rPr>
        <w:t>附件7：</w:t>
      </w:r>
    </w:p>
    <w:p w14:paraId="16F86454">
      <w:pPr>
        <w:pageBreakBefore w:val="0"/>
        <w:kinsoku/>
        <w:wordWrap/>
        <w:overflowPunct/>
        <w:topLinePunct w:val="0"/>
        <w:bidi w:val="0"/>
        <w:adjustRightInd w:val="0"/>
        <w:snapToGrid w:val="0"/>
        <w:spacing w:line="360" w:lineRule="auto"/>
        <w:ind w:firstLine="0" w:firstLineChars="0"/>
        <w:jc w:val="center"/>
        <w:rPr>
          <w:rFonts w:hint="eastAsia" w:ascii="Times New Roman" w:hAnsi="Times New Roman" w:eastAsia="宋体" w:cs="Times New Roman"/>
          <w:color w:val="000000"/>
          <w:highlight w:val="none"/>
          <w:lang w:val="en-US" w:eastAsia="zh-CN"/>
        </w:rPr>
      </w:pPr>
      <w:r>
        <w:rPr>
          <w:rFonts w:hint="eastAsia" w:ascii="宋体" w:hAnsi="宋体" w:eastAsia="宋体" w:cs="宋体"/>
          <w:b/>
          <w:color w:val="000000"/>
          <w:sz w:val="28"/>
          <w:szCs w:val="28"/>
          <w:highlight w:val="none"/>
          <w:lang w:val="en-US" w:eastAsia="zh-CN" w:bidi="ar"/>
        </w:rPr>
        <w:t>安全生产管理与文明施工协议（试行）</w:t>
      </w:r>
    </w:p>
    <w:p w14:paraId="505546EF">
      <w:pPr>
        <w:pageBreakBefore w:val="0"/>
        <w:kinsoku/>
        <w:wordWrap/>
        <w:overflowPunct/>
        <w:topLinePunct w:val="0"/>
        <w:bidi w:val="0"/>
        <w:spacing w:line="360" w:lineRule="auto"/>
        <w:ind w:firstLine="420" w:firstLineChars="200"/>
        <w:rPr>
          <w:rFonts w:hint="eastAsia" w:ascii="宋体" w:hAnsi="宋体" w:eastAsia="宋体" w:cs="Times New Roman"/>
          <w:color w:val="000000"/>
          <w:szCs w:val="21"/>
          <w:highlight w:val="none"/>
          <w:lang w:val="en-US" w:eastAsia="zh-CN"/>
        </w:rPr>
      </w:pPr>
    </w:p>
    <w:p w14:paraId="06F8BD9A">
      <w:pPr>
        <w:pageBreakBefore w:val="0"/>
        <w:kinsoku/>
        <w:wordWrap/>
        <w:overflowPunct/>
        <w:topLinePunct w:val="0"/>
        <w:bidi w:val="0"/>
        <w:spacing w:line="360" w:lineRule="auto"/>
        <w:ind w:firstLine="420" w:firstLineChars="200"/>
        <w:rPr>
          <w:rFonts w:ascii="宋体" w:hAnsi="宋体" w:eastAsia="宋体" w:cs="Times New Roman"/>
          <w:color w:val="000000"/>
          <w:szCs w:val="21"/>
          <w:highlight w:val="none"/>
        </w:rPr>
      </w:pPr>
      <w:r>
        <w:rPr>
          <w:rFonts w:hint="eastAsia" w:ascii="宋体" w:hAnsi="宋体" w:eastAsia="宋体" w:cs="Times New Roman"/>
          <w:color w:val="000000"/>
          <w:szCs w:val="21"/>
          <w:highlight w:val="none"/>
          <w:lang w:val="en-US" w:eastAsia="zh-CN"/>
        </w:rPr>
        <w:t>甲方</w:t>
      </w:r>
      <w:r>
        <w:rPr>
          <w:rFonts w:hint="eastAsia" w:ascii="宋体" w:hAnsi="宋体" w:eastAsia="宋体" w:cs="Times New Roman"/>
          <w:color w:val="000000"/>
          <w:szCs w:val="21"/>
          <w:highlight w:val="none"/>
        </w:rPr>
        <w:t>：</w:t>
      </w:r>
      <w:r>
        <w:rPr>
          <w:rFonts w:hint="eastAsia" w:ascii="宋体" w:hAnsi="宋体" w:eastAsia="宋体" w:cs="宋体"/>
          <w:color w:val="000000"/>
          <w:szCs w:val="21"/>
          <w:highlight w:val="none"/>
          <w:u w:val="single"/>
          <w:lang w:eastAsia="zh-CN" w:bidi="ar"/>
        </w:rPr>
        <w:t>连云港徐圩城建工程有限公司</w:t>
      </w:r>
    </w:p>
    <w:p w14:paraId="58E64092">
      <w:pPr>
        <w:pageBreakBefore w:val="0"/>
        <w:kinsoku/>
        <w:wordWrap/>
        <w:overflowPunct/>
        <w:topLinePunct w:val="0"/>
        <w:bidi w:val="0"/>
        <w:spacing w:line="360" w:lineRule="auto"/>
        <w:ind w:firstLine="420" w:firstLineChars="200"/>
        <w:rPr>
          <w:rFonts w:ascii="宋体" w:hAnsi="宋体" w:eastAsia="宋体" w:cs="Times New Roman"/>
          <w:color w:val="000000"/>
          <w:szCs w:val="21"/>
          <w:highlight w:val="none"/>
        </w:rPr>
      </w:pPr>
      <w:r>
        <w:rPr>
          <w:rFonts w:hint="eastAsia" w:ascii="宋体" w:hAnsi="宋体" w:eastAsia="宋体" w:cs="Times New Roman"/>
          <w:color w:val="000000"/>
          <w:szCs w:val="21"/>
          <w:highlight w:val="none"/>
          <w:lang w:eastAsia="zh-CN"/>
        </w:rPr>
        <w:t>乙方</w:t>
      </w:r>
      <w:r>
        <w:rPr>
          <w:rFonts w:hint="eastAsia" w:ascii="宋体" w:hAnsi="宋体" w:eastAsia="宋体" w:cs="Times New Roman"/>
          <w:color w:val="000000"/>
          <w:szCs w:val="21"/>
          <w:highlight w:val="none"/>
        </w:rPr>
        <w:t>：</w:t>
      </w:r>
      <w:r>
        <w:rPr>
          <w:rFonts w:hint="eastAsia" w:ascii="Times New Roman" w:hAnsi="Times New Roman" w:eastAsia="宋体" w:cs="宋体"/>
          <w:color w:val="auto"/>
          <w:szCs w:val="21"/>
          <w:highlight w:val="none"/>
          <w:u w:val="single"/>
          <w:shd w:val="clear" w:color="auto" w:fill="auto"/>
          <w:lang w:val="en-US" w:eastAsia="zh-CN"/>
        </w:rPr>
        <w:t xml:space="preserve">                           </w:t>
      </w:r>
    </w:p>
    <w:p w14:paraId="441E3EEA">
      <w:pPr>
        <w:pageBreakBefore w:val="0"/>
        <w:kinsoku/>
        <w:wordWrap/>
        <w:overflowPunct/>
        <w:topLinePunct w:val="0"/>
        <w:bidi w:val="0"/>
        <w:spacing w:line="360" w:lineRule="auto"/>
        <w:ind w:firstLine="420" w:firstLineChars="200"/>
        <w:rPr>
          <w:rFonts w:ascii="宋体" w:hAnsi="宋体" w:eastAsia="宋体" w:cs="Times New Roman"/>
          <w:color w:val="000000"/>
          <w:szCs w:val="21"/>
          <w:highlight w:val="none"/>
        </w:rPr>
      </w:pPr>
      <w:r>
        <w:rPr>
          <w:rFonts w:hint="eastAsia" w:ascii="宋体" w:hAnsi="宋体" w:eastAsia="宋体" w:cs="Times New Roman"/>
          <w:color w:val="000000"/>
          <w:szCs w:val="21"/>
          <w:highlight w:val="none"/>
        </w:rPr>
        <w:t>双方根据《中华人民共和国安全生产法》、《中华人民共和国消防法》、《中华人民共和国建筑法》、《中华人民共和国民法典》、《中华人民共和国传染病防治法实施办法》、《建设工程安全生产管理条例》、《江苏省安全生产条例》等有关法律法规，国家现行标准规范，以及住建部、江苏省、连云港市政府及徐圩新区管委会有关建筑施工安全生产、文明施工、治安保卫、消防管理的规定规章等，结合甲方制定的相关制度规定，为严格明确工程项目现场甲乙双方的安全管理责任，保证工程施工期间的安全生产、文明施工、治安和消防安全，经甲乙双方平等协商，签订本协议，共同遵守本协议所列条款，本协议为</w:t>
      </w:r>
      <w:r>
        <w:rPr>
          <w:rFonts w:hint="eastAsia" w:ascii="宋体" w:hAnsi="宋体" w:cs="Times New Roman"/>
          <w:b/>
          <w:bCs/>
          <w:color w:val="000000"/>
          <w:szCs w:val="21"/>
          <w:highlight w:val="none"/>
          <w:u w:val="single"/>
          <w:lang w:eastAsia="zh-CN"/>
        </w:rPr>
        <w:t>物流集散道路工程EPC项目-道路工程劳务</w:t>
      </w:r>
      <w:r>
        <w:rPr>
          <w:rFonts w:hint="eastAsia" w:ascii="宋体" w:hAnsi="宋体" w:eastAsia="宋体" w:cs="Times New Roman"/>
          <w:color w:val="000000"/>
          <w:szCs w:val="21"/>
          <w:highlight w:val="none"/>
        </w:rPr>
        <w:t>合同的附件，与合同具有同样的法律效力。</w:t>
      </w:r>
    </w:p>
    <w:p w14:paraId="77786AFC">
      <w:pPr>
        <w:pageBreakBefore w:val="0"/>
        <w:kinsoku/>
        <w:wordWrap/>
        <w:overflowPunct/>
        <w:topLinePunct w:val="0"/>
        <w:bidi w:val="0"/>
        <w:spacing w:line="360" w:lineRule="auto"/>
        <w:ind w:firstLine="422" w:firstLineChars="200"/>
        <w:rPr>
          <w:rFonts w:ascii="宋体" w:hAnsi="宋体" w:eastAsia="宋体" w:cs="Times New Roman"/>
          <w:b/>
          <w:color w:val="000000"/>
          <w:szCs w:val="21"/>
          <w:highlight w:val="none"/>
        </w:rPr>
      </w:pPr>
      <w:r>
        <w:rPr>
          <w:rFonts w:hint="eastAsia" w:ascii="宋体" w:hAnsi="宋体" w:eastAsia="宋体" w:cs="Times New Roman"/>
          <w:b/>
          <w:color w:val="000000"/>
          <w:szCs w:val="21"/>
          <w:highlight w:val="none"/>
        </w:rPr>
        <w:t>第一条</w:t>
      </w:r>
      <w:r>
        <w:rPr>
          <w:rFonts w:ascii="宋体" w:hAnsi="宋体" w:eastAsia="宋体" w:cs="Times New Roman"/>
          <w:b/>
          <w:color w:val="000000"/>
          <w:szCs w:val="21"/>
          <w:highlight w:val="none"/>
        </w:rPr>
        <w:tab/>
      </w:r>
      <w:r>
        <w:rPr>
          <w:rFonts w:hint="eastAsia" w:ascii="宋体" w:hAnsi="宋体" w:eastAsia="宋体" w:cs="Times New Roman"/>
          <w:b/>
          <w:color w:val="000000"/>
          <w:szCs w:val="21"/>
          <w:highlight w:val="none"/>
        </w:rPr>
        <w:t>责任范围</w:t>
      </w:r>
    </w:p>
    <w:p w14:paraId="6BD316A0">
      <w:pPr>
        <w:pageBreakBefore w:val="0"/>
        <w:kinsoku/>
        <w:wordWrap/>
        <w:overflowPunct/>
        <w:topLinePunct w:val="0"/>
        <w:bidi w:val="0"/>
        <w:spacing w:line="360" w:lineRule="auto"/>
        <w:ind w:firstLine="420" w:firstLineChars="200"/>
        <w:rPr>
          <w:rFonts w:ascii="宋体" w:hAnsi="宋体" w:eastAsia="宋体" w:cs="Times New Roman"/>
          <w:color w:val="000000"/>
          <w:szCs w:val="21"/>
          <w:highlight w:val="none"/>
        </w:rPr>
      </w:pPr>
      <w:r>
        <w:rPr>
          <w:rFonts w:hint="eastAsia" w:ascii="宋体" w:hAnsi="宋体" w:eastAsia="宋体" w:cs="Times New Roman"/>
          <w:color w:val="000000"/>
          <w:szCs w:val="21"/>
          <w:highlight w:val="none"/>
        </w:rPr>
        <w:t>甲方负责施工现场安全生产的综合管理工作，依据相关法律法规，建立制度对乙方进行管理。乙方负责提供合同</w:t>
      </w:r>
      <w:r>
        <w:rPr>
          <w:rFonts w:hint="eastAsia" w:ascii="宋体" w:hAnsi="宋体" w:eastAsia="宋体" w:cs="Times New Roman"/>
          <w:color w:val="000000"/>
          <w:szCs w:val="21"/>
          <w:highlight w:val="none"/>
          <w:lang w:val="en-US" w:eastAsia="zh-CN"/>
        </w:rPr>
        <w:t>所需</w:t>
      </w:r>
      <w:r>
        <w:rPr>
          <w:rFonts w:hint="eastAsia" w:ascii="宋体" w:hAnsi="宋体" w:eastAsia="宋体" w:cs="Times New Roman"/>
          <w:color w:val="000000"/>
          <w:szCs w:val="21"/>
          <w:highlight w:val="none"/>
        </w:rPr>
        <w:t>的劳务人员，并遵守甲方施工现场安全生产管理与文明施工的各项规章制度。乙方需按甲方有关劳务用工的规定办理用工手续，向甲方提供相关安全生产资质证件和劳务人员名册及人员合法证件（身份证），并接受甲方的监督和管理。</w:t>
      </w:r>
    </w:p>
    <w:p w14:paraId="610BF7CE">
      <w:pPr>
        <w:pageBreakBefore w:val="0"/>
        <w:kinsoku/>
        <w:wordWrap/>
        <w:overflowPunct/>
        <w:topLinePunct w:val="0"/>
        <w:bidi w:val="0"/>
        <w:spacing w:line="360" w:lineRule="auto"/>
        <w:ind w:firstLine="422" w:firstLineChars="200"/>
        <w:rPr>
          <w:rFonts w:ascii="宋体" w:hAnsi="宋体" w:eastAsia="宋体" w:cs="Times New Roman"/>
          <w:b/>
          <w:color w:val="000000"/>
          <w:szCs w:val="21"/>
          <w:highlight w:val="none"/>
        </w:rPr>
      </w:pPr>
      <w:r>
        <w:rPr>
          <w:rFonts w:hint="eastAsia" w:ascii="宋体" w:hAnsi="宋体" w:eastAsia="宋体" w:cs="Times New Roman"/>
          <w:b/>
          <w:color w:val="000000"/>
          <w:szCs w:val="21"/>
          <w:highlight w:val="none"/>
        </w:rPr>
        <w:t>第二条</w:t>
      </w:r>
      <w:r>
        <w:rPr>
          <w:rFonts w:ascii="宋体" w:hAnsi="宋体" w:eastAsia="宋体" w:cs="Times New Roman"/>
          <w:b/>
          <w:color w:val="000000"/>
          <w:szCs w:val="21"/>
          <w:highlight w:val="none"/>
        </w:rPr>
        <w:tab/>
      </w:r>
      <w:r>
        <w:rPr>
          <w:rFonts w:hint="eastAsia" w:ascii="宋体" w:hAnsi="宋体" w:eastAsia="宋体" w:cs="Times New Roman"/>
          <w:b/>
          <w:color w:val="000000"/>
          <w:szCs w:val="21"/>
          <w:highlight w:val="none"/>
        </w:rPr>
        <w:t>安全管理目标</w:t>
      </w:r>
    </w:p>
    <w:p w14:paraId="549D79A7">
      <w:pPr>
        <w:pageBreakBefore w:val="0"/>
        <w:kinsoku/>
        <w:wordWrap/>
        <w:overflowPunct/>
        <w:topLinePunct w:val="0"/>
        <w:bidi w:val="0"/>
        <w:spacing w:line="360" w:lineRule="auto"/>
        <w:ind w:firstLine="420" w:firstLineChars="200"/>
        <w:rPr>
          <w:rFonts w:ascii="宋体" w:hAnsi="宋体" w:eastAsia="宋体" w:cs="Times New Roman"/>
          <w:color w:val="000000"/>
          <w:szCs w:val="21"/>
          <w:highlight w:val="none"/>
        </w:rPr>
      </w:pPr>
      <w:r>
        <w:rPr>
          <w:rFonts w:hint="eastAsia" w:ascii="宋体" w:hAnsi="宋体" w:eastAsia="宋体" w:cs="Times New Roman"/>
          <w:color w:val="000000"/>
          <w:szCs w:val="21"/>
          <w:highlight w:val="none"/>
        </w:rPr>
        <w:t>乙方在本协议约定的责任范围内进行的安全生产、文明施工、治安保卫、消防管理等工作必须满足下列目标：</w:t>
      </w:r>
    </w:p>
    <w:p w14:paraId="09A3B262">
      <w:pPr>
        <w:pageBreakBefore w:val="0"/>
        <w:kinsoku/>
        <w:wordWrap/>
        <w:overflowPunct/>
        <w:topLinePunct w:val="0"/>
        <w:bidi w:val="0"/>
        <w:spacing w:line="360" w:lineRule="auto"/>
        <w:ind w:firstLine="420" w:firstLineChars="200"/>
        <w:rPr>
          <w:rFonts w:ascii="宋体" w:hAnsi="宋体" w:eastAsia="宋体" w:cs="Times New Roman"/>
          <w:color w:val="000000"/>
          <w:szCs w:val="21"/>
          <w:highlight w:val="none"/>
        </w:rPr>
      </w:pPr>
      <w:r>
        <w:rPr>
          <w:rFonts w:hint="eastAsia" w:ascii="宋体" w:hAnsi="宋体" w:eastAsia="宋体" w:cs="Times New Roman"/>
          <w:color w:val="000000"/>
          <w:szCs w:val="21"/>
          <w:highlight w:val="none"/>
        </w:rPr>
        <w:t>2.1.不发生重伤及以上人员伤亡事故；</w:t>
      </w:r>
    </w:p>
    <w:p w14:paraId="462F0DD6">
      <w:pPr>
        <w:pageBreakBefore w:val="0"/>
        <w:kinsoku/>
        <w:wordWrap/>
        <w:overflowPunct/>
        <w:topLinePunct w:val="0"/>
        <w:bidi w:val="0"/>
        <w:spacing w:line="360" w:lineRule="auto"/>
        <w:ind w:firstLine="420" w:firstLineChars="200"/>
        <w:rPr>
          <w:rFonts w:ascii="Times New Roman" w:hAnsi="Times New Roman" w:eastAsia="宋体" w:cs="Times New Roman"/>
          <w:color w:val="000000"/>
          <w:highlight w:val="none"/>
        </w:rPr>
      </w:pPr>
      <w:r>
        <w:rPr>
          <w:rFonts w:hint="eastAsia" w:ascii="宋体" w:hAnsi="宋体" w:eastAsia="宋体" w:cs="Times New Roman"/>
          <w:color w:val="000000"/>
          <w:szCs w:val="21"/>
          <w:highlight w:val="none"/>
        </w:rPr>
        <w:t>2.2不发生火灾、爆炸、机械倒塌等造成直接经济损失超过10</w:t>
      </w:r>
      <w:r>
        <w:rPr>
          <w:rFonts w:hint="eastAsia" w:ascii="宋体" w:hAnsi="宋体" w:eastAsia="宋体" w:cs="Times New Roman"/>
          <w:color w:val="000000"/>
          <w:szCs w:val="21"/>
          <w:highlight w:val="none"/>
          <w:lang w:val="en-US" w:eastAsia="zh-CN"/>
        </w:rPr>
        <w:t>0</w:t>
      </w:r>
      <w:r>
        <w:rPr>
          <w:rFonts w:hint="eastAsia" w:ascii="宋体" w:hAnsi="宋体" w:eastAsia="宋体" w:cs="Times New Roman"/>
          <w:color w:val="000000"/>
          <w:szCs w:val="21"/>
          <w:highlight w:val="none"/>
        </w:rPr>
        <w:t>万元的事故；</w:t>
      </w:r>
    </w:p>
    <w:p w14:paraId="39638449">
      <w:pPr>
        <w:pageBreakBefore w:val="0"/>
        <w:kinsoku/>
        <w:wordWrap/>
        <w:overflowPunct/>
        <w:topLinePunct w:val="0"/>
        <w:bidi w:val="0"/>
        <w:spacing w:line="360" w:lineRule="auto"/>
        <w:ind w:firstLine="420" w:firstLineChars="200"/>
        <w:rPr>
          <w:rFonts w:ascii="宋体" w:hAnsi="宋体" w:eastAsia="宋体" w:cs="Times New Roman"/>
          <w:color w:val="000000"/>
          <w:szCs w:val="21"/>
          <w:highlight w:val="none"/>
        </w:rPr>
      </w:pPr>
      <w:r>
        <w:rPr>
          <w:rFonts w:hint="eastAsia" w:ascii="宋体" w:hAnsi="宋体" w:eastAsia="宋体" w:cs="Times New Roman"/>
          <w:color w:val="000000"/>
          <w:szCs w:val="21"/>
          <w:highlight w:val="none"/>
        </w:rPr>
        <w:t>2.3不发生社会媒体负面曝光事件；</w:t>
      </w:r>
    </w:p>
    <w:p w14:paraId="0475805E">
      <w:pPr>
        <w:pageBreakBefore w:val="0"/>
        <w:kinsoku/>
        <w:wordWrap/>
        <w:overflowPunct/>
        <w:topLinePunct w:val="0"/>
        <w:bidi w:val="0"/>
        <w:spacing w:line="360" w:lineRule="auto"/>
        <w:ind w:firstLine="420" w:firstLineChars="200"/>
        <w:rPr>
          <w:rFonts w:ascii="宋体" w:hAnsi="宋体" w:eastAsia="宋体" w:cs="Times New Roman"/>
          <w:color w:val="000000"/>
          <w:szCs w:val="21"/>
          <w:highlight w:val="none"/>
        </w:rPr>
      </w:pPr>
      <w:r>
        <w:rPr>
          <w:rFonts w:hint="eastAsia" w:ascii="宋体" w:hAnsi="宋体" w:eastAsia="宋体" w:cs="Times New Roman"/>
          <w:color w:val="000000"/>
          <w:szCs w:val="21"/>
          <w:highlight w:val="none"/>
        </w:rPr>
        <w:t>2.4不发生治安保卫事件（构成刑事拘留及以上的事件、盗窃直接损失超过1</w:t>
      </w:r>
      <w:r>
        <w:rPr>
          <w:rFonts w:hint="eastAsia" w:ascii="宋体" w:hAnsi="宋体" w:eastAsia="宋体" w:cs="Times New Roman"/>
          <w:color w:val="000000"/>
          <w:szCs w:val="21"/>
          <w:highlight w:val="none"/>
          <w:lang w:val="en-US" w:eastAsia="zh-CN"/>
        </w:rPr>
        <w:t>0</w:t>
      </w:r>
      <w:r>
        <w:rPr>
          <w:rFonts w:hint="eastAsia" w:ascii="宋体" w:hAnsi="宋体" w:eastAsia="宋体" w:cs="Times New Roman"/>
          <w:color w:val="000000"/>
          <w:szCs w:val="21"/>
          <w:highlight w:val="none"/>
        </w:rPr>
        <w:t>万元人民币的事件）；</w:t>
      </w:r>
    </w:p>
    <w:p w14:paraId="3DF61331">
      <w:pPr>
        <w:pageBreakBefore w:val="0"/>
        <w:kinsoku/>
        <w:wordWrap/>
        <w:overflowPunct/>
        <w:topLinePunct w:val="0"/>
        <w:bidi w:val="0"/>
        <w:spacing w:line="360" w:lineRule="auto"/>
        <w:ind w:firstLine="420" w:firstLineChars="200"/>
        <w:rPr>
          <w:rFonts w:ascii="宋体" w:hAnsi="宋体" w:eastAsia="宋体" w:cs="Times New Roman"/>
          <w:color w:val="000000"/>
          <w:szCs w:val="21"/>
          <w:highlight w:val="none"/>
        </w:rPr>
      </w:pPr>
      <w:r>
        <w:rPr>
          <w:rFonts w:hint="eastAsia" w:ascii="宋体" w:hAnsi="宋体" w:eastAsia="宋体" w:cs="Times New Roman"/>
          <w:color w:val="000000"/>
          <w:szCs w:val="21"/>
          <w:highlight w:val="none"/>
        </w:rPr>
        <w:t>2.5不发生集体食物中毒事件（同时5人及以上的食物中毒）；</w:t>
      </w:r>
    </w:p>
    <w:p w14:paraId="7E9587FB">
      <w:pPr>
        <w:pageBreakBefore w:val="0"/>
        <w:kinsoku/>
        <w:wordWrap/>
        <w:overflowPunct/>
        <w:topLinePunct w:val="0"/>
        <w:bidi w:val="0"/>
        <w:spacing w:line="360" w:lineRule="auto"/>
        <w:ind w:firstLine="420" w:firstLineChars="200"/>
        <w:rPr>
          <w:rFonts w:ascii="宋体" w:hAnsi="宋体" w:eastAsia="宋体" w:cs="Times New Roman"/>
          <w:color w:val="000000"/>
          <w:szCs w:val="21"/>
          <w:highlight w:val="none"/>
        </w:rPr>
      </w:pPr>
      <w:r>
        <w:rPr>
          <w:rFonts w:hint="eastAsia" w:ascii="宋体" w:hAnsi="宋体" w:eastAsia="宋体" w:cs="Times New Roman"/>
          <w:color w:val="000000"/>
          <w:szCs w:val="21"/>
          <w:highlight w:val="none"/>
        </w:rPr>
        <w:t>2.6不发生新冠肺炎等公共卫生事件及职业病事件；</w:t>
      </w:r>
    </w:p>
    <w:p w14:paraId="3A287761">
      <w:pPr>
        <w:pageBreakBefore w:val="0"/>
        <w:kinsoku/>
        <w:wordWrap/>
        <w:overflowPunct/>
        <w:topLinePunct w:val="0"/>
        <w:bidi w:val="0"/>
        <w:spacing w:line="360" w:lineRule="auto"/>
        <w:ind w:firstLine="420" w:firstLineChars="200"/>
        <w:rPr>
          <w:rFonts w:ascii="宋体" w:hAnsi="宋体" w:eastAsia="宋体" w:cs="Times New Roman"/>
          <w:color w:val="000000"/>
          <w:szCs w:val="21"/>
          <w:highlight w:val="none"/>
        </w:rPr>
      </w:pPr>
      <w:r>
        <w:rPr>
          <w:rFonts w:hint="eastAsia" w:ascii="宋体" w:hAnsi="宋体" w:eastAsia="宋体" w:cs="Times New Roman"/>
          <w:color w:val="000000"/>
          <w:szCs w:val="21"/>
          <w:highlight w:val="none"/>
        </w:rPr>
        <w:t>2.7项目负责人、专职安全管理人员、特种作业人员、特种设备操作人员持证上岗率达100%；</w:t>
      </w:r>
    </w:p>
    <w:p w14:paraId="13626357">
      <w:pPr>
        <w:pageBreakBefore w:val="0"/>
        <w:kinsoku/>
        <w:wordWrap/>
        <w:overflowPunct/>
        <w:topLinePunct w:val="0"/>
        <w:bidi w:val="0"/>
        <w:spacing w:line="360" w:lineRule="auto"/>
        <w:ind w:firstLine="420" w:firstLineChars="200"/>
        <w:rPr>
          <w:rFonts w:ascii="宋体" w:hAnsi="宋体" w:eastAsia="宋体" w:cs="Times New Roman"/>
          <w:color w:val="000000"/>
          <w:szCs w:val="21"/>
          <w:highlight w:val="none"/>
        </w:rPr>
      </w:pPr>
      <w:r>
        <w:rPr>
          <w:rFonts w:hint="eastAsia" w:ascii="宋体" w:hAnsi="宋体" w:eastAsia="宋体" w:cs="Times New Roman"/>
          <w:color w:val="000000"/>
          <w:szCs w:val="21"/>
          <w:highlight w:val="none"/>
        </w:rPr>
        <w:t>2.8现场作业人员安全教育培训合格率100%；</w:t>
      </w:r>
    </w:p>
    <w:p w14:paraId="7BB4D1AD">
      <w:pPr>
        <w:pageBreakBefore w:val="0"/>
        <w:kinsoku/>
        <w:wordWrap/>
        <w:overflowPunct/>
        <w:topLinePunct w:val="0"/>
        <w:bidi w:val="0"/>
        <w:spacing w:line="360" w:lineRule="auto"/>
        <w:ind w:firstLine="420" w:firstLineChars="200"/>
        <w:rPr>
          <w:rFonts w:hint="eastAsia" w:ascii="宋体" w:hAnsi="宋体" w:eastAsia="宋体" w:cs="Times New Roman"/>
          <w:color w:val="000000"/>
          <w:szCs w:val="21"/>
          <w:highlight w:val="none"/>
          <w:lang w:eastAsia="zh-CN"/>
        </w:rPr>
      </w:pPr>
      <w:r>
        <w:rPr>
          <w:rFonts w:hint="eastAsia" w:ascii="宋体" w:hAnsi="宋体" w:eastAsia="宋体" w:cs="Times New Roman"/>
          <w:color w:val="000000"/>
          <w:szCs w:val="21"/>
          <w:highlight w:val="none"/>
        </w:rPr>
        <w:t>2.9各类安全整改要求文件按期关闭率100%</w:t>
      </w:r>
      <w:r>
        <w:rPr>
          <w:rFonts w:hint="eastAsia" w:ascii="宋体" w:hAnsi="宋体" w:eastAsia="宋体" w:cs="Times New Roman"/>
          <w:color w:val="000000"/>
          <w:szCs w:val="21"/>
          <w:highlight w:val="none"/>
          <w:lang w:eastAsia="zh-CN"/>
        </w:rPr>
        <w:t>；</w:t>
      </w:r>
    </w:p>
    <w:p w14:paraId="0C0F919D">
      <w:pPr>
        <w:pageBreakBefore w:val="0"/>
        <w:kinsoku/>
        <w:wordWrap/>
        <w:overflowPunct/>
        <w:topLinePunct w:val="0"/>
        <w:bidi w:val="0"/>
        <w:spacing w:line="360" w:lineRule="auto"/>
        <w:ind w:firstLine="420" w:firstLineChars="200"/>
        <w:rPr>
          <w:rFonts w:hint="eastAsia" w:ascii="宋体" w:hAnsi="宋体" w:eastAsia="宋体" w:cs="Times New Roman"/>
          <w:color w:val="000000"/>
          <w:szCs w:val="21"/>
          <w:highlight w:val="none"/>
          <w:lang w:eastAsia="zh-CN"/>
        </w:rPr>
      </w:pPr>
      <w:r>
        <w:rPr>
          <w:rFonts w:hint="eastAsia" w:ascii="宋体" w:hAnsi="宋体" w:eastAsia="宋体" w:cs="Times New Roman"/>
          <w:color w:val="000000"/>
          <w:szCs w:val="21"/>
          <w:highlight w:val="none"/>
        </w:rPr>
        <w:t>2.10 事故事件上报合规率100%</w:t>
      </w:r>
      <w:r>
        <w:rPr>
          <w:rFonts w:hint="eastAsia" w:ascii="宋体" w:hAnsi="宋体" w:eastAsia="宋体" w:cs="Times New Roman"/>
          <w:color w:val="000000"/>
          <w:szCs w:val="21"/>
          <w:highlight w:val="none"/>
          <w:lang w:eastAsia="zh-CN"/>
        </w:rPr>
        <w:t>；</w:t>
      </w:r>
    </w:p>
    <w:p w14:paraId="46ED5E6E">
      <w:pPr>
        <w:pageBreakBefore w:val="0"/>
        <w:kinsoku/>
        <w:wordWrap/>
        <w:overflowPunct/>
        <w:topLinePunct w:val="0"/>
        <w:bidi w:val="0"/>
        <w:spacing w:line="360" w:lineRule="auto"/>
        <w:ind w:firstLine="420" w:firstLineChars="200"/>
        <w:rPr>
          <w:rFonts w:hint="eastAsia" w:ascii="宋体" w:hAnsi="宋体" w:eastAsia="宋体" w:cs="Times New Roman"/>
          <w:color w:val="000000"/>
          <w:szCs w:val="21"/>
          <w:highlight w:val="none"/>
        </w:rPr>
      </w:pPr>
      <w:r>
        <w:rPr>
          <w:rFonts w:hint="eastAsia" w:ascii="宋体" w:hAnsi="宋体" w:eastAsia="宋体" w:cs="Times New Roman"/>
          <w:color w:val="000000"/>
          <w:szCs w:val="21"/>
          <w:highlight w:val="none"/>
        </w:rPr>
        <w:t>2.1</w:t>
      </w:r>
      <w:r>
        <w:rPr>
          <w:rFonts w:hint="eastAsia" w:ascii="宋体" w:hAnsi="宋体" w:eastAsia="宋体" w:cs="Times New Roman"/>
          <w:color w:val="000000"/>
          <w:szCs w:val="21"/>
          <w:highlight w:val="none"/>
          <w:lang w:val="en-US" w:eastAsia="zh-CN"/>
        </w:rPr>
        <w:t>1</w:t>
      </w:r>
      <w:r>
        <w:rPr>
          <w:rFonts w:hint="eastAsia" w:ascii="宋体" w:hAnsi="宋体" w:eastAsia="宋体" w:cs="Times New Roman"/>
          <w:color w:val="000000"/>
          <w:szCs w:val="21"/>
          <w:highlight w:val="none"/>
        </w:rPr>
        <w:t>作业人员的安全劳动防护用品分发、使用率100%；</w:t>
      </w:r>
    </w:p>
    <w:p w14:paraId="2DE1EFCE">
      <w:pPr>
        <w:pageBreakBefore w:val="0"/>
        <w:kinsoku/>
        <w:wordWrap/>
        <w:overflowPunct/>
        <w:topLinePunct w:val="0"/>
        <w:bidi w:val="0"/>
        <w:spacing w:line="360" w:lineRule="auto"/>
        <w:ind w:left="420" w:leftChars="200" w:firstLine="0" w:firstLineChars="0"/>
        <w:rPr>
          <w:rFonts w:hint="eastAsia" w:ascii="宋体" w:hAnsi="宋体" w:eastAsia="宋体" w:cs="Times New Roman"/>
          <w:color w:val="000000"/>
          <w:szCs w:val="21"/>
          <w:highlight w:val="none"/>
          <w:lang w:eastAsia="zh-CN"/>
        </w:rPr>
      </w:pPr>
      <w:r>
        <w:rPr>
          <w:rFonts w:hint="eastAsia" w:ascii="宋体" w:hAnsi="宋体" w:eastAsia="宋体" w:cs="Times New Roman"/>
          <w:color w:val="000000"/>
          <w:szCs w:val="21"/>
          <w:highlight w:val="none"/>
        </w:rPr>
        <w:t>2.1</w:t>
      </w:r>
      <w:r>
        <w:rPr>
          <w:rFonts w:hint="eastAsia" w:ascii="宋体" w:hAnsi="宋体" w:eastAsia="宋体" w:cs="Times New Roman"/>
          <w:color w:val="000000"/>
          <w:szCs w:val="21"/>
          <w:highlight w:val="none"/>
          <w:lang w:val="en-US" w:eastAsia="zh-CN"/>
        </w:rPr>
        <w:t>2</w:t>
      </w:r>
      <w:r>
        <w:rPr>
          <w:rFonts w:hint="eastAsia" w:ascii="宋体" w:hAnsi="宋体" w:eastAsia="宋体" w:cs="Times New Roman"/>
          <w:color w:val="000000"/>
          <w:szCs w:val="21"/>
          <w:highlight w:val="none"/>
        </w:rPr>
        <w:t>劳务分包单位人员“劳动合同签订率”、“社保缴纳率”、“实名制注册率”100%</w:t>
      </w:r>
      <w:r>
        <w:rPr>
          <w:rFonts w:hint="eastAsia" w:ascii="宋体" w:hAnsi="宋体" w:eastAsia="宋体" w:cs="Times New Roman"/>
          <w:color w:val="000000"/>
          <w:szCs w:val="21"/>
          <w:highlight w:val="none"/>
          <w:lang w:eastAsia="zh-CN"/>
        </w:rPr>
        <w:t>；</w:t>
      </w:r>
    </w:p>
    <w:p w14:paraId="2C188340">
      <w:pPr>
        <w:pageBreakBefore w:val="0"/>
        <w:kinsoku/>
        <w:wordWrap/>
        <w:overflowPunct/>
        <w:topLinePunct w:val="0"/>
        <w:bidi w:val="0"/>
        <w:spacing w:line="360" w:lineRule="auto"/>
        <w:ind w:left="420" w:leftChars="200" w:firstLine="0" w:firstLineChars="0"/>
        <w:rPr>
          <w:rFonts w:hint="eastAsia" w:ascii="宋体" w:hAnsi="宋体" w:eastAsia="宋体" w:cs="Times New Roman"/>
          <w:color w:val="000000"/>
          <w:szCs w:val="21"/>
          <w:highlight w:val="none"/>
          <w:lang w:eastAsia="zh-CN"/>
        </w:rPr>
      </w:pPr>
      <w:r>
        <w:rPr>
          <w:rFonts w:ascii="宋体" w:hAnsi="宋体" w:eastAsia="宋体" w:cs="Times New Roman"/>
          <w:color w:val="000000"/>
          <w:szCs w:val="21"/>
          <w:highlight w:val="none"/>
        </w:rPr>
        <w:t>2.</w:t>
      </w:r>
      <w:r>
        <w:rPr>
          <w:rFonts w:hint="eastAsia" w:ascii="宋体" w:hAnsi="宋体" w:eastAsia="宋体" w:cs="Times New Roman"/>
          <w:color w:val="000000"/>
          <w:szCs w:val="21"/>
          <w:highlight w:val="none"/>
          <w:lang w:val="en-US" w:eastAsia="zh-CN"/>
        </w:rPr>
        <w:t>13</w:t>
      </w:r>
      <w:r>
        <w:rPr>
          <w:rFonts w:hint="eastAsia" w:ascii="宋体" w:hAnsi="宋体" w:eastAsia="宋体" w:cs="Times New Roman"/>
          <w:color w:val="000000"/>
          <w:szCs w:val="21"/>
          <w:highlight w:val="none"/>
        </w:rPr>
        <w:t>不发生在施工现场用车而引起的各类交通事故</w:t>
      </w:r>
      <w:r>
        <w:rPr>
          <w:rFonts w:hint="eastAsia" w:ascii="宋体" w:hAnsi="宋体" w:eastAsia="宋体" w:cs="Times New Roman"/>
          <w:color w:val="000000"/>
          <w:szCs w:val="21"/>
          <w:highlight w:val="none"/>
          <w:lang w:eastAsia="zh-CN"/>
        </w:rPr>
        <w:t>。</w:t>
      </w:r>
    </w:p>
    <w:p w14:paraId="125356E6">
      <w:pPr>
        <w:pageBreakBefore w:val="0"/>
        <w:kinsoku/>
        <w:wordWrap/>
        <w:overflowPunct/>
        <w:topLinePunct w:val="0"/>
        <w:bidi w:val="0"/>
        <w:spacing w:line="360" w:lineRule="auto"/>
        <w:ind w:firstLine="422" w:firstLineChars="200"/>
        <w:rPr>
          <w:rFonts w:ascii="宋体" w:hAnsi="宋体" w:eastAsia="宋体" w:cs="Times New Roman"/>
          <w:b/>
          <w:color w:val="000000"/>
          <w:szCs w:val="21"/>
          <w:highlight w:val="none"/>
        </w:rPr>
      </w:pPr>
      <w:r>
        <w:rPr>
          <w:rFonts w:hint="eastAsia" w:ascii="宋体" w:hAnsi="宋体" w:eastAsia="宋体" w:cs="Times New Roman"/>
          <w:b/>
          <w:color w:val="000000"/>
          <w:szCs w:val="21"/>
          <w:highlight w:val="none"/>
        </w:rPr>
        <w:t>第三条</w:t>
      </w:r>
      <w:r>
        <w:rPr>
          <w:rFonts w:ascii="宋体" w:hAnsi="宋体" w:eastAsia="宋体" w:cs="Times New Roman"/>
          <w:b/>
          <w:color w:val="000000"/>
          <w:szCs w:val="21"/>
          <w:highlight w:val="none"/>
        </w:rPr>
        <w:tab/>
      </w:r>
      <w:r>
        <w:rPr>
          <w:rFonts w:hint="eastAsia" w:ascii="宋体" w:hAnsi="宋体" w:eastAsia="宋体" w:cs="Times New Roman"/>
          <w:b/>
          <w:color w:val="000000"/>
          <w:szCs w:val="21"/>
          <w:highlight w:val="none"/>
        </w:rPr>
        <w:t>甲方权利义务</w:t>
      </w:r>
    </w:p>
    <w:p w14:paraId="772D87EE">
      <w:pPr>
        <w:pageBreakBefore w:val="0"/>
        <w:kinsoku/>
        <w:wordWrap/>
        <w:overflowPunct/>
        <w:topLinePunct w:val="0"/>
        <w:bidi w:val="0"/>
        <w:spacing w:line="360" w:lineRule="auto"/>
        <w:ind w:firstLine="420" w:firstLineChars="200"/>
        <w:rPr>
          <w:rFonts w:ascii="宋体" w:hAnsi="宋体" w:eastAsia="宋体" w:cs="Times New Roman"/>
          <w:color w:val="000000"/>
          <w:szCs w:val="21"/>
          <w:highlight w:val="none"/>
        </w:rPr>
      </w:pPr>
      <w:r>
        <w:rPr>
          <w:rFonts w:hint="eastAsia" w:ascii="宋体" w:hAnsi="宋体" w:eastAsia="宋体" w:cs="Times New Roman"/>
          <w:color w:val="000000"/>
          <w:szCs w:val="21"/>
          <w:highlight w:val="none"/>
        </w:rPr>
        <w:t>3</w:t>
      </w:r>
      <w:r>
        <w:rPr>
          <w:rFonts w:ascii="宋体" w:hAnsi="宋体" w:eastAsia="宋体" w:cs="Times New Roman"/>
          <w:color w:val="000000"/>
          <w:szCs w:val="21"/>
          <w:highlight w:val="none"/>
        </w:rPr>
        <w:t>.1</w:t>
      </w:r>
      <w:r>
        <w:rPr>
          <w:rFonts w:hint="eastAsia" w:ascii="宋体" w:hAnsi="宋体" w:eastAsia="宋体" w:cs="Times New Roman"/>
          <w:color w:val="000000"/>
          <w:szCs w:val="21"/>
          <w:highlight w:val="none"/>
        </w:rPr>
        <w:t>甲方有权对乙方的资质进行审查，不得将劳务作业发包给不具</w:t>
      </w:r>
      <w:r>
        <w:rPr>
          <w:rFonts w:ascii="宋体" w:hAnsi="宋体" w:eastAsia="宋体" w:cs="Times New Roman"/>
          <w:color w:val="000000"/>
          <w:szCs w:val="21"/>
          <w:highlight w:val="none"/>
        </w:rPr>
        <w:t>相应资质的劳务分包单位</w:t>
      </w:r>
      <w:r>
        <w:rPr>
          <w:rFonts w:hint="eastAsia" w:ascii="宋体" w:hAnsi="宋体" w:eastAsia="宋体" w:cs="Times New Roman"/>
          <w:color w:val="000000"/>
          <w:szCs w:val="21"/>
          <w:highlight w:val="none"/>
        </w:rPr>
        <w:t>。</w:t>
      </w:r>
    </w:p>
    <w:p w14:paraId="34DA6A72">
      <w:pPr>
        <w:pageBreakBefore w:val="0"/>
        <w:widowControl/>
        <w:kinsoku/>
        <w:wordWrap/>
        <w:overflowPunct/>
        <w:topLinePunct w:val="0"/>
        <w:bidi w:val="0"/>
        <w:spacing w:line="360" w:lineRule="auto"/>
        <w:ind w:firstLine="420" w:firstLineChars="200"/>
        <w:jc w:val="left"/>
        <w:rPr>
          <w:rFonts w:ascii="宋体" w:hAnsi="宋体" w:eastAsia="宋体" w:cs="Times New Roman"/>
          <w:color w:val="000000"/>
          <w:szCs w:val="21"/>
          <w:highlight w:val="none"/>
        </w:rPr>
      </w:pPr>
      <w:r>
        <w:rPr>
          <w:rFonts w:hint="eastAsia" w:ascii="宋体" w:hAnsi="宋体" w:eastAsia="宋体" w:cs="Times New Roman"/>
          <w:color w:val="000000"/>
          <w:szCs w:val="21"/>
          <w:highlight w:val="none"/>
        </w:rPr>
        <w:t>3.2甲方</w:t>
      </w:r>
      <w:r>
        <w:rPr>
          <w:rFonts w:ascii="宋体" w:hAnsi="宋体" w:eastAsia="宋体" w:cs="Times New Roman"/>
          <w:color w:val="000000"/>
          <w:szCs w:val="21"/>
          <w:highlight w:val="none"/>
        </w:rPr>
        <w:t>向</w:t>
      </w:r>
      <w:r>
        <w:rPr>
          <w:rFonts w:hint="eastAsia" w:ascii="宋体" w:hAnsi="宋体" w:eastAsia="宋体" w:cs="Times New Roman"/>
          <w:color w:val="000000"/>
          <w:szCs w:val="21"/>
          <w:highlight w:val="none"/>
        </w:rPr>
        <w:t>乙方</w:t>
      </w:r>
      <w:r>
        <w:rPr>
          <w:rFonts w:ascii="宋体" w:hAnsi="宋体" w:eastAsia="宋体" w:cs="Times New Roman"/>
          <w:color w:val="000000"/>
          <w:szCs w:val="21"/>
          <w:highlight w:val="none"/>
        </w:rPr>
        <w:t>交付具体本合同项下劳务作业</w:t>
      </w:r>
      <w:r>
        <w:rPr>
          <w:rFonts w:hint="eastAsia" w:ascii="宋体" w:hAnsi="宋体" w:eastAsia="宋体" w:cs="Times New Roman"/>
          <w:color w:val="000000"/>
          <w:szCs w:val="21"/>
          <w:highlight w:val="none"/>
        </w:rPr>
        <w:t>符合</w:t>
      </w:r>
      <w:r>
        <w:rPr>
          <w:rFonts w:ascii="宋体" w:hAnsi="宋体" w:eastAsia="宋体" w:cs="Times New Roman"/>
          <w:color w:val="000000"/>
          <w:szCs w:val="21"/>
          <w:highlight w:val="none"/>
        </w:rPr>
        <w:t>开工条件的施工场地，向</w:t>
      </w:r>
      <w:r>
        <w:rPr>
          <w:rFonts w:hint="eastAsia" w:ascii="宋体" w:hAnsi="宋体" w:eastAsia="宋体" w:cs="Times New Roman"/>
          <w:color w:val="000000"/>
          <w:szCs w:val="21"/>
          <w:highlight w:val="none"/>
          <w:lang w:eastAsia="zh-CN"/>
        </w:rPr>
        <w:t>乙方</w:t>
      </w:r>
      <w:r>
        <w:rPr>
          <w:rFonts w:ascii="宋体" w:hAnsi="宋体" w:eastAsia="宋体" w:cs="Times New Roman"/>
          <w:color w:val="000000"/>
          <w:szCs w:val="21"/>
          <w:highlight w:val="none"/>
        </w:rPr>
        <w:t>提供相应的工程地质和地下管网线路资料，按时提供图纸,及时交付工程材料,设备</w:t>
      </w:r>
      <w:r>
        <w:rPr>
          <w:rFonts w:hint="eastAsia" w:ascii="宋体" w:hAnsi="宋体" w:eastAsia="宋体" w:cs="Times New Roman"/>
          <w:color w:val="000000"/>
          <w:szCs w:val="21"/>
          <w:highlight w:val="none"/>
        </w:rPr>
        <w:t>。</w:t>
      </w:r>
      <w:r>
        <w:rPr>
          <w:rFonts w:ascii="宋体" w:hAnsi="宋体" w:eastAsia="宋体" w:cs="Times New Roman"/>
          <w:color w:val="000000"/>
          <w:szCs w:val="21"/>
          <w:highlight w:val="none"/>
        </w:rPr>
        <w:t>所提供的施工机械设备,保证</w:t>
      </w:r>
      <w:r>
        <w:rPr>
          <w:rFonts w:hint="eastAsia" w:ascii="宋体" w:hAnsi="宋体" w:eastAsia="宋体" w:cs="Times New Roman"/>
          <w:color w:val="000000"/>
          <w:szCs w:val="21"/>
          <w:highlight w:val="none"/>
        </w:rPr>
        <w:t>安全</w:t>
      </w:r>
      <w:r>
        <w:rPr>
          <w:rFonts w:ascii="宋体" w:hAnsi="宋体" w:eastAsia="宋体" w:cs="Times New Roman"/>
          <w:color w:val="000000"/>
          <w:szCs w:val="21"/>
          <w:highlight w:val="none"/>
        </w:rPr>
        <w:t>施工需要</w:t>
      </w:r>
      <w:r>
        <w:rPr>
          <w:rFonts w:hint="eastAsia" w:ascii="宋体" w:hAnsi="宋体" w:eastAsia="宋体" w:cs="Times New Roman"/>
          <w:color w:val="000000"/>
          <w:szCs w:val="21"/>
          <w:highlight w:val="none"/>
        </w:rPr>
        <w:t>。</w:t>
      </w:r>
    </w:p>
    <w:p w14:paraId="721519B1">
      <w:pPr>
        <w:pageBreakBefore w:val="0"/>
        <w:widowControl/>
        <w:kinsoku/>
        <w:wordWrap/>
        <w:overflowPunct/>
        <w:topLinePunct w:val="0"/>
        <w:bidi w:val="0"/>
        <w:spacing w:line="360" w:lineRule="auto"/>
        <w:ind w:firstLine="420" w:firstLineChars="200"/>
        <w:jc w:val="left"/>
        <w:rPr>
          <w:rFonts w:ascii="宋体" w:hAnsi="宋体" w:eastAsia="宋体" w:cs="Times New Roman"/>
          <w:color w:val="000000"/>
          <w:szCs w:val="21"/>
          <w:highlight w:val="none"/>
        </w:rPr>
      </w:pPr>
      <w:r>
        <w:rPr>
          <w:rFonts w:hint="eastAsia" w:ascii="宋体" w:hAnsi="宋体" w:eastAsia="宋体" w:cs="Times New Roman"/>
          <w:color w:val="000000"/>
          <w:szCs w:val="21"/>
          <w:highlight w:val="none"/>
        </w:rPr>
        <w:t>3</w:t>
      </w:r>
      <w:r>
        <w:rPr>
          <w:rFonts w:ascii="宋体" w:hAnsi="宋体" w:eastAsia="宋体" w:cs="Times New Roman"/>
          <w:color w:val="000000"/>
          <w:szCs w:val="21"/>
          <w:highlight w:val="none"/>
        </w:rPr>
        <w:t>.3甲方应按照法律法规要求，对乙方人员进行入场和岗位的安全教育、培训，人员经考核合格后方可上岗，并留有记录。</w:t>
      </w:r>
    </w:p>
    <w:p w14:paraId="3A12AEA3">
      <w:pPr>
        <w:pageBreakBefore w:val="0"/>
        <w:kinsoku/>
        <w:wordWrap/>
        <w:overflowPunct/>
        <w:topLinePunct w:val="0"/>
        <w:bidi w:val="0"/>
        <w:spacing w:line="360" w:lineRule="auto"/>
        <w:ind w:firstLine="420" w:firstLineChars="200"/>
        <w:rPr>
          <w:rFonts w:ascii="宋体" w:hAnsi="宋体" w:eastAsia="宋体" w:cs="Times New Roman"/>
          <w:color w:val="000000"/>
          <w:szCs w:val="21"/>
          <w:highlight w:val="none"/>
          <w:shd w:val="clear" w:color="auto" w:fill="FFFFFF"/>
        </w:rPr>
      </w:pPr>
      <w:r>
        <w:rPr>
          <w:rFonts w:hint="eastAsia" w:ascii="宋体" w:hAnsi="宋体" w:eastAsia="宋体" w:cs="Times New Roman"/>
          <w:color w:val="000000"/>
          <w:szCs w:val="21"/>
          <w:highlight w:val="none"/>
        </w:rPr>
        <w:t>3</w:t>
      </w:r>
      <w:r>
        <w:rPr>
          <w:rFonts w:ascii="宋体" w:hAnsi="宋体" w:eastAsia="宋体" w:cs="Times New Roman"/>
          <w:color w:val="000000"/>
          <w:szCs w:val="21"/>
          <w:highlight w:val="none"/>
          <w:shd w:val="clear" w:color="auto" w:fill="FFFFFF"/>
        </w:rPr>
        <w:t>.4甲方在施工前及过程中应及时向乙方进行安全技术交底并认真履行签字手续。</w:t>
      </w:r>
    </w:p>
    <w:p w14:paraId="49E3A0B1">
      <w:pPr>
        <w:pageBreakBefore w:val="0"/>
        <w:kinsoku/>
        <w:wordWrap/>
        <w:overflowPunct/>
        <w:topLinePunct w:val="0"/>
        <w:bidi w:val="0"/>
        <w:spacing w:line="360" w:lineRule="auto"/>
        <w:ind w:firstLine="420" w:firstLineChars="200"/>
        <w:rPr>
          <w:rFonts w:ascii="宋体" w:hAnsi="宋体" w:eastAsia="宋体" w:cs="Times New Roman"/>
          <w:color w:val="000000"/>
          <w:szCs w:val="21"/>
          <w:highlight w:val="none"/>
        </w:rPr>
      </w:pPr>
      <w:r>
        <w:rPr>
          <w:rFonts w:hint="eastAsia" w:ascii="宋体" w:hAnsi="宋体" w:eastAsia="宋体" w:cs="Times New Roman"/>
          <w:color w:val="000000"/>
          <w:szCs w:val="21"/>
          <w:highlight w:val="none"/>
        </w:rPr>
        <w:t>3</w:t>
      </w:r>
      <w:r>
        <w:rPr>
          <w:rFonts w:ascii="宋体" w:hAnsi="宋体" w:eastAsia="宋体" w:cs="Times New Roman"/>
          <w:color w:val="000000"/>
          <w:szCs w:val="21"/>
          <w:highlight w:val="none"/>
          <w:shd w:val="clear" w:color="auto" w:fill="FFFFFF"/>
        </w:rPr>
        <w:t>.5甲方</w:t>
      </w:r>
      <w:r>
        <w:rPr>
          <w:rFonts w:hint="eastAsia" w:ascii="宋体" w:hAnsi="宋体" w:eastAsia="宋体" w:cs="Times New Roman"/>
          <w:color w:val="000000"/>
          <w:szCs w:val="21"/>
          <w:highlight w:val="none"/>
        </w:rPr>
        <w:t>应定期对乙方施工过程进行安全环保检查，针对乙方在施工生产中存在安全事故隐患、违章作业、违章指挥等行为有权签发整改通知单和罚款单，针对乙方严重违章作业及危及人员生命和财产安全的行为，有权要求立即停工。若乙方在施工过程中出现严重安全隐患并屡教不改，不服从管理的，甲方有</w:t>
      </w:r>
      <w:r>
        <w:rPr>
          <w:rFonts w:hint="eastAsia" w:ascii="宋体" w:hAnsi="宋体" w:eastAsia="宋体" w:cs="Times New Roman"/>
          <w:color w:val="000000"/>
          <w:szCs w:val="21"/>
          <w:highlight w:val="none"/>
          <w:lang w:val="en-US" w:eastAsia="zh-CN"/>
        </w:rPr>
        <w:t>权</w:t>
      </w:r>
      <w:r>
        <w:rPr>
          <w:rFonts w:hint="eastAsia" w:ascii="宋体" w:hAnsi="宋体" w:eastAsia="宋体" w:cs="Times New Roman"/>
          <w:color w:val="000000"/>
          <w:szCs w:val="21"/>
          <w:highlight w:val="none"/>
        </w:rPr>
        <w:t>解除合同，并由乙方承担由此而产生的一切责任。</w:t>
      </w:r>
    </w:p>
    <w:p w14:paraId="59BD71D1">
      <w:pPr>
        <w:pageBreakBefore w:val="0"/>
        <w:widowControl/>
        <w:kinsoku/>
        <w:wordWrap/>
        <w:overflowPunct/>
        <w:topLinePunct w:val="0"/>
        <w:bidi w:val="0"/>
        <w:spacing w:line="360" w:lineRule="auto"/>
        <w:ind w:firstLine="420" w:firstLineChars="200"/>
        <w:jc w:val="left"/>
        <w:rPr>
          <w:rFonts w:ascii="宋体" w:hAnsi="宋体" w:eastAsia="宋体" w:cs="Times New Roman"/>
          <w:color w:val="000000"/>
          <w:szCs w:val="21"/>
          <w:highlight w:val="none"/>
        </w:rPr>
      </w:pPr>
      <w:r>
        <w:rPr>
          <w:rFonts w:hint="eastAsia" w:ascii="宋体" w:hAnsi="宋体" w:eastAsia="宋体" w:cs="Times New Roman"/>
          <w:color w:val="000000"/>
          <w:szCs w:val="21"/>
          <w:highlight w:val="none"/>
        </w:rPr>
        <w:t>3</w:t>
      </w:r>
      <w:r>
        <w:rPr>
          <w:rFonts w:ascii="宋体" w:hAnsi="宋体" w:eastAsia="宋体" w:cs="Times New Roman"/>
          <w:color w:val="000000"/>
          <w:szCs w:val="21"/>
          <w:highlight w:val="none"/>
        </w:rPr>
        <w:t>.6按合同约定及时向</w:t>
      </w:r>
      <w:r>
        <w:rPr>
          <w:rFonts w:hint="eastAsia" w:ascii="宋体" w:hAnsi="宋体" w:eastAsia="宋体" w:cs="Times New Roman"/>
          <w:color w:val="000000"/>
          <w:szCs w:val="21"/>
          <w:highlight w:val="none"/>
          <w:lang w:eastAsia="zh-CN"/>
        </w:rPr>
        <w:t>乙方</w:t>
      </w:r>
      <w:r>
        <w:rPr>
          <w:rFonts w:ascii="宋体" w:hAnsi="宋体" w:eastAsia="宋体" w:cs="Times New Roman"/>
          <w:color w:val="000000"/>
          <w:szCs w:val="21"/>
          <w:highlight w:val="none"/>
        </w:rPr>
        <w:t>支付劳动报酬。</w:t>
      </w:r>
    </w:p>
    <w:p w14:paraId="2F038A68">
      <w:pPr>
        <w:pageBreakBefore w:val="0"/>
        <w:kinsoku/>
        <w:wordWrap/>
        <w:overflowPunct/>
        <w:topLinePunct w:val="0"/>
        <w:bidi w:val="0"/>
        <w:spacing w:line="360" w:lineRule="auto"/>
        <w:ind w:firstLine="420" w:firstLineChars="200"/>
        <w:rPr>
          <w:rFonts w:ascii="宋体" w:hAnsi="宋体" w:eastAsia="宋体" w:cs="Times New Roman"/>
          <w:color w:val="000000"/>
          <w:szCs w:val="21"/>
          <w:highlight w:val="none"/>
        </w:rPr>
      </w:pPr>
      <w:r>
        <w:rPr>
          <w:rFonts w:hint="eastAsia" w:ascii="宋体" w:hAnsi="宋体" w:eastAsia="宋体" w:cs="Times New Roman"/>
          <w:color w:val="000000"/>
          <w:szCs w:val="21"/>
          <w:highlight w:val="none"/>
        </w:rPr>
        <w:t>3</w:t>
      </w:r>
      <w:r>
        <w:rPr>
          <w:rFonts w:ascii="宋体" w:hAnsi="宋体" w:eastAsia="宋体" w:cs="Times New Roman"/>
          <w:color w:val="000000"/>
          <w:szCs w:val="21"/>
          <w:highlight w:val="none"/>
        </w:rPr>
        <w:t>.</w:t>
      </w:r>
      <w:r>
        <w:rPr>
          <w:rFonts w:hint="eastAsia" w:ascii="宋体" w:hAnsi="宋体" w:eastAsia="宋体" w:cs="Times New Roman"/>
          <w:color w:val="000000"/>
          <w:szCs w:val="21"/>
          <w:highlight w:val="none"/>
        </w:rPr>
        <w:t>7甲方不得明示或者暗示乙方购买、租赁、使用不符合安全施工要求的安全防护用具、机械设备、施工机具及配件、消防设施和器材。</w:t>
      </w:r>
    </w:p>
    <w:p w14:paraId="3409A3C8">
      <w:pPr>
        <w:pageBreakBefore w:val="0"/>
        <w:kinsoku/>
        <w:wordWrap/>
        <w:overflowPunct/>
        <w:topLinePunct w:val="0"/>
        <w:bidi w:val="0"/>
        <w:spacing w:line="360" w:lineRule="auto"/>
        <w:ind w:firstLine="422" w:firstLineChars="200"/>
        <w:rPr>
          <w:rFonts w:ascii="宋体" w:hAnsi="宋体" w:eastAsia="宋体" w:cs="Times New Roman"/>
          <w:b/>
          <w:color w:val="000000"/>
          <w:szCs w:val="21"/>
          <w:highlight w:val="none"/>
        </w:rPr>
      </w:pPr>
      <w:r>
        <w:rPr>
          <w:rFonts w:hint="eastAsia" w:ascii="宋体" w:hAnsi="宋体" w:eastAsia="宋体" w:cs="Times New Roman"/>
          <w:b/>
          <w:color w:val="000000"/>
          <w:szCs w:val="21"/>
          <w:highlight w:val="none"/>
        </w:rPr>
        <w:t>第四条</w:t>
      </w:r>
      <w:r>
        <w:rPr>
          <w:rFonts w:ascii="宋体" w:hAnsi="宋体" w:eastAsia="宋体" w:cs="Times New Roman"/>
          <w:b/>
          <w:color w:val="000000"/>
          <w:szCs w:val="21"/>
          <w:highlight w:val="none"/>
        </w:rPr>
        <w:tab/>
      </w:r>
      <w:r>
        <w:rPr>
          <w:rFonts w:hint="eastAsia" w:ascii="宋体" w:hAnsi="宋体" w:eastAsia="宋体" w:cs="Times New Roman"/>
          <w:b/>
          <w:color w:val="000000"/>
          <w:szCs w:val="21"/>
          <w:highlight w:val="none"/>
        </w:rPr>
        <w:t>乙方权利义务</w:t>
      </w:r>
    </w:p>
    <w:p w14:paraId="641DB82C">
      <w:pPr>
        <w:pageBreakBefore w:val="0"/>
        <w:widowControl/>
        <w:kinsoku/>
        <w:wordWrap/>
        <w:overflowPunct/>
        <w:topLinePunct w:val="0"/>
        <w:bidi w:val="0"/>
        <w:spacing w:line="360" w:lineRule="auto"/>
        <w:ind w:firstLine="420" w:firstLineChars="200"/>
        <w:jc w:val="left"/>
        <w:rPr>
          <w:rFonts w:ascii="宋体" w:hAnsi="宋体" w:eastAsia="宋体" w:cs="Times New Roman"/>
          <w:color w:val="000000"/>
          <w:szCs w:val="21"/>
          <w:highlight w:val="none"/>
        </w:rPr>
      </w:pPr>
      <w:r>
        <w:rPr>
          <w:rFonts w:ascii="宋体" w:hAnsi="宋体" w:eastAsia="宋体" w:cs="Times New Roman"/>
          <w:color w:val="000000"/>
          <w:szCs w:val="21"/>
          <w:highlight w:val="none"/>
        </w:rPr>
        <w:t>4.1乙方应贯彻落实国家及江苏省、连云港市</w:t>
      </w:r>
      <w:r>
        <w:rPr>
          <w:rFonts w:hint="eastAsia" w:ascii="宋体" w:hAnsi="宋体" w:eastAsia="宋体" w:cs="Times New Roman"/>
          <w:color w:val="000000"/>
          <w:szCs w:val="21"/>
          <w:highlight w:val="none"/>
        </w:rPr>
        <w:t>及徐圩新区管委会有关施工现场安全生产的法规和管理制度以及行业规程有关安全生产的规定，建立健全安全生产责任制和安全生产管理制度，对劳务分包施工区域的安全生产管理负全面责任。</w:t>
      </w:r>
    </w:p>
    <w:p w14:paraId="173EE48E">
      <w:pPr>
        <w:pageBreakBefore w:val="0"/>
        <w:kinsoku/>
        <w:wordWrap/>
        <w:overflowPunct/>
        <w:topLinePunct w:val="0"/>
        <w:bidi w:val="0"/>
        <w:spacing w:line="360" w:lineRule="auto"/>
        <w:ind w:firstLine="420" w:firstLineChars="200"/>
        <w:rPr>
          <w:rFonts w:ascii="宋体" w:hAnsi="宋体" w:eastAsia="宋体" w:cs="Times New Roman"/>
          <w:color w:val="000000"/>
          <w:szCs w:val="21"/>
          <w:highlight w:val="none"/>
          <w:shd w:val="clear" w:color="auto" w:fill="FFFFFF"/>
        </w:rPr>
      </w:pPr>
      <w:r>
        <w:rPr>
          <w:rFonts w:ascii="宋体" w:hAnsi="宋体" w:eastAsia="宋体" w:cs="Times New Roman"/>
          <w:color w:val="000000"/>
          <w:szCs w:val="21"/>
          <w:highlight w:val="none"/>
          <w:shd w:val="clear" w:color="auto" w:fill="FFFFFF"/>
        </w:rPr>
        <w:t>4.2施工前，乙方必须对全体施工人员进行有关施工项目工作的安全知识和安全规程培训教育后方可上岗，并报甲方备案，必要时由甲方组织对乙方有关施工人员进行安全规章制度的培训及考试。</w:t>
      </w:r>
    </w:p>
    <w:p w14:paraId="55FD0BB0">
      <w:pPr>
        <w:pageBreakBefore w:val="0"/>
        <w:kinsoku/>
        <w:wordWrap/>
        <w:overflowPunct/>
        <w:topLinePunct w:val="0"/>
        <w:bidi w:val="0"/>
        <w:spacing w:line="360" w:lineRule="auto"/>
        <w:ind w:firstLine="420" w:firstLineChars="200"/>
        <w:rPr>
          <w:rFonts w:ascii="宋体" w:hAnsi="宋体" w:eastAsia="宋体" w:cs="Times New Roman"/>
          <w:color w:val="000000"/>
          <w:szCs w:val="21"/>
          <w:highlight w:val="none"/>
          <w:shd w:val="clear" w:color="auto" w:fill="FFFFFF"/>
        </w:rPr>
      </w:pPr>
      <w:r>
        <w:rPr>
          <w:rFonts w:ascii="宋体" w:hAnsi="宋体" w:eastAsia="宋体" w:cs="Times New Roman"/>
          <w:color w:val="000000"/>
          <w:szCs w:val="21"/>
          <w:highlight w:val="none"/>
          <w:shd w:val="clear" w:color="auto" w:fill="FFFFFF"/>
        </w:rPr>
        <w:t>4.3</w:t>
      </w:r>
      <w:r>
        <w:rPr>
          <w:rFonts w:hint="eastAsia" w:ascii="宋体" w:hAnsi="宋体" w:eastAsia="宋体" w:cs="Times New Roman"/>
          <w:color w:val="000000"/>
          <w:szCs w:val="21"/>
          <w:highlight w:val="none"/>
          <w:shd w:val="clear" w:color="auto" w:fill="FFFFFF"/>
        </w:rPr>
        <w:t>施工时，乙方应按劳动保护规定为参加施工的人员配备足够合格的防护用品和安全工器具，并按规定对施工人员进行定期健康检查并达到参加施工要求。同时，应对承包业务范围内可能存在职业危害因素进行检测、出具相关报告，组织相关作业人员进行职业健康体检，并在施工作业过程中采取相应的职业健康保护措施，避免职业伤害，相关费用由乙方承担；特种作业人员必须持有关部门颁发的合格有效的上岗资格证书。</w:t>
      </w:r>
    </w:p>
    <w:p w14:paraId="026A8BE8">
      <w:pPr>
        <w:pageBreakBefore w:val="0"/>
        <w:kinsoku/>
        <w:wordWrap/>
        <w:overflowPunct/>
        <w:topLinePunct w:val="0"/>
        <w:bidi w:val="0"/>
        <w:spacing w:line="360" w:lineRule="auto"/>
        <w:ind w:firstLine="420" w:firstLineChars="200"/>
        <w:rPr>
          <w:rFonts w:ascii="宋体" w:hAnsi="宋体" w:eastAsia="宋体" w:cs="Times New Roman"/>
          <w:color w:val="000000"/>
          <w:szCs w:val="21"/>
          <w:highlight w:val="none"/>
          <w:shd w:val="clear" w:color="auto" w:fill="FFFFFF"/>
        </w:rPr>
      </w:pPr>
      <w:r>
        <w:rPr>
          <w:rFonts w:ascii="宋体" w:hAnsi="宋体" w:eastAsia="宋体" w:cs="Times New Roman"/>
          <w:color w:val="000000"/>
          <w:szCs w:val="21"/>
          <w:highlight w:val="none"/>
          <w:shd w:val="clear" w:color="auto" w:fill="FFFFFF"/>
        </w:rPr>
        <w:t>4.4乙方必须认真执行、落实甲方安全生产及文明施工的各项制度，成立施工现场安全管理机构，负责日常的安全管理工作。</w:t>
      </w:r>
    </w:p>
    <w:p w14:paraId="1EB52F2B">
      <w:pPr>
        <w:pageBreakBefore w:val="0"/>
        <w:kinsoku/>
        <w:wordWrap/>
        <w:overflowPunct/>
        <w:topLinePunct w:val="0"/>
        <w:bidi w:val="0"/>
        <w:spacing w:line="360" w:lineRule="auto"/>
        <w:ind w:firstLine="420" w:firstLineChars="200"/>
        <w:rPr>
          <w:rFonts w:ascii="宋体" w:hAnsi="宋体" w:eastAsia="宋体" w:cs="Times New Roman"/>
          <w:color w:val="000000"/>
          <w:szCs w:val="21"/>
          <w:highlight w:val="none"/>
          <w:shd w:val="clear" w:color="auto" w:fill="FFFFFF"/>
        </w:rPr>
      </w:pPr>
      <w:r>
        <w:rPr>
          <w:rFonts w:ascii="宋体" w:hAnsi="宋体" w:eastAsia="宋体" w:cs="Times New Roman"/>
          <w:color w:val="000000"/>
          <w:szCs w:val="21"/>
          <w:highlight w:val="none"/>
          <w:shd w:val="clear" w:color="auto" w:fill="FFFFFF"/>
        </w:rPr>
        <w:t>4.5</w:t>
      </w:r>
      <w:r>
        <w:rPr>
          <w:rFonts w:ascii="宋体" w:hAnsi="宋体" w:eastAsia="Helvetica" w:cs="Helvetica"/>
          <w:b w:val="0"/>
          <w:bCs w:val="0"/>
          <w:color w:val="000000"/>
          <w:kern w:val="0"/>
          <w:szCs w:val="21"/>
          <w:highlight w:val="none"/>
          <w:shd w:val="clear" w:color="auto" w:fill="FFFFFF"/>
          <w:lang w:bidi="ar"/>
        </w:rPr>
        <w:t>乙方在施工过程中如需</w:t>
      </w:r>
      <w:r>
        <w:rPr>
          <w:rFonts w:hint="eastAsia" w:ascii="宋体" w:hAnsi="宋体" w:eastAsia="宋体" w:cs="Times New Roman"/>
          <w:color w:val="000000"/>
          <w:szCs w:val="21"/>
          <w:highlight w:val="none"/>
          <w:shd w:val="clear" w:color="auto" w:fill="FFFFFF"/>
          <w:lang w:bidi="ar"/>
        </w:rPr>
        <w:t>进行危险作业的（如动火作业、有限空间作业等）</w:t>
      </w:r>
      <w:r>
        <w:rPr>
          <w:rFonts w:ascii="宋体" w:hAnsi="宋体" w:eastAsia="Helvetica" w:cs="Helvetica"/>
          <w:b w:val="0"/>
          <w:bCs w:val="0"/>
          <w:color w:val="000000"/>
          <w:kern w:val="0"/>
          <w:szCs w:val="21"/>
          <w:highlight w:val="none"/>
          <w:shd w:val="clear" w:color="auto" w:fill="FFFFFF"/>
          <w:lang w:bidi="ar"/>
        </w:rPr>
        <w:t>，应根据</w:t>
      </w:r>
      <w:r>
        <w:rPr>
          <w:rFonts w:hint="eastAsia" w:ascii="宋体" w:hAnsi="宋体" w:eastAsia="宋体" w:cs="Times New Roman"/>
          <w:color w:val="000000"/>
          <w:szCs w:val="21"/>
          <w:highlight w:val="none"/>
          <w:shd w:val="clear" w:color="auto" w:fill="FFFFFF"/>
          <w:lang w:bidi="ar"/>
        </w:rPr>
        <w:t>危险作业类别和</w:t>
      </w:r>
      <w:r>
        <w:rPr>
          <w:rFonts w:ascii="宋体" w:hAnsi="宋体" w:eastAsia="Helvetica" w:cs="Helvetica"/>
          <w:b w:val="0"/>
          <w:bCs w:val="0"/>
          <w:color w:val="000000"/>
          <w:kern w:val="0"/>
          <w:szCs w:val="21"/>
          <w:highlight w:val="none"/>
          <w:shd w:val="clear" w:color="auto" w:fill="FFFFFF"/>
          <w:lang w:bidi="ar"/>
        </w:rPr>
        <w:t>级别由施工单位向甲方提出申请，</w:t>
      </w:r>
      <w:r>
        <w:rPr>
          <w:rFonts w:hint="eastAsia" w:ascii="宋体" w:hAnsi="宋体" w:eastAsia="宋体" w:cs="Times New Roman"/>
          <w:color w:val="000000"/>
          <w:szCs w:val="21"/>
          <w:highlight w:val="none"/>
          <w:shd w:val="clear" w:color="auto" w:fill="FFFFFF"/>
          <w:lang w:bidi="ar"/>
        </w:rPr>
        <w:t>作业的审批和监督过程中应根据公司的《危险作业及作业票安全管理制度》，</w:t>
      </w:r>
      <w:r>
        <w:rPr>
          <w:rFonts w:ascii="宋体" w:hAnsi="宋体" w:eastAsia="Helvetica" w:cs="Helvetica"/>
          <w:b w:val="0"/>
          <w:bCs w:val="0"/>
          <w:color w:val="000000"/>
          <w:kern w:val="0"/>
          <w:szCs w:val="21"/>
          <w:highlight w:val="none"/>
          <w:shd w:val="clear" w:color="auto" w:fill="FFFFFF"/>
          <w:lang w:bidi="ar"/>
        </w:rPr>
        <w:t>经批准并确认达到</w:t>
      </w:r>
      <w:r>
        <w:rPr>
          <w:rFonts w:hint="eastAsia" w:ascii="宋体" w:hAnsi="宋体" w:eastAsia="宋体" w:cs="Times New Roman"/>
          <w:color w:val="000000"/>
          <w:szCs w:val="21"/>
          <w:highlight w:val="none"/>
          <w:shd w:val="clear" w:color="auto" w:fill="FFFFFF"/>
          <w:lang w:bidi="ar"/>
        </w:rPr>
        <w:t>作业</w:t>
      </w:r>
      <w:r>
        <w:rPr>
          <w:rFonts w:ascii="宋体" w:hAnsi="宋体" w:eastAsia="Helvetica" w:cs="Helvetica"/>
          <w:b w:val="0"/>
          <w:bCs w:val="0"/>
          <w:color w:val="000000"/>
          <w:kern w:val="0"/>
          <w:szCs w:val="21"/>
          <w:highlight w:val="none"/>
          <w:shd w:val="clear" w:color="auto" w:fill="FFFFFF"/>
          <w:lang w:bidi="ar"/>
        </w:rPr>
        <w:t>条件、落实安全防范措施后方可进行作业，</w:t>
      </w:r>
      <w:r>
        <w:rPr>
          <w:rFonts w:hint="eastAsia" w:ascii="宋体" w:hAnsi="宋体" w:eastAsia="宋体" w:cs="Times New Roman"/>
          <w:color w:val="000000"/>
          <w:szCs w:val="21"/>
          <w:highlight w:val="none"/>
          <w:shd w:val="clear" w:color="auto" w:fill="FFFFFF"/>
          <w:lang w:bidi="ar"/>
        </w:rPr>
        <w:t>并由</w:t>
      </w:r>
      <w:r>
        <w:rPr>
          <w:rFonts w:ascii="宋体" w:hAnsi="宋体" w:eastAsia="Helvetica" w:cs="Helvetica"/>
          <w:b w:val="0"/>
          <w:bCs w:val="0"/>
          <w:color w:val="000000"/>
          <w:kern w:val="0"/>
          <w:szCs w:val="21"/>
          <w:highlight w:val="none"/>
          <w:shd w:val="clear" w:color="auto" w:fill="FFFFFF"/>
          <w:lang w:bidi="ar"/>
        </w:rPr>
        <w:t>安全管理人员现场监护，如乙方不按上述规定操作出现的一切后果，自行承担。</w:t>
      </w:r>
    </w:p>
    <w:p w14:paraId="6FF796D2">
      <w:pPr>
        <w:pageBreakBefore w:val="0"/>
        <w:widowControl/>
        <w:kinsoku/>
        <w:wordWrap/>
        <w:overflowPunct/>
        <w:topLinePunct w:val="0"/>
        <w:bidi w:val="0"/>
        <w:spacing w:line="360" w:lineRule="auto"/>
        <w:ind w:firstLine="420" w:firstLineChars="200"/>
        <w:jc w:val="left"/>
        <w:rPr>
          <w:rFonts w:ascii="宋体" w:hAnsi="宋体" w:eastAsia="宋体" w:cs="Times New Roman"/>
          <w:color w:val="000000"/>
          <w:szCs w:val="21"/>
          <w:highlight w:val="none"/>
        </w:rPr>
      </w:pPr>
      <w:r>
        <w:rPr>
          <w:rFonts w:ascii="宋体" w:hAnsi="宋体" w:eastAsia="宋体" w:cs="Times New Roman"/>
          <w:color w:val="000000"/>
          <w:szCs w:val="21"/>
          <w:highlight w:val="none"/>
          <w:shd w:val="clear" w:color="auto" w:fill="FFFFFF"/>
        </w:rPr>
        <w:t>4.6乙方施工结束后，应对施工现场彻底清理，做好工完、料尽、场地清。清理出的垃圾不能随意堆放在甲方管理的场地内，否则可根据实际情况进行罚款、扣除部分劳务费用，若发生污染等环保问题由乙方负责。</w:t>
      </w:r>
    </w:p>
    <w:p w14:paraId="164E64D4">
      <w:pPr>
        <w:pageBreakBefore w:val="0"/>
        <w:widowControl/>
        <w:kinsoku/>
        <w:wordWrap/>
        <w:overflowPunct/>
        <w:topLinePunct w:val="0"/>
        <w:bidi w:val="0"/>
        <w:spacing w:line="360" w:lineRule="auto"/>
        <w:ind w:firstLine="420" w:firstLineChars="200"/>
        <w:jc w:val="left"/>
        <w:rPr>
          <w:rFonts w:ascii="宋体" w:hAnsi="宋体" w:eastAsia="宋体" w:cs="Times New Roman"/>
          <w:color w:val="000000"/>
          <w:szCs w:val="21"/>
          <w:highlight w:val="none"/>
          <w:shd w:val="clear" w:color="auto" w:fill="FFFFFF"/>
        </w:rPr>
      </w:pPr>
      <w:r>
        <w:rPr>
          <w:rFonts w:ascii="宋体" w:hAnsi="宋体" w:eastAsia="宋体" w:cs="Times New Roman"/>
          <w:color w:val="000000"/>
          <w:szCs w:val="21"/>
          <w:highlight w:val="none"/>
          <w:shd w:val="clear" w:color="auto" w:fill="FFFFFF"/>
        </w:rPr>
        <w:t>4.7</w:t>
      </w:r>
      <w:r>
        <w:rPr>
          <w:rFonts w:hint="eastAsia" w:ascii="宋体" w:hAnsi="宋体" w:eastAsia="宋体" w:cs="Times New Roman"/>
          <w:color w:val="000000"/>
          <w:szCs w:val="21"/>
          <w:highlight w:val="none"/>
        </w:rPr>
        <w:t>乙方</w:t>
      </w:r>
      <w:r>
        <w:rPr>
          <w:rFonts w:ascii="宋体" w:hAnsi="宋体" w:eastAsia="宋体" w:cs="Times New Roman"/>
          <w:color w:val="000000"/>
          <w:szCs w:val="21"/>
          <w:highlight w:val="none"/>
          <w:shd w:val="clear" w:color="auto" w:fill="FFFFFF"/>
        </w:rPr>
        <w:t>对作业范围内的施工用电负有管理责任，配电箱及接线必须符合有关安全用电标准，对自行携带和使用的机械及电器设备负有安全管理和维护保养的责任。</w:t>
      </w:r>
    </w:p>
    <w:p w14:paraId="62C550F3">
      <w:pPr>
        <w:pageBreakBefore w:val="0"/>
        <w:widowControl/>
        <w:kinsoku/>
        <w:wordWrap/>
        <w:overflowPunct/>
        <w:topLinePunct w:val="0"/>
        <w:bidi w:val="0"/>
        <w:spacing w:line="360" w:lineRule="auto"/>
        <w:ind w:firstLine="420" w:firstLineChars="200"/>
        <w:jc w:val="left"/>
        <w:rPr>
          <w:rFonts w:ascii="宋体" w:hAnsi="宋体" w:eastAsia="宋体" w:cs="Times New Roman"/>
          <w:color w:val="000000"/>
          <w:szCs w:val="21"/>
          <w:highlight w:val="none"/>
        </w:rPr>
      </w:pPr>
      <w:r>
        <w:rPr>
          <w:rFonts w:hint="eastAsia" w:ascii="宋体" w:hAnsi="宋体" w:eastAsia="宋体" w:cs="Times New Roman"/>
          <w:color w:val="000000"/>
          <w:szCs w:val="21"/>
          <w:highlight w:val="none"/>
        </w:rPr>
        <w:t>4.8乙方劳务队伍的安全防护器材必须配置到位，安全措施得力，否则将不得开工。</w:t>
      </w:r>
    </w:p>
    <w:p w14:paraId="2CB7002D">
      <w:pPr>
        <w:pageBreakBefore w:val="0"/>
        <w:widowControl/>
        <w:kinsoku/>
        <w:wordWrap/>
        <w:overflowPunct/>
        <w:topLinePunct w:val="0"/>
        <w:bidi w:val="0"/>
        <w:spacing w:line="360" w:lineRule="auto"/>
        <w:ind w:firstLine="420" w:firstLineChars="200"/>
        <w:jc w:val="left"/>
        <w:rPr>
          <w:rFonts w:ascii="宋体" w:hAnsi="宋体" w:eastAsia="宋体" w:cs="Times New Roman"/>
          <w:color w:val="000000"/>
          <w:szCs w:val="21"/>
          <w:highlight w:val="none"/>
        </w:rPr>
      </w:pPr>
      <w:r>
        <w:rPr>
          <w:rFonts w:hint="eastAsia" w:ascii="宋体" w:hAnsi="宋体" w:eastAsia="宋体" w:cs="Times New Roman"/>
          <w:color w:val="000000"/>
          <w:szCs w:val="21"/>
          <w:highlight w:val="none"/>
        </w:rPr>
        <w:t>4.9</w:t>
      </w:r>
      <w:r>
        <w:rPr>
          <w:rFonts w:ascii="宋体" w:hAnsi="宋体" w:eastAsia="宋体" w:cs="Times New Roman"/>
          <w:color w:val="000000"/>
          <w:szCs w:val="21"/>
          <w:highlight w:val="none"/>
          <w:shd w:val="clear" w:color="auto" w:fill="FFFFFF"/>
        </w:rPr>
        <w:t>乙方需按照</w:t>
      </w:r>
      <w:r>
        <w:rPr>
          <w:rFonts w:hint="eastAsia" w:ascii="宋体" w:hAnsi="宋体" w:eastAsia="宋体" w:cs="Times New Roman"/>
          <w:color w:val="000000"/>
          <w:szCs w:val="21"/>
          <w:highlight w:val="none"/>
        </w:rPr>
        <w:t>《建设工程安全生产管理条例》、《建筑施工企业安全生产管理机构设置及专职安全生产管理人员配备办法》、《江苏省安全生产条例》等有关法律法规配备足够专（兼）职安全员。</w:t>
      </w:r>
    </w:p>
    <w:p w14:paraId="2FD19CD2">
      <w:pPr>
        <w:pageBreakBefore w:val="0"/>
        <w:widowControl/>
        <w:kinsoku/>
        <w:wordWrap/>
        <w:overflowPunct/>
        <w:topLinePunct w:val="0"/>
        <w:bidi w:val="0"/>
        <w:spacing w:line="360" w:lineRule="auto"/>
        <w:ind w:firstLine="420" w:firstLineChars="200"/>
        <w:jc w:val="left"/>
        <w:rPr>
          <w:rFonts w:ascii="宋体" w:hAnsi="宋体" w:eastAsia="宋体" w:cs="Times New Roman"/>
          <w:color w:val="000000"/>
          <w:szCs w:val="21"/>
          <w:highlight w:val="none"/>
        </w:rPr>
      </w:pPr>
      <w:r>
        <w:rPr>
          <w:rFonts w:ascii="宋体" w:hAnsi="宋体" w:eastAsia="宋体" w:cs="Times New Roman"/>
          <w:color w:val="000000"/>
          <w:szCs w:val="21"/>
          <w:highlight w:val="none"/>
        </w:rPr>
        <w:t>4.10严格按照设计图纸</w:t>
      </w:r>
      <w:r>
        <w:rPr>
          <w:rFonts w:hint="eastAsia" w:ascii="宋体" w:hAnsi="宋体" w:eastAsia="宋体" w:cs="Times New Roman"/>
          <w:color w:val="000000"/>
          <w:szCs w:val="21"/>
          <w:highlight w:val="none"/>
        </w:rPr>
        <w:t>，</w:t>
      </w:r>
      <w:r>
        <w:rPr>
          <w:rFonts w:ascii="宋体" w:hAnsi="宋体" w:eastAsia="宋体" w:cs="Times New Roman"/>
          <w:color w:val="000000"/>
          <w:szCs w:val="21"/>
          <w:highlight w:val="none"/>
        </w:rPr>
        <w:t>施工验收规范</w:t>
      </w:r>
      <w:r>
        <w:rPr>
          <w:rFonts w:hint="eastAsia" w:ascii="宋体" w:hAnsi="宋体" w:eastAsia="宋体" w:cs="Times New Roman"/>
          <w:color w:val="000000"/>
          <w:szCs w:val="21"/>
          <w:highlight w:val="none"/>
        </w:rPr>
        <w:t>，</w:t>
      </w:r>
      <w:r>
        <w:rPr>
          <w:rFonts w:ascii="宋体" w:hAnsi="宋体" w:eastAsia="宋体" w:cs="Times New Roman"/>
          <w:color w:val="000000"/>
          <w:szCs w:val="21"/>
          <w:highlight w:val="none"/>
        </w:rPr>
        <w:t>有关技术要求及施工组织设计精心组织施工</w:t>
      </w:r>
      <w:r>
        <w:rPr>
          <w:rFonts w:hint="eastAsia" w:ascii="宋体" w:hAnsi="宋体" w:eastAsia="宋体" w:cs="Times New Roman"/>
          <w:color w:val="000000"/>
          <w:szCs w:val="21"/>
          <w:highlight w:val="none"/>
        </w:rPr>
        <w:t>，</w:t>
      </w:r>
      <w:r>
        <w:rPr>
          <w:rFonts w:ascii="宋体" w:hAnsi="宋体" w:eastAsia="宋体" w:cs="Times New Roman"/>
          <w:color w:val="000000"/>
          <w:szCs w:val="21"/>
          <w:highlight w:val="none"/>
        </w:rPr>
        <w:t>确保工程安全设施达到法律法规标准。</w:t>
      </w:r>
    </w:p>
    <w:p w14:paraId="42BA7591">
      <w:pPr>
        <w:pageBreakBefore w:val="0"/>
        <w:widowControl/>
        <w:kinsoku/>
        <w:wordWrap/>
        <w:overflowPunct/>
        <w:topLinePunct w:val="0"/>
        <w:bidi w:val="0"/>
        <w:spacing w:line="360" w:lineRule="auto"/>
        <w:ind w:firstLine="420" w:firstLineChars="200"/>
        <w:jc w:val="left"/>
        <w:rPr>
          <w:rFonts w:ascii="宋体" w:hAnsi="宋体" w:eastAsia="宋体" w:cs="Times New Roman"/>
          <w:color w:val="000000"/>
          <w:szCs w:val="21"/>
          <w:highlight w:val="none"/>
          <w:shd w:val="clear" w:color="auto" w:fill="FFFFFF"/>
        </w:rPr>
      </w:pPr>
      <w:r>
        <w:rPr>
          <w:rFonts w:ascii="宋体" w:hAnsi="宋体" w:eastAsia="宋体" w:cs="Times New Roman"/>
          <w:color w:val="000000"/>
          <w:szCs w:val="21"/>
          <w:highlight w:val="none"/>
          <w:shd w:val="clear" w:color="auto" w:fill="FFFFFF"/>
        </w:rPr>
        <w:t>4.11乙方必须根据甲方施工计划安排、安全技术交底内容组织施工生产，严格遵守各项操作规程。</w:t>
      </w:r>
    </w:p>
    <w:p w14:paraId="0D942046">
      <w:pPr>
        <w:pageBreakBefore w:val="0"/>
        <w:widowControl/>
        <w:kinsoku/>
        <w:wordWrap/>
        <w:overflowPunct/>
        <w:topLinePunct w:val="0"/>
        <w:bidi w:val="0"/>
        <w:spacing w:line="360" w:lineRule="auto"/>
        <w:ind w:firstLine="420" w:firstLineChars="200"/>
        <w:jc w:val="left"/>
        <w:rPr>
          <w:rFonts w:ascii="宋体" w:hAnsi="宋体" w:eastAsia="宋体" w:cs="Times New Roman"/>
          <w:color w:val="000000"/>
          <w:szCs w:val="21"/>
          <w:highlight w:val="none"/>
          <w:shd w:val="clear" w:color="auto" w:fill="FFFFFF"/>
        </w:rPr>
      </w:pPr>
      <w:r>
        <w:rPr>
          <w:rFonts w:ascii="宋体" w:hAnsi="宋体" w:eastAsia="宋体" w:cs="Times New Roman"/>
          <w:color w:val="000000"/>
          <w:szCs w:val="21"/>
          <w:highlight w:val="none"/>
          <w:shd w:val="clear" w:color="auto" w:fill="FFFFFF"/>
        </w:rPr>
        <w:t>4.12乙方应</w:t>
      </w:r>
      <w:r>
        <w:rPr>
          <w:rFonts w:hint="eastAsia" w:ascii="宋体" w:hAnsi="宋体" w:eastAsia="宋体" w:cs="Times New Roman"/>
          <w:color w:val="000000"/>
          <w:szCs w:val="21"/>
          <w:highlight w:val="none"/>
          <w:shd w:val="clear" w:color="auto" w:fill="FFFFFF"/>
        </w:rPr>
        <w:t>按照甲方要求</w:t>
      </w:r>
      <w:r>
        <w:rPr>
          <w:rFonts w:ascii="宋体" w:hAnsi="宋体" w:eastAsia="宋体" w:cs="Times New Roman"/>
          <w:color w:val="000000"/>
          <w:szCs w:val="21"/>
          <w:highlight w:val="none"/>
          <w:shd w:val="clear" w:color="auto" w:fill="FFFFFF"/>
        </w:rPr>
        <w:t>对各作业班组每天进行班前安全</w:t>
      </w:r>
      <w:r>
        <w:rPr>
          <w:rFonts w:hint="eastAsia" w:ascii="宋体" w:hAnsi="宋体" w:eastAsia="宋体" w:cs="Times New Roman"/>
          <w:color w:val="000000"/>
          <w:szCs w:val="21"/>
          <w:highlight w:val="none"/>
          <w:shd w:val="clear" w:color="auto" w:fill="FFFFFF"/>
        </w:rPr>
        <w:t>风险交底</w:t>
      </w:r>
      <w:r>
        <w:rPr>
          <w:rFonts w:ascii="宋体" w:hAnsi="宋体" w:eastAsia="宋体" w:cs="Times New Roman"/>
          <w:color w:val="000000"/>
          <w:szCs w:val="21"/>
          <w:highlight w:val="none"/>
          <w:shd w:val="clear" w:color="auto" w:fill="FFFFFF"/>
        </w:rPr>
        <w:t>，做好施工过程中的安全巡视和检查。</w:t>
      </w:r>
    </w:p>
    <w:p w14:paraId="6A0E5F56">
      <w:pPr>
        <w:pageBreakBefore w:val="0"/>
        <w:widowControl/>
        <w:kinsoku/>
        <w:wordWrap/>
        <w:overflowPunct/>
        <w:topLinePunct w:val="0"/>
        <w:bidi w:val="0"/>
        <w:spacing w:line="360" w:lineRule="auto"/>
        <w:ind w:firstLine="420" w:firstLineChars="200"/>
        <w:jc w:val="left"/>
        <w:rPr>
          <w:rFonts w:ascii="宋体" w:hAnsi="宋体" w:eastAsia="宋体" w:cs="Times New Roman"/>
          <w:color w:val="000000"/>
          <w:szCs w:val="21"/>
          <w:highlight w:val="none"/>
        </w:rPr>
      </w:pPr>
      <w:r>
        <w:rPr>
          <w:rFonts w:ascii="宋体" w:hAnsi="宋体" w:eastAsia="宋体" w:cs="Times New Roman"/>
          <w:color w:val="000000"/>
          <w:szCs w:val="21"/>
          <w:highlight w:val="none"/>
          <w:shd w:val="clear" w:color="auto" w:fill="FFFFFF"/>
        </w:rPr>
        <w:t>4.13</w:t>
      </w:r>
      <w:r>
        <w:rPr>
          <w:rFonts w:hint="eastAsia" w:ascii="宋体" w:hAnsi="宋体" w:eastAsia="宋体" w:cs="Times New Roman"/>
          <w:color w:val="000000"/>
          <w:szCs w:val="21"/>
          <w:highlight w:val="none"/>
        </w:rPr>
        <w:t>乙方必须保证作业人员佩戴、使用符合国家标准、规定的劳动保护用品。乙方由于管理不到位、作业人员违章操作，违反劳动纪律等造成的人员伤害事故，有乙方承担全部责任和经济损失。</w:t>
      </w:r>
    </w:p>
    <w:p w14:paraId="0E2A57CC">
      <w:pPr>
        <w:pageBreakBefore w:val="0"/>
        <w:widowControl/>
        <w:kinsoku/>
        <w:wordWrap/>
        <w:overflowPunct/>
        <w:topLinePunct w:val="0"/>
        <w:bidi w:val="0"/>
        <w:spacing w:line="360" w:lineRule="auto"/>
        <w:ind w:firstLine="420" w:firstLineChars="200"/>
        <w:jc w:val="left"/>
        <w:rPr>
          <w:rFonts w:ascii="宋体" w:hAnsi="宋体" w:eastAsia="宋体" w:cs="Times New Roman"/>
          <w:color w:val="000000"/>
          <w:szCs w:val="21"/>
          <w:highlight w:val="none"/>
        </w:rPr>
      </w:pPr>
      <w:r>
        <w:rPr>
          <w:rFonts w:ascii="宋体" w:hAnsi="宋体" w:eastAsia="宋体" w:cs="Times New Roman"/>
          <w:color w:val="000000"/>
          <w:szCs w:val="21"/>
          <w:highlight w:val="none"/>
        </w:rPr>
        <w:t>4.14</w:t>
      </w:r>
      <w:r>
        <w:rPr>
          <w:rFonts w:hint="eastAsia" w:ascii="宋体" w:hAnsi="宋体" w:eastAsia="宋体" w:cs="Times New Roman"/>
          <w:color w:val="000000"/>
          <w:szCs w:val="21"/>
          <w:highlight w:val="none"/>
        </w:rPr>
        <w:t>禁止以任何形式招录和使用</w:t>
      </w:r>
      <w:r>
        <w:rPr>
          <w:rFonts w:ascii="宋体" w:hAnsi="宋体" w:eastAsia="宋体" w:cs="Times New Roman"/>
          <w:color w:val="000000"/>
          <w:szCs w:val="21"/>
          <w:highlight w:val="none"/>
        </w:rPr>
        <w:t>60周岁以上男性、50周岁以上女性从事建筑施工现场“高空、高危、高风险、重体力”一线作业活动。</w:t>
      </w:r>
    </w:p>
    <w:p w14:paraId="4D284160">
      <w:pPr>
        <w:pageBreakBefore w:val="0"/>
        <w:widowControl/>
        <w:kinsoku/>
        <w:wordWrap/>
        <w:overflowPunct/>
        <w:topLinePunct w:val="0"/>
        <w:bidi w:val="0"/>
        <w:spacing w:line="360" w:lineRule="auto"/>
        <w:ind w:firstLine="420" w:firstLineChars="200"/>
        <w:jc w:val="left"/>
        <w:rPr>
          <w:rFonts w:ascii="宋体" w:hAnsi="宋体" w:eastAsia="宋体" w:cs="Times New Roman"/>
          <w:color w:val="000000"/>
          <w:szCs w:val="21"/>
          <w:highlight w:val="none"/>
        </w:rPr>
      </w:pPr>
      <w:r>
        <w:rPr>
          <w:rFonts w:ascii="宋体" w:hAnsi="宋体" w:eastAsia="宋体" w:cs="Times New Roman"/>
          <w:color w:val="000000"/>
          <w:szCs w:val="21"/>
          <w:highlight w:val="none"/>
        </w:rPr>
        <w:t>4.15</w:t>
      </w:r>
      <w:r>
        <w:rPr>
          <w:rFonts w:hint="eastAsia" w:ascii="宋体" w:hAnsi="宋体" w:eastAsia="宋体" w:cs="Times New Roman"/>
          <w:color w:val="000000"/>
          <w:szCs w:val="21"/>
          <w:highlight w:val="none"/>
        </w:rPr>
        <w:t>乙方承接本工程项目后必须了解并执行甲方有关安全生产、文明施工、治安保卫、消防的管理规定，服从甲方管理。存在交叉作业的，应与相关单位签订交叉作业安全管理协议。</w:t>
      </w:r>
    </w:p>
    <w:p w14:paraId="51C30151">
      <w:pPr>
        <w:pageBreakBefore w:val="0"/>
        <w:widowControl/>
        <w:kinsoku/>
        <w:wordWrap/>
        <w:overflowPunct/>
        <w:topLinePunct w:val="0"/>
        <w:bidi w:val="0"/>
        <w:spacing w:line="360" w:lineRule="auto"/>
        <w:ind w:firstLine="420" w:firstLineChars="200"/>
        <w:jc w:val="left"/>
        <w:rPr>
          <w:rFonts w:ascii="宋体" w:hAnsi="宋体" w:eastAsia="宋体" w:cs="Times New Roman"/>
          <w:color w:val="000000"/>
          <w:szCs w:val="21"/>
          <w:highlight w:val="none"/>
        </w:rPr>
      </w:pPr>
      <w:r>
        <w:rPr>
          <w:rFonts w:ascii="宋体" w:hAnsi="宋体" w:eastAsia="宋体" w:cs="Times New Roman"/>
          <w:color w:val="000000"/>
          <w:szCs w:val="21"/>
          <w:highlight w:val="none"/>
        </w:rPr>
        <w:t>4.16</w:t>
      </w:r>
      <w:r>
        <w:rPr>
          <w:rFonts w:hint="eastAsia" w:ascii="宋体" w:hAnsi="宋体" w:eastAsia="宋体" w:cs="Times New Roman"/>
          <w:color w:val="000000"/>
          <w:szCs w:val="21"/>
          <w:highlight w:val="none"/>
        </w:rPr>
        <w:t>乙方必须按照甲方应急预案要求定期组织劳务人员培训学习，并根据工程进展情况至少每年组织一次对应急演练，以保证有效地应对突发的安全事故。</w:t>
      </w:r>
    </w:p>
    <w:p w14:paraId="145A242F">
      <w:pPr>
        <w:pageBreakBefore w:val="0"/>
        <w:widowControl/>
        <w:kinsoku/>
        <w:wordWrap/>
        <w:overflowPunct/>
        <w:topLinePunct w:val="0"/>
        <w:bidi w:val="0"/>
        <w:spacing w:line="360" w:lineRule="auto"/>
        <w:ind w:firstLine="420" w:firstLineChars="200"/>
        <w:jc w:val="left"/>
        <w:rPr>
          <w:rFonts w:ascii="宋体" w:hAnsi="宋体" w:eastAsia="宋体" w:cs="Times New Roman"/>
          <w:color w:val="000000"/>
          <w:szCs w:val="21"/>
          <w:highlight w:val="none"/>
        </w:rPr>
      </w:pPr>
      <w:r>
        <w:rPr>
          <w:rFonts w:ascii="宋体" w:hAnsi="宋体" w:eastAsia="宋体" w:cs="Times New Roman"/>
          <w:color w:val="000000"/>
          <w:szCs w:val="21"/>
          <w:highlight w:val="none"/>
        </w:rPr>
        <w:t>4.17</w:t>
      </w:r>
      <w:r>
        <w:rPr>
          <w:rFonts w:hint="eastAsia" w:ascii="宋体" w:hAnsi="宋体" w:eastAsia="宋体" w:cs="Times New Roman"/>
          <w:color w:val="000000"/>
          <w:szCs w:val="21"/>
          <w:highlight w:val="none"/>
        </w:rPr>
        <w:t>施工现场发生安全生产伤亡事故时，乙方必须立即报告甲方和监理单位，并在事故发生后一小时内向甲方提交事故情况书面快报，并根据《生产安全事故报告和调查处理条例》的规定，及时向政府应急管理部门和建设行政主管部门报告。</w:t>
      </w:r>
    </w:p>
    <w:p w14:paraId="727FB0EB">
      <w:pPr>
        <w:pageBreakBefore w:val="0"/>
        <w:widowControl/>
        <w:kinsoku/>
        <w:wordWrap/>
        <w:overflowPunct/>
        <w:topLinePunct w:val="0"/>
        <w:bidi w:val="0"/>
        <w:spacing w:line="360" w:lineRule="auto"/>
        <w:ind w:firstLine="420" w:firstLineChars="200"/>
        <w:jc w:val="left"/>
        <w:rPr>
          <w:rFonts w:ascii="宋体" w:hAnsi="宋体" w:eastAsia="宋体" w:cs="Times New Roman"/>
          <w:color w:val="000000"/>
          <w:szCs w:val="21"/>
          <w:highlight w:val="none"/>
        </w:rPr>
      </w:pPr>
      <w:r>
        <w:rPr>
          <w:rFonts w:ascii="宋体" w:hAnsi="宋体" w:eastAsia="宋体" w:cs="Times New Roman"/>
          <w:color w:val="000000"/>
          <w:szCs w:val="21"/>
          <w:highlight w:val="none"/>
        </w:rPr>
        <w:t>4.18</w:t>
      </w:r>
      <w:r>
        <w:rPr>
          <w:rFonts w:hint="eastAsia" w:ascii="宋体" w:hAnsi="宋体" w:eastAsia="宋体" w:cs="Times New Roman"/>
          <w:color w:val="000000"/>
          <w:szCs w:val="21"/>
          <w:highlight w:val="none"/>
        </w:rPr>
        <w:t>乙方须依照外地人员务工管理规定、建设工程劳务管理规定，严格依法管理，及时为施工人员办理社会、工伤保险等保险，严禁使用手续不齐全的禁用人员和未经入场安全教育的人员进入施工现场作业。</w:t>
      </w:r>
    </w:p>
    <w:p w14:paraId="3A298FB2">
      <w:pPr>
        <w:pageBreakBefore w:val="0"/>
        <w:widowControl/>
        <w:kinsoku/>
        <w:wordWrap/>
        <w:overflowPunct/>
        <w:topLinePunct w:val="0"/>
        <w:bidi w:val="0"/>
        <w:spacing w:line="360" w:lineRule="auto"/>
        <w:ind w:firstLine="420" w:firstLineChars="200"/>
        <w:jc w:val="left"/>
        <w:rPr>
          <w:rFonts w:ascii="宋体" w:hAnsi="宋体" w:eastAsia="宋体" w:cs="Times New Roman"/>
          <w:color w:val="000000"/>
          <w:szCs w:val="21"/>
          <w:highlight w:val="none"/>
        </w:rPr>
      </w:pPr>
      <w:r>
        <w:rPr>
          <w:rFonts w:ascii="宋体" w:hAnsi="宋体" w:eastAsia="宋体" w:cs="Times New Roman"/>
          <w:color w:val="000000"/>
          <w:szCs w:val="21"/>
          <w:highlight w:val="none"/>
        </w:rPr>
        <w:t>4.19</w:t>
      </w:r>
      <w:r>
        <w:rPr>
          <w:rFonts w:hint="eastAsia" w:ascii="宋体" w:hAnsi="宋体" w:eastAsia="宋体" w:cs="Times New Roman"/>
          <w:color w:val="000000"/>
          <w:szCs w:val="21"/>
          <w:highlight w:val="none"/>
        </w:rPr>
        <w:t>乙方在施工现场临时用电必须实行三相五线、三级配电、二级保护制度，施工机具用电必须使用合格开关箱，并遵循“一机一闸一箱一漏”的原则。施工现场临时用电设施必须经验收后方可投入使用。</w:t>
      </w:r>
    </w:p>
    <w:p w14:paraId="1DF01021">
      <w:pPr>
        <w:pageBreakBefore w:val="0"/>
        <w:widowControl/>
        <w:kinsoku/>
        <w:wordWrap/>
        <w:overflowPunct/>
        <w:topLinePunct w:val="0"/>
        <w:bidi w:val="0"/>
        <w:spacing w:line="360" w:lineRule="auto"/>
        <w:ind w:firstLine="420" w:firstLineChars="200"/>
        <w:jc w:val="left"/>
        <w:rPr>
          <w:rFonts w:ascii="宋体" w:hAnsi="宋体" w:eastAsia="宋体" w:cs="Times New Roman"/>
          <w:color w:val="000000"/>
          <w:szCs w:val="21"/>
          <w:highlight w:val="none"/>
        </w:rPr>
      </w:pPr>
      <w:r>
        <w:rPr>
          <w:rFonts w:ascii="宋体" w:hAnsi="宋体" w:eastAsia="宋体" w:cs="Times New Roman"/>
          <w:color w:val="000000"/>
          <w:szCs w:val="21"/>
          <w:highlight w:val="none"/>
        </w:rPr>
        <w:t>4.20</w:t>
      </w:r>
      <w:r>
        <w:rPr>
          <w:rFonts w:hint="eastAsia" w:ascii="宋体" w:hAnsi="宋体" w:eastAsia="宋体" w:cs="Times New Roman"/>
          <w:color w:val="000000"/>
          <w:szCs w:val="21"/>
          <w:highlight w:val="none"/>
        </w:rPr>
        <w:t>乙方施工人员使用的临时用电设备设施必须符合国家相关要求，禁止采用不合格产品或施工现场禁用产品。乙方应将现场电气产品的合格证、厂家经营许可证复印件等资料经查验无误后存档，并保证根据甲方的要求向甲方提供。</w:t>
      </w:r>
    </w:p>
    <w:p w14:paraId="2ACFE0DF">
      <w:pPr>
        <w:pageBreakBefore w:val="0"/>
        <w:widowControl/>
        <w:kinsoku/>
        <w:wordWrap/>
        <w:overflowPunct/>
        <w:topLinePunct w:val="0"/>
        <w:bidi w:val="0"/>
        <w:spacing w:line="360" w:lineRule="auto"/>
        <w:ind w:firstLine="420" w:firstLineChars="200"/>
        <w:jc w:val="left"/>
        <w:rPr>
          <w:rFonts w:ascii="宋体" w:hAnsi="宋体" w:eastAsia="宋体" w:cs="Times New Roman"/>
          <w:color w:val="000000"/>
          <w:szCs w:val="21"/>
          <w:highlight w:val="none"/>
        </w:rPr>
      </w:pPr>
      <w:r>
        <w:rPr>
          <w:rFonts w:ascii="宋体" w:hAnsi="宋体" w:eastAsia="宋体" w:cs="Times New Roman"/>
          <w:color w:val="000000"/>
          <w:szCs w:val="21"/>
          <w:highlight w:val="none"/>
        </w:rPr>
        <w:t>4.21</w:t>
      </w:r>
      <w:r>
        <w:rPr>
          <w:rFonts w:hint="eastAsia" w:ascii="宋体" w:hAnsi="宋体" w:eastAsia="宋体" w:cs="Times New Roman"/>
          <w:color w:val="000000"/>
          <w:szCs w:val="21"/>
          <w:highlight w:val="none"/>
        </w:rPr>
        <w:t>乙方工程施工现场应严格落实徐圩新区扬尘管控“六个百分百”要求。</w:t>
      </w:r>
    </w:p>
    <w:p w14:paraId="29906E3F">
      <w:pPr>
        <w:pageBreakBefore w:val="0"/>
        <w:widowControl/>
        <w:kinsoku/>
        <w:wordWrap/>
        <w:overflowPunct/>
        <w:topLinePunct w:val="0"/>
        <w:bidi w:val="0"/>
        <w:spacing w:line="360" w:lineRule="auto"/>
        <w:ind w:firstLine="420" w:firstLineChars="200"/>
        <w:jc w:val="left"/>
        <w:rPr>
          <w:rFonts w:ascii="宋体" w:hAnsi="宋体" w:eastAsia="宋体" w:cs="Times New Roman"/>
          <w:color w:val="000000"/>
          <w:szCs w:val="21"/>
          <w:highlight w:val="none"/>
        </w:rPr>
      </w:pPr>
      <w:r>
        <w:rPr>
          <w:rFonts w:ascii="宋体" w:hAnsi="宋体" w:eastAsia="宋体" w:cs="Times New Roman"/>
          <w:color w:val="000000"/>
          <w:szCs w:val="21"/>
          <w:highlight w:val="none"/>
        </w:rPr>
        <w:t>4.22.</w:t>
      </w:r>
      <w:r>
        <w:rPr>
          <w:rFonts w:hint="eastAsia" w:ascii="宋体" w:hAnsi="宋体" w:eastAsia="宋体" w:cs="Times New Roman"/>
          <w:color w:val="000000"/>
          <w:szCs w:val="21"/>
          <w:highlight w:val="none"/>
        </w:rPr>
        <w:t>乙方施工现场各种物料应按照施工平面图统一布置，分类码放整齐；物料存放场地应平整、夯实，有排水措施，不得影响现场施工和堵塞施工、消防通道。材料堆放场地应有专职的管理人员。</w:t>
      </w:r>
    </w:p>
    <w:p w14:paraId="026B5EF3">
      <w:pPr>
        <w:pageBreakBefore w:val="0"/>
        <w:widowControl/>
        <w:kinsoku/>
        <w:wordWrap/>
        <w:overflowPunct/>
        <w:topLinePunct w:val="0"/>
        <w:bidi w:val="0"/>
        <w:spacing w:line="360" w:lineRule="auto"/>
        <w:ind w:firstLine="420" w:firstLineChars="200"/>
        <w:jc w:val="left"/>
        <w:rPr>
          <w:rFonts w:ascii="宋体" w:hAnsi="宋体" w:eastAsia="宋体" w:cs="Times New Roman"/>
          <w:color w:val="000000"/>
          <w:szCs w:val="21"/>
          <w:highlight w:val="none"/>
        </w:rPr>
      </w:pPr>
      <w:r>
        <w:rPr>
          <w:rFonts w:ascii="宋体" w:hAnsi="宋体" w:eastAsia="宋体" w:cs="Times New Roman"/>
          <w:color w:val="000000"/>
          <w:szCs w:val="21"/>
          <w:highlight w:val="none"/>
        </w:rPr>
        <w:t>4.23</w:t>
      </w:r>
      <w:r>
        <w:rPr>
          <w:rFonts w:hint="eastAsia" w:ascii="宋体" w:hAnsi="宋体" w:eastAsia="宋体" w:cs="Times New Roman"/>
          <w:color w:val="000000"/>
          <w:szCs w:val="21"/>
          <w:highlight w:val="none"/>
        </w:rPr>
        <w:t>乙方应遵守所有适用于本合同的劳动法规及其他有关法律、法规、规章和规定中关于工人工资标准、劳动时间和劳动条件的规定，合理安排现场作业人员的劳动和休息时间，保障劳动者必须的休息时间，支付合理的报酬和费用。乙方应按有关行政管理部门的规定为本合同下雇佣的职员和工人办理任何必要的证件、许可、保险和注册等，并保障甲方免于因乙方不能依照或完全依照上述所有法律、法规、规章和规定等可能给甲方带来的任何处罚、索赔、损失和损害等。</w:t>
      </w:r>
    </w:p>
    <w:p w14:paraId="0B0A6139">
      <w:pPr>
        <w:pageBreakBefore w:val="0"/>
        <w:widowControl/>
        <w:kinsoku/>
        <w:wordWrap/>
        <w:overflowPunct/>
        <w:topLinePunct w:val="0"/>
        <w:bidi w:val="0"/>
        <w:spacing w:line="360" w:lineRule="auto"/>
        <w:ind w:firstLine="420" w:firstLineChars="200"/>
        <w:jc w:val="left"/>
        <w:rPr>
          <w:rFonts w:ascii="宋体" w:hAnsi="宋体" w:eastAsia="宋体" w:cs="Times New Roman"/>
          <w:color w:val="000000"/>
          <w:szCs w:val="21"/>
          <w:highlight w:val="none"/>
        </w:rPr>
      </w:pPr>
      <w:r>
        <w:rPr>
          <w:rFonts w:ascii="宋体" w:hAnsi="宋体" w:eastAsia="宋体" w:cs="Times New Roman"/>
          <w:color w:val="000000"/>
          <w:szCs w:val="21"/>
          <w:highlight w:val="none"/>
        </w:rPr>
        <w:t>4.24</w:t>
      </w:r>
      <w:r>
        <w:rPr>
          <w:rFonts w:hint="eastAsia" w:ascii="宋体" w:hAnsi="宋体" w:eastAsia="宋体" w:cs="Times New Roman"/>
          <w:color w:val="000000"/>
          <w:szCs w:val="21"/>
          <w:highlight w:val="none"/>
        </w:rPr>
        <w:t>乙方应按照国家《中华人民共和国劳动法》的规定，保障现场施工人员的劳动安全。乙方应为本合同下雇佣的职员和工人提供适当和充分的劳动保护，包括但不限于安全防护、防寒、防雨、防尘、绝缘保护、常用药品、急救设备、传染病预防等。</w:t>
      </w:r>
    </w:p>
    <w:p w14:paraId="37E0C905">
      <w:pPr>
        <w:pageBreakBefore w:val="0"/>
        <w:kinsoku/>
        <w:wordWrap/>
        <w:overflowPunct/>
        <w:topLinePunct w:val="0"/>
        <w:bidi w:val="0"/>
        <w:spacing w:line="360" w:lineRule="auto"/>
        <w:ind w:firstLine="422" w:firstLineChars="200"/>
        <w:rPr>
          <w:rFonts w:ascii="宋体" w:hAnsi="宋体" w:eastAsia="宋体" w:cs="Times New Roman"/>
          <w:b/>
          <w:color w:val="000000"/>
          <w:szCs w:val="21"/>
          <w:highlight w:val="none"/>
        </w:rPr>
      </w:pPr>
      <w:r>
        <w:rPr>
          <w:rFonts w:hint="eastAsia" w:ascii="宋体" w:hAnsi="宋体" w:eastAsia="宋体" w:cs="Times New Roman"/>
          <w:b/>
          <w:color w:val="000000"/>
          <w:szCs w:val="21"/>
          <w:highlight w:val="none"/>
        </w:rPr>
        <w:t>第六条</w:t>
      </w:r>
      <w:r>
        <w:rPr>
          <w:rFonts w:ascii="宋体" w:hAnsi="宋体" w:eastAsia="宋体" w:cs="Times New Roman"/>
          <w:b/>
          <w:color w:val="000000"/>
          <w:szCs w:val="21"/>
          <w:highlight w:val="none"/>
        </w:rPr>
        <w:tab/>
      </w:r>
      <w:r>
        <w:rPr>
          <w:rFonts w:hint="eastAsia" w:ascii="宋体" w:hAnsi="宋体" w:eastAsia="宋体" w:cs="Times New Roman"/>
          <w:b/>
          <w:color w:val="000000"/>
          <w:szCs w:val="21"/>
          <w:highlight w:val="none"/>
        </w:rPr>
        <w:t>违约责任</w:t>
      </w:r>
    </w:p>
    <w:p w14:paraId="6480F2DB">
      <w:pPr>
        <w:pageBreakBefore w:val="0"/>
        <w:kinsoku/>
        <w:wordWrap/>
        <w:overflowPunct/>
        <w:topLinePunct w:val="0"/>
        <w:bidi w:val="0"/>
        <w:spacing w:line="360" w:lineRule="auto"/>
        <w:ind w:firstLine="420" w:firstLineChars="200"/>
        <w:rPr>
          <w:rFonts w:ascii="宋体" w:hAnsi="宋体" w:eastAsia="宋体" w:cs="Times New Roman"/>
          <w:color w:val="000000"/>
          <w:szCs w:val="21"/>
          <w:highlight w:val="none"/>
        </w:rPr>
      </w:pPr>
      <w:r>
        <w:rPr>
          <w:rFonts w:hint="eastAsia" w:ascii="宋体" w:hAnsi="宋体" w:eastAsia="宋体" w:cs="Times New Roman"/>
          <w:color w:val="000000"/>
          <w:szCs w:val="21"/>
          <w:highlight w:val="none"/>
        </w:rPr>
        <w:t>乙方应认真履行本协议约定的安全生产、文明施工、治安保卫、消防管理等工作内容。由于乙方的过错使本协议不能履行、不能完全履行、延迟履行或者履行不符合约定条件的，由乙方承担全部责任，按对应条款标准支付违约赔偿金，如不能弥补甲方实际损失，乙方对甲方实际损失负补足责任。具体违约索赔如下：</w:t>
      </w:r>
    </w:p>
    <w:tbl>
      <w:tblPr>
        <w:tblStyle w:val="50"/>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
        <w:gridCol w:w="5866"/>
        <w:gridCol w:w="2242"/>
      </w:tblGrid>
      <w:tr w14:paraId="2CE1C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2" w:type="pct"/>
            <w:vAlign w:val="center"/>
          </w:tcPr>
          <w:p w14:paraId="5E61F316">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b/>
                <w:bCs/>
                <w:color w:val="000000"/>
                <w:szCs w:val="21"/>
                <w:highlight w:val="none"/>
              </w:rPr>
            </w:pPr>
            <w:r>
              <w:rPr>
                <w:rFonts w:hint="eastAsia" w:ascii="宋体" w:hAnsi="宋体" w:eastAsia="宋体" w:cs="Times New Roman"/>
                <w:b/>
                <w:bCs/>
                <w:color w:val="000000"/>
                <w:szCs w:val="21"/>
                <w:highlight w:val="none"/>
              </w:rPr>
              <w:t>序号</w:t>
            </w:r>
          </w:p>
        </w:tc>
        <w:tc>
          <w:tcPr>
            <w:tcW w:w="3240" w:type="pct"/>
            <w:vAlign w:val="center"/>
          </w:tcPr>
          <w:p w14:paraId="12E80C5F">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b/>
                <w:bCs/>
                <w:color w:val="000000"/>
                <w:szCs w:val="21"/>
                <w:highlight w:val="none"/>
              </w:rPr>
            </w:pPr>
            <w:r>
              <w:rPr>
                <w:rFonts w:hint="eastAsia" w:ascii="宋体" w:hAnsi="宋体" w:eastAsia="宋体" w:cs="Times New Roman"/>
                <w:b/>
                <w:bCs/>
                <w:color w:val="000000"/>
                <w:szCs w:val="21"/>
                <w:highlight w:val="none"/>
              </w:rPr>
              <w:t>违约情形</w:t>
            </w:r>
          </w:p>
        </w:tc>
        <w:tc>
          <w:tcPr>
            <w:tcW w:w="1236" w:type="pct"/>
            <w:vAlign w:val="center"/>
          </w:tcPr>
          <w:p w14:paraId="6648CDEA">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b/>
                <w:bCs/>
                <w:color w:val="000000"/>
                <w:szCs w:val="21"/>
                <w:highlight w:val="none"/>
              </w:rPr>
            </w:pPr>
            <w:r>
              <w:rPr>
                <w:rFonts w:hint="eastAsia" w:ascii="宋体" w:hAnsi="宋体" w:eastAsia="宋体" w:cs="Times New Roman"/>
                <w:b/>
                <w:bCs/>
                <w:color w:val="000000"/>
                <w:szCs w:val="21"/>
                <w:highlight w:val="none"/>
              </w:rPr>
              <w:t>支付违约金额</w:t>
            </w:r>
          </w:p>
        </w:tc>
      </w:tr>
      <w:tr w14:paraId="49436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000" w:type="pct"/>
            <w:gridSpan w:val="3"/>
            <w:vAlign w:val="center"/>
          </w:tcPr>
          <w:p w14:paraId="00456337">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default" w:ascii="宋体" w:hAnsi="宋体" w:eastAsia="宋体" w:cs="Times New Roman"/>
                <w:color w:val="000000"/>
                <w:szCs w:val="21"/>
                <w:highlight w:val="none"/>
              </w:rPr>
            </w:pPr>
            <w:r>
              <w:rPr>
                <w:rFonts w:hint="eastAsia" w:ascii="宋体" w:hAnsi="宋体" w:eastAsia="宋体" w:cs="Times New Roman"/>
                <w:b/>
                <w:bCs/>
                <w:color w:val="000000"/>
                <w:szCs w:val="21"/>
                <w:highlight w:val="none"/>
              </w:rPr>
              <w:t>一、管理行为违约</w:t>
            </w:r>
          </w:p>
        </w:tc>
      </w:tr>
      <w:tr w14:paraId="2BACA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2" w:type="pct"/>
            <w:tcBorders>
              <w:bottom w:val="single" w:color="auto" w:sz="4" w:space="0"/>
            </w:tcBorders>
            <w:vAlign w:val="center"/>
          </w:tcPr>
          <w:p w14:paraId="095818BD">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right"/>
              <w:textAlignment w:val="auto"/>
              <w:rPr>
                <w:rFonts w:hint="default" w:ascii="宋体" w:hAnsi="宋体" w:eastAsia="宋体" w:cs="Times New Roman"/>
                <w:color w:val="000000"/>
                <w:szCs w:val="21"/>
                <w:highlight w:val="none"/>
              </w:rPr>
            </w:pPr>
          </w:p>
        </w:tc>
        <w:tc>
          <w:tcPr>
            <w:tcW w:w="3240" w:type="pct"/>
            <w:tcBorders>
              <w:bottom w:val="single" w:color="auto" w:sz="4" w:space="0"/>
            </w:tcBorders>
            <w:vAlign w:val="center"/>
          </w:tcPr>
          <w:p w14:paraId="4E76DCCA">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劳务分包单位</w:t>
            </w:r>
            <w:r>
              <w:rPr>
                <w:rFonts w:hint="eastAsia" w:ascii="宋体" w:hAnsi="宋体" w:eastAsia="宋体" w:cs="Times New Roman"/>
                <w:color w:val="000000"/>
                <w:szCs w:val="21"/>
                <w:highlight w:val="none"/>
              </w:rPr>
              <w:t>提供虚假资质</w:t>
            </w:r>
          </w:p>
        </w:tc>
        <w:tc>
          <w:tcPr>
            <w:tcW w:w="1236" w:type="pct"/>
            <w:tcBorders>
              <w:bottom w:val="single" w:color="auto" w:sz="4" w:space="0"/>
            </w:tcBorders>
            <w:vAlign w:val="center"/>
          </w:tcPr>
          <w:p w14:paraId="239A39C0">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责令停止作业、终止</w:t>
            </w:r>
            <w:r>
              <w:rPr>
                <w:rFonts w:hint="eastAsia" w:ascii="宋体" w:hAnsi="宋体" w:eastAsia="宋体" w:cs="Times New Roman"/>
                <w:color w:val="000000"/>
                <w:szCs w:val="21"/>
                <w:highlight w:val="none"/>
              </w:rPr>
              <w:t>分包</w:t>
            </w:r>
            <w:r>
              <w:rPr>
                <w:rFonts w:hint="default" w:ascii="宋体" w:hAnsi="宋体" w:eastAsia="宋体" w:cs="Times New Roman"/>
                <w:color w:val="000000"/>
                <w:szCs w:val="21"/>
                <w:highlight w:val="none"/>
              </w:rPr>
              <w:t>合同，并</w:t>
            </w:r>
            <w:r>
              <w:rPr>
                <w:rFonts w:hint="eastAsia" w:ascii="宋体" w:hAnsi="宋体" w:eastAsia="宋体" w:cs="Times New Roman"/>
                <w:color w:val="000000"/>
                <w:szCs w:val="21"/>
                <w:highlight w:val="none"/>
              </w:rPr>
              <w:t>按</w:t>
            </w:r>
            <w:r>
              <w:rPr>
                <w:rFonts w:hint="default" w:ascii="宋体" w:hAnsi="宋体" w:eastAsia="宋体" w:cs="Times New Roman"/>
                <w:color w:val="000000"/>
                <w:szCs w:val="21"/>
                <w:highlight w:val="none"/>
              </w:rPr>
              <w:t>5000元</w:t>
            </w:r>
            <w:r>
              <w:rPr>
                <w:rFonts w:hint="eastAsia" w:ascii="宋体" w:hAnsi="宋体" w:eastAsia="宋体" w:cs="Times New Roman"/>
                <w:color w:val="000000"/>
                <w:szCs w:val="21"/>
                <w:highlight w:val="none"/>
              </w:rPr>
              <w:t>/起支付违约金</w:t>
            </w:r>
          </w:p>
        </w:tc>
      </w:tr>
      <w:tr w14:paraId="34D78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2" w:type="pct"/>
            <w:tcBorders>
              <w:top w:val="single" w:color="auto" w:sz="4" w:space="0"/>
              <w:left w:val="single" w:color="auto" w:sz="4" w:space="0"/>
              <w:bottom w:val="single" w:color="auto" w:sz="4" w:space="0"/>
              <w:right w:val="single" w:color="auto" w:sz="4" w:space="0"/>
            </w:tcBorders>
            <w:vAlign w:val="center"/>
          </w:tcPr>
          <w:p w14:paraId="1597D029">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right"/>
              <w:textAlignment w:val="auto"/>
              <w:rPr>
                <w:rFonts w:hint="default" w:ascii="宋体" w:hAnsi="宋体" w:eastAsia="宋体" w:cs="Times New Roman"/>
                <w:color w:val="000000"/>
                <w:szCs w:val="21"/>
                <w:highlight w:val="none"/>
              </w:rPr>
            </w:pPr>
          </w:p>
        </w:tc>
        <w:tc>
          <w:tcPr>
            <w:tcW w:w="3240" w:type="pct"/>
            <w:tcBorders>
              <w:top w:val="single" w:color="auto" w:sz="4" w:space="0"/>
              <w:left w:val="single" w:color="auto" w:sz="4" w:space="0"/>
              <w:bottom w:val="single" w:color="auto" w:sz="4" w:space="0"/>
              <w:right w:val="single" w:color="auto" w:sz="4" w:space="0"/>
            </w:tcBorders>
            <w:vAlign w:val="center"/>
          </w:tcPr>
          <w:p w14:paraId="00C41D46">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宋体" w:hAnsi="宋体" w:eastAsia="宋体" w:cs="Times New Roman"/>
                <w:color w:val="000000"/>
                <w:szCs w:val="21"/>
                <w:highlight w:val="none"/>
              </w:rPr>
            </w:pPr>
            <w:r>
              <w:rPr>
                <w:rFonts w:hint="eastAsia" w:ascii="宋体" w:hAnsi="宋体" w:eastAsia="宋体" w:cs="Times New Roman"/>
                <w:color w:val="000000"/>
                <w:szCs w:val="21"/>
                <w:highlight w:val="none"/>
              </w:rPr>
              <w:t>招录和使用60周岁以上男性、50周岁以上女性从事建筑施工现场“高空、高危、高风险、重体力”一线作业活动的</w:t>
            </w:r>
          </w:p>
        </w:tc>
        <w:tc>
          <w:tcPr>
            <w:tcW w:w="1236" w:type="pct"/>
            <w:tcBorders>
              <w:top w:val="single" w:color="auto" w:sz="4" w:space="0"/>
              <w:left w:val="single" w:color="auto" w:sz="4" w:space="0"/>
              <w:bottom w:val="single" w:color="auto" w:sz="4" w:space="0"/>
              <w:right w:val="single" w:color="auto" w:sz="4" w:space="0"/>
            </w:tcBorders>
            <w:vAlign w:val="center"/>
          </w:tcPr>
          <w:p w14:paraId="17F39E58">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color w:val="000000"/>
                <w:szCs w:val="21"/>
                <w:highlight w:val="none"/>
              </w:rPr>
            </w:pPr>
            <w:r>
              <w:rPr>
                <w:rFonts w:hint="eastAsia" w:ascii="宋体" w:hAnsi="宋体" w:eastAsia="宋体" w:cs="Times New Roman"/>
                <w:color w:val="000000"/>
                <w:szCs w:val="21"/>
                <w:highlight w:val="none"/>
              </w:rPr>
              <w:t>2000元/人，并将相应人员清场</w:t>
            </w:r>
          </w:p>
        </w:tc>
      </w:tr>
      <w:tr w14:paraId="49CC8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2" w:type="pct"/>
            <w:tcBorders>
              <w:top w:val="single" w:color="auto" w:sz="4" w:space="0"/>
              <w:left w:val="single" w:color="auto" w:sz="4" w:space="0"/>
              <w:bottom w:val="single" w:color="auto" w:sz="4" w:space="0"/>
              <w:right w:val="single" w:color="auto" w:sz="4" w:space="0"/>
            </w:tcBorders>
            <w:vAlign w:val="center"/>
          </w:tcPr>
          <w:p w14:paraId="5A72CF52">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right"/>
              <w:textAlignment w:val="auto"/>
              <w:rPr>
                <w:rFonts w:hint="default" w:ascii="宋体" w:hAnsi="宋体" w:eastAsia="宋体" w:cs="Times New Roman"/>
                <w:color w:val="000000"/>
                <w:szCs w:val="21"/>
                <w:highlight w:val="none"/>
              </w:rPr>
            </w:pPr>
          </w:p>
        </w:tc>
        <w:tc>
          <w:tcPr>
            <w:tcW w:w="3240" w:type="pct"/>
            <w:tcBorders>
              <w:top w:val="single" w:color="auto" w:sz="4" w:space="0"/>
              <w:left w:val="single" w:color="auto" w:sz="4" w:space="0"/>
              <w:bottom w:val="single" w:color="auto" w:sz="4" w:space="0"/>
              <w:right w:val="single" w:color="auto" w:sz="4" w:space="0"/>
            </w:tcBorders>
            <w:vAlign w:val="center"/>
          </w:tcPr>
          <w:p w14:paraId="57CF6924">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宋体" w:hAnsi="宋体" w:eastAsia="宋体" w:cs="Times New Roman"/>
                <w:color w:val="000000"/>
                <w:szCs w:val="21"/>
                <w:highlight w:val="none"/>
              </w:rPr>
            </w:pPr>
            <w:r>
              <w:rPr>
                <w:rFonts w:hint="eastAsia" w:ascii="宋体" w:hAnsi="宋体" w:eastAsia="宋体" w:cs="Times New Roman"/>
                <w:color w:val="000000"/>
                <w:szCs w:val="21"/>
                <w:highlight w:val="none"/>
              </w:rPr>
              <w:t>施工方案和安全措施未向全体施工人员交底，未经双方签字确认</w:t>
            </w:r>
          </w:p>
        </w:tc>
        <w:tc>
          <w:tcPr>
            <w:tcW w:w="1236" w:type="pct"/>
            <w:tcBorders>
              <w:top w:val="single" w:color="auto" w:sz="4" w:space="0"/>
              <w:left w:val="single" w:color="auto" w:sz="4" w:space="0"/>
              <w:bottom w:val="single" w:color="auto" w:sz="4" w:space="0"/>
              <w:right w:val="single" w:color="auto" w:sz="4" w:space="0"/>
            </w:tcBorders>
            <w:vAlign w:val="center"/>
          </w:tcPr>
          <w:p w14:paraId="14D7FF79">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color w:val="000000"/>
                <w:szCs w:val="21"/>
                <w:highlight w:val="none"/>
              </w:rPr>
            </w:pPr>
            <w:r>
              <w:rPr>
                <w:rFonts w:hint="eastAsia" w:ascii="宋体" w:hAnsi="宋体" w:eastAsia="宋体" w:cs="Times New Roman"/>
                <w:color w:val="000000"/>
                <w:szCs w:val="21"/>
                <w:highlight w:val="none"/>
              </w:rPr>
              <w:t>1000元/起</w:t>
            </w:r>
          </w:p>
        </w:tc>
      </w:tr>
      <w:tr w14:paraId="075F4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2" w:type="pct"/>
            <w:tcBorders>
              <w:top w:val="single" w:color="auto" w:sz="4" w:space="0"/>
              <w:left w:val="single" w:color="auto" w:sz="4" w:space="0"/>
              <w:bottom w:val="single" w:color="auto" w:sz="4" w:space="0"/>
              <w:right w:val="single" w:color="auto" w:sz="4" w:space="0"/>
            </w:tcBorders>
            <w:vAlign w:val="center"/>
          </w:tcPr>
          <w:p w14:paraId="2CA1DBDA">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right"/>
              <w:textAlignment w:val="auto"/>
              <w:rPr>
                <w:rFonts w:hint="default" w:ascii="宋体" w:hAnsi="宋体" w:eastAsia="宋体" w:cs="Times New Roman"/>
                <w:color w:val="000000"/>
                <w:szCs w:val="21"/>
                <w:highlight w:val="none"/>
              </w:rPr>
            </w:pPr>
          </w:p>
        </w:tc>
        <w:tc>
          <w:tcPr>
            <w:tcW w:w="3240" w:type="pct"/>
            <w:tcBorders>
              <w:top w:val="single" w:color="auto" w:sz="4" w:space="0"/>
              <w:left w:val="single" w:color="auto" w:sz="4" w:space="0"/>
              <w:bottom w:val="single" w:color="auto" w:sz="4" w:space="0"/>
              <w:right w:val="single" w:color="auto" w:sz="4" w:space="0"/>
            </w:tcBorders>
            <w:vAlign w:val="center"/>
          </w:tcPr>
          <w:p w14:paraId="1F32FE7D">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宋体" w:hAnsi="宋体" w:eastAsia="宋体" w:cs="Times New Roman"/>
                <w:color w:val="000000"/>
                <w:szCs w:val="21"/>
                <w:highlight w:val="none"/>
              </w:rPr>
            </w:pPr>
            <w:r>
              <w:rPr>
                <w:rFonts w:hint="eastAsia" w:ascii="宋体" w:hAnsi="宋体" w:eastAsia="宋体" w:cs="Times New Roman"/>
                <w:color w:val="000000"/>
                <w:szCs w:val="21"/>
                <w:highlight w:val="none"/>
              </w:rPr>
              <w:t>未按要求配备项目专（兼）职安全管理人员的</w:t>
            </w:r>
          </w:p>
        </w:tc>
        <w:tc>
          <w:tcPr>
            <w:tcW w:w="1236" w:type="pct"/>
            <w:tcBorders>
              <w:top w:val="single" w:color="auto" w:sz="4" w:space="0"/>
              <w:left w:val="single" w:color="auto" w:sz="4" w:space="0"/>
              <w:bottom w:val="single" w:color="auto" w:sz="4" w:space="0"/>
              <w:right w:val="single" w:color="auto" w:sz="4" w:space="0"/>
            </w:tcBorders>
            <w:vAlign w:val="center"/>
          </w:tcPr>
          <w:p w14:paraId="5571B91B">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color w:val="000000"/>
                <w:szCs w:val="21"/>
                <w:highlight w:val="none"/>
              </w:rPr>
            </w:pPr>
            <w:r>
              <w:rPr>
                <w:rFonts w:hint="eastAsia" w:ascii="宋体" w:hAnsi="宋体" w:eastAsia="宋体" w:cs="Times New Roman"/>
                <w:color w:val="000000"/>
                <w:szCs w:val="21"/>
                <w:highlight w:val="none"/>
              </w:rPr>
              <w:t>5000元</w:t>
            </w:r>
          </w:p>
        </w:tc>
      </w:tr>
      <w:tr w14:paraId="4501C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2" w:type="pct"/>
            <w:tcBorders>
              <w:top w:val="single" w:color="auto" w:sz="4" w:space="0"/>
              <w:left w:val="single" w:color="auto" w:sz="4" w:space="0"/>
              <w:bottom w:val="single" w:color="auto" w:sz="4" w:space="0"/>
              <w:right w:val="single" w:color="auto" w:sz="4" w:space="0"/>
            </w:tcBorders>
            <w:vAlign w:val="center"/>
          </w:tcPr>
          <w:p w14:paraId="022D235D">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right"/>
              <w:textAlignment w:val="auto"/>
              <w:rPr>
                <w:rFonts w:hint="default" w:ascii="宋体" w:hAnsi="宋体" w:eastAsia="宋体" w:cs="Times New Roman"/>
                <w:color w:val="000000"/>
                <w:szCs w:val="21"/>
                <w:highlight w:val="none"/>
              </w:rPr>
            </w:pPr>
          </w:p>
        </w:tc>
        <w:tc>
          <w:tcPr>
            <w:tcW w:w="3240" w:type="pct"/>
            <w:tcBorders>
              <w:top w:val="single" w:color="auto" w:sz="4" w:space="0"/>
              <w:left w:val="single" w:color="auto" w:sz="4" w:space="0"/>
              <w:bottom w:val="single" w:color="auto" w:sz="4" w:space="0"/>
              <w:right w:val="single" w:color="auto" w:sz="4" w:space="0"/>
            </w:tcBorders>
            <w:vAlign w:val="center"/>
          </w:tcPr>
          <w:p w14:paraId="1A0CAB86">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宋体" w:hAnsi="宋体" w:eastAsia="宋体" w:cs="Times New Roman"/>
                <w:color w:val="000000"/>
                <w:szCs w:val="21"/>
                <w:highlight w:val="none"/>
              </w:rPr>
            </w:pPr>
            <w:r>
              <w:rPr>
                <w:rFonts w:hint="eastAsia" w:ascii="宋体" w:hAnsi="宋体" w:eastAsia="宋体" w:cs="Times New Roman"/>
                <w:color w:val="000000"/>
                <w:szCs w:val="21"/>
                <w:highlight w:val="none"/>
              </w:rPr>
              <w:t>未严格执行工作票、操作票、安全施工作业票、动火工作票等制度和措施</w:t>
            </w:r>
          </w:p>
        </w:tc>
        <w:tc>
          <w:tcPr>
            <w:tcW w:w="1236" w:type="pct"/>
            <w:tcBorders>
              <w:top w:val="single" w:color="auto" w:sz="4" w:space="0"/>
              <w:left w:val="single" w:color="auto" w:sz="4" w:space="0"/>
              <w:bottom w:val="single" w:color="auto" w:sz="4" w:space="0"/>
              <w:right w:val="single" w:color="auto" w:sz="4" w:space="0"/>
            </w:tcBorders>
            <w:vAlign w:val="center"/>
          </w:tcPr>
          <w:p w14:paraId="0C9D1B43">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color w:val="000000"/>
                <w:szCs w:val="21"/>
                <w:highlight w:val="none"/>
              </w:rPr>
            </w:pPr>
            <w:r>
              <w:rPr>
                <w:rFonts w:hint="eastAsia" w:ascii="宋体" w:hAnsi="宋体" w:eastAsia="宋体" w:cs="Times New Roman"/>
                <w:color w:val="000000"/>
                <w:szCs w:val="21"/>
                <w:highlight w:val="none"/>
              </w:rPr>
              <w:t>5000元/起</w:t>
            </w:r>
          </w:p>
        </w:tc>
      </w:tr>
      <w:tr w14:paraId="150FB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2" w:type="pct"/>
            <w:tcBorders>
              <w:top w:val="single" w:color="auto" w:sz="4" w:space="0"/>
              <w:bottom w:val="single" w:color="auto" w:sz="4" w:space="0"/>
            </w:tcBorders>
            <w:vAlign w:val="center"/>
          </w:tcPr>
          <w:p w14:paraId="75C93A41">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right"/>
              <w:textAlignment w:val="auto"/>
              <w:rPr>
                <w:rFonts w:hint="default" w:ascii="宋体" w:hAnsi="宋体" w:eastAsia="宋体" w:cs="Times New Roman"/>
                <w:color w:val="000000"/>
                <w:szCs w:val="21"/>
                <w:highlight w:val="none"/>
              </w:rPr>
            </w:pPr>
          </w:p>
        </w:tc>
        <w:tc>
          <w:tcPr>
            <w:tcW w:w="3240" w:type="pct"/>
            <w:tcBorders>
              <w:top w:val="single" w:color="auto" w:sz="4" w:space="0"/>
              <w:bottom w:val="single" w:color="auto" w:sz="4" w:space="0"/>
            </w:tcBorders>
            <w:vAlign w:val="center"/>
          </w:tcPr>
          <w:p w14:paraId="275AC327">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宋体" w:hAnsi="宋体" w:eastAsia="宋体" w:cs="Times New Roman"/>
                <w:color w:val="000000"/>
                <w:szCs w:val="21"/>
                <w:highlight w:val="none"/>
              </w:rPr>
            </w:pPr>
            <w:r>
              <w:rPr>
                <w:rFonts w:hint="eastAsia" w:ascii="宋体" w:hAnsi="宋体" w:eastAsia="宋体" w:cs="Times New Roman"/>
                <w:color w:val="000000"/>
                <w:szCs w:val="21"/>
                <w:highlight w:val="none"/>
              </w:rPr>
              <w:t>未按规定定期对施工现场作业人员的行为规范和安全措施的落实情况进行监督检查和安全巡视</w:t>
            </w:r>
          </w:p>
        </w:tc>
        <w:tc>
          <w:tcPr>
            <w:tcW w:w="1236" w:type="pct"/>
            <w:tcBorders>
              <w:top w:val="single" w:color="auto" w:sz="4" w:space="0"/>
              <w:bottom w:val="single" w:color="auto" w:sz="4" w:space="0"/>
            </w:tcBorders>
            <w:vAlign w:val="center"/>
          </w:tcPr>
          <w:p w14:paraId="6AE33F93">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color w:val="000000"/>
                <w:szCs w:val="21"/>
                <w:highlight w:val="none"/>
              </w:rPr>
            </w:pPr>
            <w:r>
              <w:rPr>
                <w:rFonts w:hint="eastAsia" w:ascii="宋体" w:hAnsi="宋体" w:eastAsia="宋体" w:cs="Times New Roman"/>
                <w:color w:val="000000"/>
                <w:szCs w:val="21"/>
                <w:highlight w:val="none"/>
              </w:rPr>
              <w:t>2000元/起</w:t>
            </w:r>
          </w:p>
        </w:tc>
      </w:tr>
      <w:tr w14:paraId="375A7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2" w:type="pct"/>
            <w:tcBorders>
              <w:top w:val="single" w:color="auto" w:sz="4" w:space="0"/>
              <w:bottom w:val="single" w:color="auto" w:sz="4" w:space="0"/>
            </w:tcBorders>
            <w:vAlign w:val="center"/>
          </w:tcPr>
          <w:p w14:paraId="0A321AD6">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right"/>
              <w:textAlignment w:val="auto"/>
              <w:rPr>
                <w:rFonts w:hint="default" w:ascii="宋体" w:hAnsi="宋体" w:eastAsia="宋体" w:cs="Times New Roman"/>
                <w:color w:val="000000"/>
                <w:szCs w:val="21"/>
                <w:highlight w:val="none"/>
              </w:rPr>
            </w:pPr>
          </w:p>
        </w:tc>
        <w:tc>
          <w:tcPr>
            <w:tcW w:w="3240" w:type="pct"/>
            <w:tcBorders>
              <w:top w:val="single" w:color="auto" w:sz="4" w:space="0"/>
              <w:bottom w:val="single" w:color="auto" w:sz="4" w:space="0"/>
            </w:tcBorders>
            <w:vAlign w:val="center"/>
          </w:tcPr>
          <w:p w14:paraId="00770AB8">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宋体" w:hAnsi="宋体" w:eastAsia="宋体" w:cs="Times New Roman"/>
                <w:color w:val="000000"/>
                <w:szCs w:val="21"/>
                <w:highlight w:val="none"/>
              </w:rPr>
            </w:pPr>
            <w:r>
              <w:rPr>
                <w:rFonts w:hint="eastAsia" w:ascii="宋体" w:hAnsi="宋体" w:eastAsia="宋体" w:cs="Times New Roman"/>
                <w:color w:val="000000"/>
                <w:szCs w:val="21"/>
                <w:highlight w:val="none"/>
              </w:rPr>
              <w:t>不配合安全检查（包括建设单位、监理单位和主管部门对工程项目的检查）</w:t>
            </w:r>
          </w:p>
        </w:tc>
        <w:tc>
          <w:tcPr>
            <w:tcW w:w="1236" w:type="pct"/>
            <w:tcBorders>
              <w:top w:val="single" w:color="auto" w:sz="4" w:space="0"/>
              <w:bottom w:val="single" w:color="auto" w:sz="4" w:space="0"/>
            </w:tcBorders>
            <w:vAlign w:val="center"/>
          </w:tcPr>
          <w:p w14:paraId="2BEE9772">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color w:val="000000"/>
                <w:szCs w:val="21"/>
                <w:highlight w:val="none"/>
              </w:rPr>
            </w:pPr>
            <w:r>
              <w:rPr>
                <w:rFonts w:hint="eastAsia" w:ascii="宋体" w:hAnsi="宋体" w:eastAsia="宋体" w:cs="Times New Roman"/>
                <w:color w:val="000000"/>
                <w:szCs w:val="21"/>
                <w:highlight w:val="none"/>
              </w:rPr>
              <w:t>5000元/起</w:t>
            </w:r>
          </w:p>
        </w:tc>
      </w:tr>
      <w:tr w14:paraId="6D835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2" w:type="pct"/>
            <w:tcBorders>
              <w:top w:val="single" w:color="auto" w:sz="4" w:space="0"/>
              <w:bottom w:val="single" w:color="auto" w:sz="4" w:space="0"/>
            </w:tcBorders>
            <w:vAlign w:val="center"/>
          </w:tcPr>
          <w:p w14:paraId="7AF8DF80">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right"/>
              <w:textAlignment w:val="auto"/>
              <w:rPr>
                <w:rFonts w:hint="default" w:ascii="宋体" w:hAnsi="宋体" w:eastAsia="宋体" w:cs="Times New Roman"/>
                <w:color w:val="000000"/>
                <w:szCs w:val="21"/>
                <w:highlight w:val="none"/>
              </w:rPr>
            </w:pPr>
          </w:p>
        </w:tc>
        <w:tc>
          <w:tcPr>
            <w:tcW w:w="3240" w:type="pct"/>
            <w:tcBorders>
              <w:top w:val="single" w:color="auto" w:sz="4" w:space="0"/>
              <w:bottom w:val="single" w:color="auto" w:sz="4" w:space="0"/>
            </w:tcBorders>
            <w:vAlign w:val="center"/>
          </w:tcPr>
          <w:p w14:paraId="6295837E">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宋体" w:hAnsi="宋体" w:eastAsia="宋体" w:cs="Times New Roman"/>
                <w:color w:val="000000"/>
                <w:szCs w:val="21"/>
                <w:highlight w:val="none"/>
              </w:rPr>
            </w:pPr>
            <w:r>
              <w:rPr>
                <w:rFonts w:hint="eastAsia" w:ascii="宋体" w:hAnsi="宋体" w:eastAsia="宋体" w:cs="Times New Roman"/>
                <w:color w:val="000000"/>
                <w:szCs w:val="21"/>
                <w:highlight w:val="none"/>
              </w:rPr>
              <w:t>对存在问题超期不落实整改</w:t>
            </w:r>
          </w:p>
        </w:tc>
        <w:tc>
          <w:tcPr>
            <w:tcW w:w="1236" w:type="pct"/>
            <w:tcBorders>
              <w:top w:val="single" w:color="auto" w:sz="4" w:space="0"/>
              <w:bottom w:val="single" w:color="auto" w:sz="4" w:space="0"/>
            </w:tcBorders>
            <w:vAlign w:val="center"/>
          </w:tcPr>
          <w:p w14:paraId="28CCA2DD">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color w:val="000000"/>
                <w:szCs w:val="21"/>
                <w:highlight w:val="none"/>
              </w:rPr>
            </w:pPr>
            <w:r>
              <w:rPr>
                <w:rFonts w:hint="eastAsia" w:ascii="宋体" w:hAnsi="宋体" w:eastAsia="宋体" w:cs="Times New Roman"/>
                <w:color w:val="000000"/>
                <w:szCs w:val="21"/>
                <w:highlight w:val="none"/>
              </w:rPr>
              <w:t>1000元/项</w:t>
            </w:r>
          </w:p>
        </w:tc>
      </w:tr>
      <w:tr w14:paraId="7B421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2" w:type="pct"/>
            <w:tcBorders>
              <w:top w:val="single" w:color="auto" w:sz="4" w:space="0"/>
              <w:bottom w:val="single" w:color="auto" w:sz="4" w:space="0"/>
            </w:tcBorders>
            <w:vAlign w:val="center"/>
          </w:tcPr>
          <w:p w14:paraId="2EC1E309">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right"/>
              <w:textAlignment w:val="auto"/>
              <w:rPr>
                <w:rFonts w:hint="default" w:ascii="宋体" w:hAnsi="宋体" w:eastAsia="宋体" w:cs="Times New Roman"/>
                <w:color w:val="000000"/>
                <w:szCs w:val="21"/>
                <w:highlight w:val="none"/>
              </w:rPr>
            </w:pPr>
          </w:p>
        </w:tc>
        <w:tc>
          <w:tcPr>
            <w:tcW w:w="3240" w:type="pct"/>
            <w:tcBorders>
              <w:top w:val="single" w:color="auto" w:sz="4" w:space="0"/>
              <w:bottom w:val="single" w:color="auto" w:sz="4" w:space="0"/>
            </w:tcBorders>
            <w:vAlign w:val="center"/>
          </w:tcPr>
          <w:p w14:paraId="374CB381">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宋体" w:hAnsi="宋体" w:eastAsia="宋体" w:cs="Times New Roman"/>
                <w:color w:val="000000"/>
                <w:szCs w:val="21"/>
                <w:highlight w:val="none"/>
              </w:rPr>
            </w:pPr>
            <w:r>
              <w:rPr>
                <w:rFonts w:hint="eastAsia" w:ascii="宋体" w:hAnsi="宋体" w:eastAsia="宋体" w:cs="Times New Roman"/>
                <w:color w:val="000000"/>
                <w:szCs w:val="21"/>
                <w:highlight w:val="none"/>
              </w:rPr>
              <w:t>分包单位责任范围内现场隐患问题重复性发生</w:t>
            </w:r>
          </w:p>
        </w:tc>
        <w:tc>
          <w:tcPr>
            <w:tcW w:w="1236" w:type="pct"/>
            <w:tcBorders>
              <w:top w:val="single" w:color="auto" w:sz="4" w:space="0"/>
              <w:bottom w:val="single" w:color="auto" w:sz="4" w:space="0"/>
            </w:tcBorders>
            <w:vAlign w:val="center"/>
          </w:tcPr>
          <w:p w14:paraId="37498593">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color w:val="000000"/>
                <w:szCs w:val="21"/>
                <w:highlight w:val="none"/>
              </w:rPr>
            </w:pPr>
            <w:r>
              <w:rPr>
                <w:rFonts w:hint="eastAsia" w:ascii="宋体" w:hAnsi="宋体" w:eastAsia="宋体" w:cs="Times New Roman"/>
                <w:color w:val="000000"/>
                <w:szCs w:val="21"/>
                <w:highlight w:val="none"/>
              </w:rPr>
              <w:t>2000元/项</w:t>
            </w:r>
          </w:p>
        </w:tc>
      </w:tr>
      <w:tr w14:paraId="20A96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2" w:type="pct"/>
            <w:tcBorders>
              <w:top w:val="single" w:color="auto" w:sz="4" w:space="0"/>
              <w:bottom w:val="single" w:color="auto" w:sz="4" w:space="0"/>
            </w:tcBorders>
            <w:vAlign w:val="center"/>
          </w:tcPr>
          <w:p w14:paraId="1FF2B70B">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right"/>
              <w:textAlignment w:val="auto"/>
              <w:rPr>
                <w:rFonts w:hint="default" w:ascii="宋体" w:hAnsi="宋体" w:eastAsia="宋体" w:cs="Times New Roman"/>
                <w:color w:val="000000"/>
                <w:szCs w:val="21"/>
                <w:highlight w:val="none"/>
              </w:rPr>
            </w:pPr>
          </w:p>
        </w:tc>
        <w:tc>
          <w:tcPr>
            <w:tcW w:w="3240" w:type="pct"/>
            <w:tcBorders>
              <w:top w:val="single" w:color="auto" w:sz="4" w:space="0"/>
              <w:bottom w:val="single" w:color="auto" w:sz="4" w:space="0"/>
            </w:tcBorders>
            <w:vAlign w:val="center"/>
          </w:tcPr>
          <w:p w14:paraId="5402FB87">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宋体" w:hAnsi="宋体" w:eastAsia="宋体" w:cs="Times New Roman"/>
                <w:color w:val="000000"/>
                <w:szCs w:val="21"/>
                <w:highlight w:val="none"/>
              </w:rPr>
            </w:pPr>
            <w:r>
              <w:rPr>
                <w:rFonts w:hint="eastAsia" w:ascii="宋体" w:hAnsi="宋体" w:eastAsia="宋体" w:cs="Times New Roman"/>
                <w:color w:val="000000"/>
                <w:szCs w:val="21"/>
                <w:highlight w:val="none"/>
              </w:rPr>
              <w:t>未建立完善相关安全记录台帐</w:t>
            </w:r>
          </w:p>
        </w:tc>
        <w:tc>
          <w:tcPr>
            <w:tcW w:w="1236" w:type="pct"/>
            <w:tcBorders>
              <w:top w:val="single" w:color="auto" w:sz="4" w:space="0"/>
              <w:bottom w:val="single" w:color="auto" w:sz="4" w:space="0"/>
            </w:tcBorders>
            <w:vAlign w:val="center"/>
          </w:tcPr>
          <w:p w14:paraId="6F098F42">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color w:val="000000"/>
                <w:szCs w:val="21"/>
                <w:highlight w:val="none"/>
              </w:rPr>
            </w:pPr>
            <w:r>
              <w:rPr>
                <w:rFonts w:hint="eastAsia" w:ascii="宋体" w:hAnsi="宋体" w:eastAsia="宋体" w:cs="Times New Roman"/>
                <w:color w:val="000000"/>
                <w:szCs w:val="21"/>
                <w:highlight w:val="none"/>
              </w:rPr>
              <w:t>2000元/起</w:t>
            </w:r>
          </w:p>
        </w:tc>
      </w:tr>
      <w:tr w14:paraId="5934C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2" w:type="pct"/>
            <w:tcBorders>
              <w:top w:val="single" w:color="auto" w:sz="4" w:space="0"/>
              <w:bottom w:val="single" w:color="auto" w:sz="4" w:space="0"/>
            </w:tcBorders>
            <w:vAlign w:val="center"/>
          </w:tcPr>
          <w:p w14:paraId="7ADB8ACD">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right"/>
              <w:textAlignment w:val="auto"/>
              <w:rPr>
                <w:rFonts w:hint="default" w:ascii="宋体" w:hAnsi="宋体" w:eastAsia="宋体" w:cs="Times New Roman"/>
                <w:color w:val="000000"/>
                <w:szCs w:val="21"/>
                <w:highlight w:val="none"/>
              </w:rPr>
            </w:pPr>
          </w:p>
        </w:tc>
        <w:tc>
          <w:tcPr>
            <w:tcW w:w="3240" w:type="pct"/>
            <w:tcBorders>
              <w:top w:val="single" w:color="auto" w:sz="4" w:space="0"/>
              <w:bottom w:val="single" w:color="auto" w:sz="4" w:space="0"/>
            </w:tcBorders>
            <w:vAlign w:val="center"/>
          </w:tcPr>
          <w:p w14:paraId="3965EE80">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无故迟到或缺席安全会议</w:t>
            </w:r>
          </w:p>
        </w:tc>
        <w:tc>
          <w:tcPr>
            <w:tcW w:w="1236" w:type="pct"/>
            <w:tcBorders>
              <w:top w:val="single" w:color="auto" w:sz="4" w:space="0"/>
              <w:bottom w:val="single" w:color="auto" w:sz="4" w:space="0"/>
            </w:tcBorders>
            <w:vAlign w:val="center"/>
          </w:tcPr>
          <w:p w14:paraId="36B56559">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color w:val="000000"/>
                <w:szCs w:val="21"/>
                <w:highlight w:val="none"/>
              </w:rPr>
            </w:pPr>
            <w:r>
              <w:rPr>
                <w:rFonts w:hint="eastAsia" w:ascii="宋体" w:hAnsi="宋体" w:eastAsia="宋体" w:cs="Times New Roman"/>
                <w:color w:val="000000"/>
                <w:szCs w:val="21"/>
                <w:highlight w:val="none"/>
              </w:rPr>
              <w:t>10</w:t>
            </w:r>
            <w:r>
              <w:rPr>
                <w:rFonts w:hint="default" w:ascii="宋体" w:hAnsi="宋体" w:eastAsia="宋体" w:cs="Times New Roman"/>
                <w:color w:val="000000"/>
                <w:szCs w:val="21"/>
                <w:highlight w:val="none"/>
              </w:rPr>
              <w:t>00元</w:t>
            </w:r>
            <w:r>
              <w:rPr>
                <w:rFonts w:hint="eastAsia" w:ascii="宋体" w:hAnsi="宋体" w:eastAsia="宋体" w:cs="Times New Roman"/>
                <w:color w:val="000000"/>
                <w:szCs w:val="21"/>
                <w:highlight w:val="none"/>
              </w:rPr>
              <w:t>/人</w:t>
            </w:r>
          </w:p>
        </w:tc>
      </w:tr>
      <w:tr w14:paraId="6BEBB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2" w:type="pct"/>
            <w:tcBorders>
              <w:top w:val="single" w:color="auto" w:sz="4" w:space="0"/>
              <w:bottom w:val="single" w:color="auto" w:sz="4" w:space="0"/>
            </w:tcBorders>
            <w:vAlign w:val="center"/>
          </w:tcPr>
          <w:p w14:paraId="73F457B9">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right"/>
              <w:textAlignment w:val="auto"/>
              <w:rPr>
                <w:rFonts w:hint="default" w:ascii="宋体" w:hAnsi="宋体" w:eastAsia="宋体" w:cs="Times New Roman"/>
                <w:color w:val="000000"/>
                <w:szCs w:val="21"/>
                <w:highlight w:val="none"/>
              </w:rPr>
            </w:pPr>
          </w:p>
        </w:tc>
        <w:tc>
          <w:tcPr>
            <w:tcW w:w="3240" w:type="pct"/>
            <w:tcBorders>
              <w:top w:val="single" w:color="auto" w:sz="4" w:space="0"/>
              <w:bottom w:val="single" w:color="auto" w:sz="4" w:space="0"/>
            </w:tcBorders>
            <w:vAlign w:val="center"/>
          </w:tcPr>
          <w:p w14:paraId="29964F22">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宋体" w:hAnsi="宋体" w:eastAsia="宋体" w:cs="Times New Roman"/>
                <w:color w:val="000000"/>
                <w:szCs w:val="21"/>
                <w:highlight w:val="none"/>
              </w:rPr>
            </w:pPr>
            <w:r>
              <w:rPr>
                <w:rFonts w:hint="eastAsia" w:ascii="宋体" w:hAnsi="宋体" w:eastAsia="宋体" w:cs="Times New Roman"/>
                <w:color w:val="000000"/>
                <w:szCs w:val="21"/>
                <w:highlight w:val="none"/>
              </w:rPr>
              <w:t>未进行施工人员的入场三级安全教育并考核合格</w:t>
            </w:r>
          </w:p>
        </w:tc>
        <w:tc>
          <w:tcPr>
            <w:tcW w:w="1236" w:type="pct"/>
            <w:tcBorders>
              <w:top w:val="single" w:color="auto" w:sz="4" w:space="0"/>
              <w:bottom w:val="single" w:color="auto" w:sz="4" w:space="0"/>
            </w:tcBorders>
            <w:vAlign w:val="center"/>
          </w:tcPr>
          <w:p w14:paraId="533F3179">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color w:val="000000"/>
                <w:szCs w:val="21"/>
                <w:highlight w:val="none"/>
              </w:rPr>
            </w:pPr>
            <w:r>
              <w:rPr>
                <w:rFonts w:hint="eastAsia" w:ascii="宋体" w:hAnsi="宋体" w:eastAsia="宋体" w:cs="Times New Roman"/>
                <w:color w:val="000000"/>
                <w:szCs w:val="21"/>
                <w:highlight w:val="none"/>
              </w:rPr>
              <w:t>1000元/人</w:t>
            </w:r>
          </w:p>
        </w:tc>
      </w:tr>
      <w:tr w14:paraId="1FBD9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2" w:type="pct"/>
            <w:tcBorders>
              <w:top w:val="single" w:color="auto" w:sz="4" w:space="0"/>
              <w:bottom w:val="single" w:color="auto" w:sz="4" w:space="0"/>
            </w:tcBorders>
            <w:vAlign w:val="center"/>
          </w:tcPr>
          <w:p w14:paraId="488EC22C">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right"/>
              <w:textAlignment w:val="auto"/>
              <w:rPr>
                <w:rFonts w:hint="default" w:ascii="宋体" w:hAnsi="宋体" w:eastAsia="宋体" w:cs="Times New Roman"/>
                <w:color w:val="000000"/>
                <w:szCs w:val="21"/>
                <w:highlight w:val="none"/>
              </w:rPr>
            </w:pPr>
          </w:p>
        </w:tc>
        <w:tc>
          <w:tcPr>
            <w:tcW w:w="3240" w:type="pct"/>
            <w:tcBorders>
              <w:top w:val="single" w:color="auto" w:sz="4" w:space="0"/>
              <w:bottom w:val="single" w:color="auto" w:sz="4" w:space="0"/>
            </w:tcBorders>
            <w:vAlign w:val="center"/>
          </w:tcPr>
          <w:p w14:paraId="3E46098F">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宋体" w:hAnsi="宋体" w:eastAsia="宋体" w:cs="Times New Roman"/>
                <w:color w:val="000000"/>
                <w:szCs w:val="21"/>
                <w:highlight w:val="none"/>
              </w:rPr>
            </w:pPr>
            <w:r>
              <w:rPr>
                <w:rFonts w:hint="eastAsia" w:ascii="宋体" w:hAnsi="宋体" w:eastAsia="宋体" w:cs="Times New Roman"/>
                <w:color w:val="000000"/>
                <w:szCs w:val="21"/>
                <w:highlight w:val="none"/>
              </w:rPr>
              <w:t>特种作业人员未持有效证件上岗或超有效期</w:t>
            </w:r>
          </w:p>
        </w:tc>
        <w:tc>
          <w:tcPr>
            <w:tcW w:w="1236" w:type="pct"/>
            <w:tcBorders>
              <w:top w:val="single" w:color="auto" w:sz="4" w:space="0"/>
              <w:bottom w:val="single" w:color="auto" w:sz="4" w:space="0"/>
            </w:tcBorders>
            <w:vAlign w:val="center"/>
          </w:tcPr>
          <w:p w14:paraId="40F7F578">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color w:val="000000"/>
                <w:szCs w:val="21"/>
                <w:highlight w:val="none"/>
              </w:rPr>
            </w:pPr>
            <w:r>
              <w:rPr>
                <w:rFonts w:hint="eastAsia" w:ascii="宋体" w:hAnsi="宋体" w:eastAsia="宋体" w:cs="Times New Roman"/>
                <w:color w:val="000000"/>
                <w:szCs w:val="21"/>
                <w:highlight w:val="none"/>
              </w:rPr>
              <w:t>2000元/人</w:t>
            </w:r>
          </w:p>
        </w:tc>
      </w:tr>
      <w:tr w14:paraId="57D57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2" w:type="pct"/>
            <w:tcBorders>
              <w:top w:val="single" w:color="auto" w:sz="4" w:space="0"/>
              <w:bottom w:val="single" w:color="auto" w:sz="4" w:space="0"/>
            </w:tcBorders>
            <w:vAlign w:val="center"/>
          </w:tcPr>
          <w:p w14:paraId="4074E311">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right"/>
              <w:textAlignment w:val="auto"/>
              <w:rPr>
                <w:rFonts w:hint="default" w:ascii="宋体" w:hAnsi="宋体" w:eastAsia="宋体" w:cs="Times New Roman"/>
                <w:color w:val="000000"/>
                <w:szCs w:val="21"/>
                <w:highlight w:val="none"/>
              </w:rPr>
            </w:pPr>
          </w:p>
        </w:tc>
        <w:tc>
          <w:tcPr>
            <w:tcW w:w="3240" w:type="pct"/>
            <w:tcBorders>
              <w:top w:val="single" w:color="auto" w:sz="4" w:space="0"/>
              <w:bottom w:val="single" w:color="auto" w:sz="4" w:space="0"/>
            </w:tcBorders>
            <w:vAlign w:val="center"/>
          </w:tcPr>
          <w:p w14:paraId="28B04749">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未按照国家规定为施工人员办理人身意外保险（工伤保险）</w:t>
            </w:r>
          </w:p>
        </w:tc>
        <w:tc>
          <w:tcPr>
            <w:tcW w:w="1236" w:type="pct"/>
            <w:tcBorders>
              <w:top w:val="single" w:color="auto" w:sz="4" w:space="0"/>
              <w:bottom w:val="single" w:color="auto" w:sz="4" w:space="0"/>
            </w:tcBorders>
            <w:vAlign w:val="center"/>
          </w:tcPr>
          <w:p w14:paraId="34082D1B">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color w:val="000000"/>
                <w:szCs w:val="21"/>
                <w:highlight w:val="none"/>
              </w:rPr>
            </w:pPr>
            <w:r>
              <w:rPr>
                <w:rFonts w:hint="eastAsia" w:ascii="宋体" w:hAnsi="宋体" w:eastAsia="宋体" w:cs="Times New Roman"/>
                <w:color w:val="000000"/>
                <w:szCs w:val="21"/>
                <w:highlight w:val="none"/>
              </w:rPr>
              <w:t>1000元/人</w:t>
            </w:r>
          </w:p>
        </w:tc>
      </w:tr>
      <w:tr w14:paraId="306CC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2" w:type="pct"/>
            <w:tcBorders>
              <w:top w:val="single" w:color="auto" w:sz="4" w:space="0"/>
              <w:bottom w:val="single" w:color="auto" w:sz="4" w:space="0"/>
            </w:tcBorders>
            <w:vAlign w:val="center"/>
          </w:tcPr>
          <w:p w14:paraId="06D111C2">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right"/>
              <w:textAlignment w:val="auto"/>
              <w:rPr>
                <w:rFonts w:hint="default" w:ascii="宋体" w:hAnsi="宋体" w:eastAsia="宋体" w:cs="Times New Roman"/>
                <w:color w:val="000000"/>
                <w:szCs w:val="21"/>
                <w:highlight w:val="none"/>
              </w:rPr>
            </w:pPr>
          </w:p>
        </w:tc>
        <w:tc>
          <w:tcPr>
            <w:tcW w:w="3240" w:type="pct"/>
            <w:tcBorders>
              <w:top w:val="single" w:color="auto" w:sz="4" w:space="0"/>
              <w:bottom w:val="single" w:color="auto" w:sz="4" w:space="0"/>
            </w:tcBorders>
            <w:vAlign w:val="center"/>
          </w:tcPr>
          <w:p w14:paraId="4F483820">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对发现的装置性违章不闻不问，不组织消除</w:t>
            </w:r>
          </w:p>
        </w:tc>
        <w:tc>
          <w:tcPr>
            <w:tcW w:w="1236" w:type="pct"/>
            <w:tcBorders>
              <w:top w:val="single" w:color="auto" w:sz="4" w:space="0"/>
              <w:bottom w:val="single" w:color="auto" w:sz="4" w:space="0"/>
            </w:tcBorders>
            <w:vAlign w:val="center"/>
          </w:tcPr>
          <w:p w14:paraId="00E0B80B">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color w:val="000000"/>
                <w:szCs w:val="21"/>
                <w:highlight w:val="none"/>
              </w:rPr>
            </w:pPr>
            <w:r>
              <w:rPr>
                <w:rFonts w:hint="eastAsia" w:ascii="宋体" w:hAnsi="宋体" w:eastAsia="宋体" w:cs="Times New Roman"/>
                <w:color w:val="000000"/>
                <w:szCs w:val="21"/>
                <w:highlight w:val="none"/>
              </w:rPr>
              <w:t>1000元/次</w:t>
            </w:r>
          </w:p>
        </w:tc>
      </w:tr>
      <w:tr w14:paraId="3BBC6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2" w:type="pct"/>
            <w:tcBorders>
              <w:top w:val="single" w:color="auto" w:sz="4" w:space="0"/>
              <w:bottom w:val="single" w:color="auto" w:sz="4" w:space="0"/>
            </w:tcBorders>
            <w:vAlign w:val="center"/>
          </w:tcPr>
          <w:p w14:paraId="5A4411CA">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right"/>
              <w:textAlignment w:val="auto"/>
              <w:rPr>
                <w:rFonts w:hint="default" w:ascii="宋体" w:hAnsi="宋体" w:eastAsia="宋体" w:cs="Times New Roman"/>
                <w:color w:val="000000"/>
                <w:szCs w:val="21"/>
                <w:highlight w:val="none"/>
              </w:rPr>
            </w:pPr>
          </w:p>
        </w:tc>
        <w:tc>
          <w:tcPr>
            <w:tcW w:w="3240" w:type="pct"/>
            <w:tcBorders>
              <w:top w:val="single" w:color="auto" w:sz="4" w:space="0"/>
              <w:bottom w:val="single" w:color="auto" w:sz="4" w:space="0"/>
            </w:tcBorders>
            <w:vAlign w:val="center"/>
          </w:tcPr>
          <w:p w14:paraId="2FF5CBA9">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使用劳务作业人员不符合国家和地方的有关用工规定</w:t>
            </w:r>
          </w:p>
        </w:tc>
        <w:tc>
          <w:tcPr>
            <w:tcW w:w="1236" w:type="pct"/>
            <w:tcBorders>
              <w:top w:val="single" w:color="auto" w:sz="4" w:space="0"/>
              <w:bottom w:val="single" w:color="auto" w:sz="4" w:space="0"/>
            </w:tcBorders>
            <w:vAlign w:val="center"/>
          </w:tcPr>
          <w:p w14:paraId="6B0044BC">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color w:val="000000"/>
                <w:szCs w:val="21"/>
                <w:highlight w:val="none"/>
              </w:rPr>
            </w:pPr>
            <w:r>
              <w:rPr>
                <w:rFonts w:hint="eastAsia" w:ascii="宋体" w:hAnsi="宋体" w:eastAsia="宋体" w:cs="Times New Roman"/>
                <w:color w:val="000000"/>
                <w:szCs w:val="21"/>
                <w:highlight w:val="none"/>
              </w:rPr>
              <w:t>2000元/人</w:t>
            </w:r>
          </w:p>
        </w:tc>
      </w:tr>
      <w:tr w14:paraId="0E89B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2" w:type="pct"/>
            <w:tcBorders>
              <w:top w:val="single" w:color="auto" w:sz="4" w:space="0"/>
              <w:bottom w:val="single" w:color="auto" w:sz="4" w:space="0"/>
            </w:tcBorders>
            <w:vAlign w:val="center"/>
          </w:tcPr>
          <w:p w14:paraId="41F94FA7">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right"/>
              <w:textAlignment w:val="auto"/>
              <w:rPr>
                <w:rFonts w:hint="default" w:ascii="宋体" w:hAnsi="宋体" w:eastAsia="宋体" w:cs="Times New Roman"/>
                <w:color w:val="000000"/>
                <w:szCs w:val="21"/>
                <w:highlight w:val="none"/>
              </w:rPr>
            </w:pPr>
          </w:p>
        </w:tc>
        <w:tc>
          <w:tcPr>
            <w:tcW w:w="3240" w:type="pct"/>
            <w:tcBorders>
              <w:top w:val="single" w:color="auto" w:sz="4" w:space="0"/>
              <w:bottom w:val="single" w:color="auto" w:sz="4" w:space="0"/>
            </w:tcBorders>
            <w:vAlign w:val="center"/>
          </w:tcPr>
          <w:p w14:paraId="3202F3DC">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未按规定配备具备相应的任职资格的专职安全员</w:t>
            </w:r>
          </w:p>
        </w:tc>
        <w:tc>
          <w:tcPr>
            <w:tcW w:w="1236" w:type="pct"/>
            <w:tcBorders>
              <w:top w:val="single" w:color="auto" w:sz="4" w:space="0"/>
              <w:bottom w:val="single" w:color="auto" w:sz="4" w:space="0"/>
            </w:tcBorders>
            <w:vAlign w:val="center"/>
          </w:tcPr>
          <w:p w14:paraId="19A2FCE5">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color w:val="000000"/>
                <w:szCs w:val="21"/>
                <w:highlight w:val="none"/>
              </w:rPr>
            </w:pPr>
            <w:r>
              <w:rPr>
                <w:rFonts w:hint="eastAsia" w:ascii="宋体" w:hAnsi="宋体" w:eastAsia="宋体" w:cs="Times New Roman"/>
                <w:color w:val="000000"/>
                <w:szCs w:val="21"/>
                <w:highlight w:val="none"/>
              </w:rPr>
              <w:t>3000元/人</w:t>
            </w:r>
          </w:p>
        </w:tc>
      </w:tr>
      <w:tr w14:paraId="1AFA9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2" w:type="pct"/>
            <w:tcBorders>
              <w:top w:val="single" w:color="auto" w:sz="4" w:space="0"/>
              <w:bottom w:val="single" w:color="auto" w:sz="4" w:space="0"/>
            </w:tcBorders>
            <w:vAlign w:val="center"/>
          </w:tcPr>
          <w:p w14:paraId="598B050C">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right"/>
              <w:textAlignment w:val="auto"/>
              <w:rPr>
                <w:rFonts w:hint="default" w:ascii="宋体" w:hAnsi="宋体" w:eastAsia="宋体" w:cs="Times New Roman"/>
                <w:color w:val="000000"/>
                <w:szCs w:val="21"/>
                <w:highlight w:val="none"/>
              </w:rPr>
            </w:pPr>
          </w:p>
        </w:tc>
        <w:tc>
          <w:tcPr>
            <w:tcW w:w="3240" w:type="pct"/>
            <w:tcBorders>
              <w:top w:val="single" w:color="auto" w:sz="4" w:space="0"/>
              <w:bottom w:val="single" w:color="auto" w:sz="4" w:space="0"/>
            </w:tcBorders>
            <w:vAlign w:val="center"/>
          </w:tcPr>
          <w:p w14:paraId="5C1050A7">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项目专职安全</w:t>
            </w:r>
            <w:r>
              <w:rPr>
                <w:rFonts w:hint="eastAsia" w:ascii="宋体" w:hAnsi="宋体" w:eastAsia="宋体" w:cs="Times New Roman"/>
                <w:color w:val="000000"/>
                <w:szCs w:val="21"/>
                <w:highlight w:val="none"/>
              </w:rPr>
              <w:t>管理人</w:t>
            </w:r>
            <w:r>
              <w:rPr>
                <w:rFonts w:hint="default" w:ascii="宋体" w:hAnsi="宋体" w:eastAsia="宋体" w:cs="Times New Roman"/>
                <w:color w:val="000000"/>
                <w:szCs w:val="21"/>
                <w:highlight w:val="none"/>
              </w:rPr>
              <w:t>员</w:t>
            </w:r>
            <w:r>
              <w:rPr>
                <w:rFonts w:hint="eastAsia" w:ascii="宋体" w:hAnsi="宋体" w:eastAsia="宋体" w:cs="Times New Roman"/>
                <w:color w:val="000000"/>
                <w:szCs w:val="21"/>
                <w:highlight w:val="none"/>
              </w:rPr>
              <w:t>未</w:t>
            </w:r>
            <w:r>
              <w:rPr>
                <w:rFonts w:hint="default" w:ascii="宋体" w:hAnsi="宋体" w:eastAsia="宋体" w:cs="Times New Roman"/>
                <w:color w:val="000000"/>
                <w:szCs w:val="21"/>
                <w:highlight w:val="none"/>
              </w:rPr>
              <w:t>对专项施工方案实施情况进行现场监督</w:t>
            </w:r>
          </w:p>
        </w:tc>
        <w:tc>
          <w:tcPr>
            <w:tcW w:w="1236" w:type="pct"/>
            <w:tcBorders>
              <w:top w:val="single" w:color="auto" w:sz="4" w:space="0"/>
              <w:bottom w:val="single" w:color="auto" w:sz="4" w:space="0"/>
            </w:tcBorders>
            <w:vAlign w:val="center"/>
          </w:tcPr>
          <w:p w14:paraId="370ACE7C">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color w:val="000000"/>
                <w:szCs w:val="21"/>
                <w:highlight w:val="none"/>
              </w:rPr>
            </w:pPr>
            <w:r>
              <w:rPr>
                <w:rFonts w:hint="eastAsia" w:ascii="宋体" w:hAnsi="宋体" w:eastAsia="宋体" w:cs="Times New Roman"/>
                <w:color w:val="000000"/>
                <w:szCs w:val="21"/>
                <w:highlight w:val="none"/>
              </w:rPr>
              <w:t>1000/人次</w:t>
            </w:r>
          </w:p>
        </w:tc>
      </w:tr>
      <w:tr w14:paraId="5D6E1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2" w:type="pct"/>
            <w:tcBorders>
              <w:top w:val="single" w:color="auto" w:sz="4" w:space="0"/>
              <w:bottom w:val="single" w:color="auto" w:sz="4" w:space="0"/>
            </w:tcBorders>
            <w:vAlign w:val="center"/>
          </w:tcPr>
          <w:p w14:paraId="2543F45D">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right"/>
              <w:textAlignment w:val="auto"/>
              <w:rPr>
                <w:rFonts w:hint="default" w:ascii="宋体" w:hAnsi="宋体" w:eastAsia="宋体" w:cs="Times New Roman"/>
                <w:color w:val="000000"/>
                <w:szCs w:val="21"/>
                <w:highlight w:val="none"/>
              </w:rPr>
            </w:pPr>
          </w:p>
        </w:tc>
        <w:tc>
          <w:tcPr>
            <w:tcW w:w="3240" w:type="pct"/>
            <w:tcBorders>
              <w:top w:val="single" w:color="auto" w:sz="4" w:space="0"/>
              <w:bottom w:val="single" w:color="auto" w:sz="4" w:space="0"/>
            </w:tcBorders>
            <w:vAlign w:val="center"/>
          </w:tcPr>
          <w:p w14:paraId="35F69B80">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使用不符合资格要求的</w:t>
            </w:r>
            <w:r>
              <w:rPr>
                <w:rFonts w:hint="eastAsia" w:ascii="宋体" w:hAnsi="宋体" w:eastAsia="宋体" w:cs="Times New Roman"/>
                <w:color w:val="000000"/>
                <w:szCs w:val="21"/>
                <w:highlight w:val="none"/>
              </w:rPr>
              <w:t>分包劳务</w:t>
            </w:r>
            <w:r>
              <w:rPr>
                <w:rFonts w:hint="default" w:ascii="宋体" w:hAnsi="宋体" w:eastAsia="宋体" w:cs="Times New Roman"/>
                <w:color w:val="000000"/>
                <w:szCs w:val="21"/>
                <w:highlight w:val="none"/>
              </w:rPr>
              <w:t>人员</w:t>
            </w:r>
          </w:p>
        </w:tc>
        <w:tc>
          <w:tcPr>
            <w:tcW w:w="1236" w:type="pct"/>
            <w:tcBorders>
              <w:top w:val="single" w:color="auto" w:sz="4" w:space="0"/>
              <w:bottom w:val="single" w:color="auto" w:sz="4" w:space="0"/>
            </w:tcBorders>
            <w:vAlign w:val="center"/>
          </w:tcPr>
          <w:p w14:paraId="41885114">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1000元</w:t>
            </w:r>
            <w:r>
              <w:rPr>
                <w:rFonts w:hint="eastAsia" w:ascii="宋体" w:hAnsi="宋体" w:eastAsia="宋体" w:cs="Times New Roman"/>
                <w:color w:val="000000"/>
                <w:szCs w:val="21"/>
                <w:highlight w:val="none"/>
              </w:rPr>
              <w:t>/人</w:t>
            </w:r>
          </w:p>
        </w:tc>
      </w:tr>
      <w:tr w14:paraId="00D05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2" w:type="pct"/>
            <w:tcBorders>
              <w:top w:val="single" w:color="auto" w:sz="4" w:space="0"/>
              <w:bottom w:val="single" w:color="auto" w:sz="4" w:space="0"/>
            </w:tcBorders>
            <w:vAlign w:val="center"/>
          </w:tcPr>
          <w:p w14:paraId="6738C44B">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right"/>
              <w:textAlignment w:val="auto"/>
              <w:rPr>
                <w:rFonts w:hint="default" w:ascii="宋体" w:hAnsi="宋体" w:eastAsia="宋体" w:cs="Times New Roman"/>
                <w:color w:val="000000"/>
                <w:szCs w:val="21"/>
                <w:highlight w:val="none"/>
              </w:rPr>
            </w:pPr>
          </w:p>
        </w:tc>
        <w:tc>
          <w:tcPr>
            <w:tcW w:w="3240" w:type="pct"/>
            <w:tcBorders>
              <w:top w:val="single" w:color="auto" w:sz="4" w:space="0"/>
              <w:bottom w:val="single" w:color="auto" w:sz="4" w:space="0"/>
            </w:tcBorders>
            <w:vAlign w:val="center"/>
          </w:tcPr>
          <w:p w14:paraId="3D0BB81E">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起重、电动工器具未定期检查检测</w:t>
            </w:r>
          </w:p>
        </w:tc>
        <w:tc>
          <w:tcPr>
            <w:tcW w:w="1236" w:type="pct"/>
            <w:tcBorders>
              <w:top w:val="single" w:color="auto" w:sz="4" w:space="0"/>
              <w:bottom w:val="single" w:color="auto" w:sz="4" w:space="0"/>
            </w:tcBorders>
            <w:vAlign w:val="center"/>
          </w:tcPr>
          <w:p w14:paraId="6E6C5BEA">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color w:val="000000"/>
                <w:szCs w:val="21"/>
                <w:highlight w:val="none"/>
              </w:rPr>
            </w:pPr>
            <w:r>
              <w:rPr>
                <w:rFonts w:hint="eastAsia" w:ascii="宋体" w:hAnsi="宋体" w:eastAsia="宋体" w:cs="Times New Roman"/>
                <w:color w:val="000000"/>
                <w:szCs w:val="21"/>
                <w:highlight w:val="none"/>
              </w:rPr>
              <w:t>1000元/起</w:t>
            </w:r>
          </w:p>
        </w:tc>
      </w:tr>
      <w:tr w14:paraId="44D86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2" w:type="pct"/>
            <w:tcBorders>
              <w:top w:val="single" w:color="auto" w:sz="4" w:space="0"/>
              <w:bottom w:val="single" w:color="auto" w:sz="4" w:space="0"/>
            </w:tcBorders>
            <w:vAlign w:val="center"/>
          </w:tcPr>
          <w:p w14:paraId="554B7DAA">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right"/>
              <w:textAlignment w:val="auto"/>
              <w:rPr>
                <w:rFonts w:hint="default" w:ascii="宋体" w:hAnsi="宋体" w:eastAsia="宋体" w:cs="Times New Roman"/>
                <w:color w:val="000000"/>
                <w:szCs w:val="21"/>
                <w:highlight w:val="none"/>
              </w:rPr>
            </w:pPr>
          </w:p>
        </w:tc>
        <w:tc>
          <w:tcPr>
            <w:tcW w:w="3240" w:type="pct"/>
            <w:tcBorders>
              <w:top w:val="single" w:color="auto" w:sz="4" w:space="0"/>
              <w:bottom w:val="single" w:color="auto" w:sz="4" w:space="0"/>
            </w:tcBorders>
            <w:vAlign w:val="center"/>
          </w:tcPr>
          <w:p w14:paraId="47F4052F">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交叉作业时未采取相应的隔离和错时施工等安全措施</w:t>
            </w:r>
            <w:r>
              <w:rPr>
                <w:rFonts w:hint="eastAsia" w:ascii="宋体" w:hAnsi="宋体" w:eastAsia="宋体" w:cs="Times New Roman"/>
                <w:color w:val="000000"/>
                <w:szCs w:val="21"/>
                <w:highlight w:val="none"/>
              </w:rPr>
              <w:t>，并签订安全管理协议</w:t>
            </w:r>
          </w:p>
        </w:tc>
        <w:tc>
          <w:tcPr>
            <w:tcW w:w="1236" w:type="pct"/>
            <w:tcBorders>
              <w:top w:val="single" w:color="auto" w:sz="4" w:space="0"/>
              <w:bottom w:val="single" w:color="auto" w:sz="4" w:space="0"/>
            </w:tcBorders>
            <w:vAlign w:val="center"/>
          </w:tcPr>
          <w:p w14:paraId="617C3043">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color w:val="000000"/>
                <w:szCs w:val="21"/>
                <w:highlight w:val="none"/>
              </w:rPr>
            </w:pPr>
            <w:r>
              <w:rPr>
                <w:rFonts w:hint="eastAsia" w:ascii="宋体" w:hAnsi="宋体" w:eastAsia="宋体" w:cs="Times New Roman"/>
                <w:color w:val="000000"/>
                <w:szCs w:val="21"/>
                <w:highlight w:val="none"/>
              </w:rPr>
              <w:t>2000元/处</w:t>
            </w:r>
          </w:p>
        </w:tc>
      </w:tr>
      <w:tr w14:paraId="0B931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2" w:type="pct"/>
            <w:tcBorders>
              <w:top w:val="single" w:color="auto" w:sz="4" w:space="0"/>
            </w:tcBorders>
            <w:vAlign w:val="center"/>
          </w:tcPr>
          <w:p w14:paraId="11605EFA">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right"/>
              <w:textAlignment w:val="auto"/>
              <w:rPr>
                <w:rFonts w:hint="default" w:ascii="宋体" w:hAnsi="宋体" w:eastAsia="宋体" w:cs="Times New Roman"/>
                <w:color w:val="000000"/>
                <w:szCs w:val="21"/>
                <w:highlight w:val="none"/>
              </w:rPr>
            </w:pPr>
          </w:p>
        </w:tc>
        <w:tc>
          <w:tcPr>
            <w:tcW w:w="3240" w:type="pct"/>
            <w:tcBorders>
              <w:top w:val="single" w:color="auto" w:sz="4" w:space="0"/>
            </w:tcBorders>
            <w:vAlign w:val="center"/>
          </w:tcPr>
          <w:p w14:paraId="53AF037A">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施工中可能影响其他施工作业人员或设备的安全时，未向甲方提出相应要求</w:t>
            </w:r>
          </w:p>
        </w:tc>
        <w:tc>
          <w:tcPr>
            <w:tcW w:w="1236" w:type="pct"/>
            <w:tcBorders>
              <w:top w:val="single" w:color="auto" w:sz="4" w:space="0"/>
            </w:tcBorders>
            <w:vAlign w:val="center"/>
          </w:tcPr>
          <w:p w14:paraId="24C7CF3D">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color w:val="000000"/>
                <w:szCs w:val="21"/>
                <w:highlight w:val="none"/>
              </w:rPr>
            </w:pPr>
            <w:r>
              <w:rPr>
                <w:rFonts w:hint="eastAsia" w:ascii="宋体" w:hAnsi="宋体" w:eastAsia="宋体" w:cs="Times New Roman"/>
                <w:color w:val="000000"/>
                <w:szCs w:val="21"/>
                <w:highlight w:val="none"/>
              </w:rPr>
              <w:t>1000元/起</w:t>
            </w:r>
          </w:p>
        </w:tc>
      </w:tr>
      <w:tr w14:paraId="79C3D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2" w:type="pct"/>
            <w:vAlign w:val="center"/>
          </w:tcPr>
          <w:p w14:paraId="6B1FB55F">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right"/>
              <w:textAlignment w:val="auto"/>
              <w:rPr>
                <w:rFonts w:hint="default" w:ascii="宋体" w:hAnsi="宋体" w:eastAsia="宋体" w:cs="Times New Roman"/>
                <w:color w:val="000000"/>
                <w:szCs w:val="21"/>
                <w:highlight w:val="none"/>
              </w:rPr>
            </w:pPr>
          </w:p>
        </w:tc>
        <w:tc>
          <w:tcPr>
            <w:tcW w:w="3240" w:type="pct"/>
            <w:vAlign w:val="center"/>
          </w:tcPr>
          <w:p w14:paraId="78029B6E">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安排或默认在六级以上大风或恶劣天气情况下进行高处露天作业，或在霜冻、雨雪天气进行高处作业且无防滑、跌措施</w:t>
            </w:r>
          </w:p>
        </w:tc>
        <w:tc>
          <w:tcPr>
            <w:tcW w:w="1236" w:type="pct"/>
            <w:vAlign w:val="center"/>
          </w:tcPr>
          <w:p w14:paraId="751EAEB3">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color w:val="000000"/>
                <w:szCs w:val="21"/>
                <w:highlight w:val="none"/>
              </w:rPr>
            </w:pPr>
            <w:r>
              <w:rPr>
                <w:rFonts w:hint="eastAsia" w:ascii="宋体" w:hAnsi="宋体" w:eastAsia="宋体" w:cs="Times New Roman"/>
                <w:color w:val="000000"/>
                <w:szCs w:val="21"/>
                <w:highlight w:val="none"/>
              </w:rPr>
              <w:t>2000元/起</w:t>
            </w:r>
          </w:p>
        </w:tc>
      </w:tr>
      <w:tr w14:paraId="059E8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2" w:type="pct"/>
            <w:vAlign w:val="center"/>
          </w:tcPr>
          <w:p w14:paraId="0C138F04">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right"/>
              <w:textAlignment w:val="auto"/>
              <w:rPr>
                <w:rFonts w:hint="default" w:ascii="宋体" w:hAnsi="宋体" w:eastAsia="宋体" w:cs="Times New Roman"/>
                <w:color w:val="000000"/>
                <w:szCs w:val="21"/>
                <w:highlight w:val="none"/>
              </w:rPr>
            </w:pPr>
          </w:p>
        </w:tc>
        <w:tc>
          <w:tcPr>
            <w:tcW w:w="3240" w:type="pct"/>
            <w:vAlign w:val="center"/>
          </w:tcPr>
          <w:p w14:paraId="3B5407BB">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未积极配合甲方关于安全生产管理而提出的文件材料上报、会议、培训、活动等通知要求</w:t>
            </w:r>
          </w:p>
        </w:tc>
        <w:tc>
          <w:tcPr>
            <w:tcW w:w="1236" w:type="pct"/>
            <w:vAlign w:val="center"/>
          </w:tcPr>
          <w:p w14:paraId="7BC50DC0">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color w:val="000000"/>
                <w:szCs w:val="21"/>
                <w:highlight w:val="none"/>
              </w:rPr>
            </w:pPr>
            <w:r>
              <w:rPr>
                <w:rFonts w:hint="eastAsia" w:ascii="宋体" w:hAnsi="宋体" w:eastAsia="宋体" w:cs="Times New Roman"/>
                <w:color w:val="000000"/>
                <w:szCs w:val="21"/>
                <w:highlight w:val="none"/>
              </w:rPr>
              <w:t>1000元/次</w:t>
            </w:r>
          </w:p>
        </w:tc>
      </w:tr>
      <w:tr w14:paraId="37891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000" w:type="pct"/>
            <w:gridSpan w:val="3"/>
            <w:vAlign w:val="center"/>
          </w:tcPr>
          <w:p w14:paraId="617B8A62">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default" w:ascii="宋体" w:hAnsi="宋体" w:eastAsia="宋体" w:cs="Times New Roman"/>
                <w:color w:val="000000"/>
                <w:szCs w:val="21"/>
                <w:highlight w:val="none"/>
              </w:rPr>
            </w:pPr>
            <w:r>
              <w:rPr>
                <w:rFonts w:hint="eastAsia" w:ascii="宋体" w:hAnsi="宋体" w:eastAsia="宋体" w:cs="Times New Roman"/>
                <w:b/>
                <w:bCs/>
                <w:color w:val="000000"/>
                <w:szCs w:val="21"/>
                <w:highlight w:val="none"/>
              </w:rPr>
              <w:t>二、安全条件违约</w:t>
            </w:r>
          </w:p>
        </w:tc>
      </w:tr>
      <w:tr w14:paraId="4ADD0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2" w:type="pct"/>
            <w:tcBorders>
              <w:bottom w:val="nil"/>
            </w:tcBorders>
            <w:vAlign w:val="center"/>
          </w:tcPr>
          <w:p w14:paraId="7B35D2AB">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right"/>
              <w:textAlignment w:val="auto"/>
              <w:rPr>
                <w:rFonts w:hint="default" w:ascii="宋体" w:hAnsi="宋体" w:eastAsia="宋体" w:cs="Times New Roman"/>
                <w:color w:val="000000"/>
                <w:szCs w:val="21"/>
                <w:highlight w:val="none"/>
              </w:rPr>
            </w:pPr>
          </w:p>
        </w:tc>
        <w:tc>
          <w:tcPr>
            <w:tcW w:w="3240" w:type="pct"/>
            <w:tcBorders>
              <w:bottom w:val="nil"/>
            </w:tcBorders>
            <w:vAlign w:val="center"/>
          </w:tcPr>
          <w:p w14:paraId="6EFA89C9">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未经甲方同意，擅自拆除</w:t>
            </w:r>
            <w:r>
              <w:rPr>
                <w:rFonts w:hint="eastAsia" w:ascii="宋体" w:hAnsi="宋体" w:eastAsia="宋体" w:cs="Times New Roman"/>
                <w:color w:val="000000"/>
                <w:szCs w:val="21"/>
                <w:highlight w:val="none"/>
              </w:rPr>
              <w:t>和</w:t>
            </w:r>
            <w:r>
              <w:rPr>
                <w:rFonts w:hint="default" w:ascii="宋体" w:hAnsi="宋体" w:eastAsia="宋体" w:cs="Times New Roman"/>
                <w:color w:val="000000"/>
                <w:szCs w:val="21"/>
                <w:highlight w:val="none"/>
              </w:rPr>
              <w:t>变动安全、文明施工、</w:t>
            </w:r>
            <w:r>
              <w:rPr>
                <w:rFonts w:hint="eastAsia" w:ascii="宋体" w:hAnsi="宋体" w:eastAsia="宋体" w:cs="Times New Roman"/>
                <w:color w:val="000000"/>
                <w:szCs w:val="21"/>
                <w:highlight w:val="none"/>
              </w:rPr>
              <w:t>消防、</w:t>
            </w:r>
            <w:r>
              <w:rPr>
                <w:rFonts w:hint="default" w:ascii="宋体" w:hAnsi="宋体" w:eastAsia="宋体" w:cs="Times New Roman"/>
                <w:color w:val="000000"/>
                <w:szCs w:val="21"/>
                <w:highlight w:val="none"/>
              </w:rPr>
              <w:t>环保</w:t>
            </w:r>
            <w:r>
              <w:rPr>
                <w:rFonts w:hint="eastAsia" w:ascii="宋体" w:hAnsi="宋体" w:eastAsia="宋体" w:cs="Times New Roman"/>
                <w:color w:val="000000"/>
                <w:szCs w:val="21"/>
                <w:highlight w:val="none"/>
              </w:rPr>
              <w:t>等</w:t>
            </w:r>
            <w:r>
              <w:rPr>
                <w:rFonts w:hint="default" w:ascii="宋体" w:hAnsi="宋体" w:eastAsia="宋体" w:cs="Times New Roman"/>
                <w:color w:val="000000"/>
                <w:szCs w:val="21"/>
                <w:highlight w:val="none"/>
              </w:rPr>
              <w:t>设施</w:t>
            </w:r>
            <w:r>
              <w:rPr>
                <w:rFonts w:hint="eastAsia" w:ascii="宋体" w:hAnsi="宋体" w:eastAsia="宋体" w:cs="Times New Roman"/>
                <w:color w:val="000000"/>
                <w:szCs w:val="21"/>
                <w:highlight w:val="none"/>
              </w:rPr>
              <w:t>以及</w:t>
            </w:r>
            <w:r>
              <w:rPr>
                <w:rFonts w:hint="default" w:ascii="宋体" w:hAnsi="宋体" w:eastAsia="宋体" w:cs="Times New Roman"/>
                <w:color w:val="000000"/>
                <w:szCs w:val="21"/>
                <w:highlight w:val="none"/>
              </w:rPr>
              <w:t>安全标识标牌等</w:t>
            </w:r>
            <w:r>
              <w:rPr>
                <w:rFonts w:hint="eastAsia" w:ascii="宋体" w:hAnsi="宋体" w:eastAsia="宋体" w:cs="Times New Roman"/>
                <w:color w:val="000000"/>
                <w:szCs w:val="21"/>
                <w:highlight w:val="none"/>
              </w:rPr>
              <w:t>，或未按要求安装的</w:t>
            </w:r>
          </w:p>
        </w:tc>
        <w:tc>
          <w:tcPr>
            <w:tcW w:w="1236" w:type="pct"/>
            <w:tcBorders>
              <w:bottom w:val="nil"/>
            </w:tcBorders>
            <w:vAlign w:val="center"/>
          </w:tcPr>
          <w:p w14:paraId="28D08DE9">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color w:val="000000"/>
                <w:szCs w:val="21"/>
                <w:highlight w:val="none"/>
              </w:rPr>
            </w:pPr>
            <w:r>
              <w:rPr>
                <w:rFonts w:hint="eastAsia" w:ascii="宋体" w:hAnsi="宋体" w:eastAsia="宋体" w:cs="Times New Roman"/>
                <w:color w:val="000000"/>
                <w:szCs w:val="21"/>
                <w:highlight w:val="none"/>
              </w:rPr>
              <w:t>2000</w:t>
            </w:r>
            <w:r>
              <w:rPr>
                <w:rFonts w:hint="default" w:ascii="宋体" w:hAnsi="宋体" w:eastAsia="宋体" w:cs="Times New Roman"/>
                <w:color w:val="000000"/>
                <w:szCs w:val="21"/>
                <w:highlight w:val="none"/>
              </w:rPr>
              <w:t>元</w:t>
            </w:r>
            <w:r>
              <w:rPr>
                <w:rFonts w:hint="eastAsia" w:ascii="宋体" w:hAnsi="宋体" w:eastAsia="宋体" w:cs="Times New Roman"/>
                <w:color w:val="000000"/>
                <w:szCs w:val="21"/>
                <w:highlight w:val="none"/>
              </w:rPr>
              <w:t>/起</w:t>
            </w:r>
          </w:p>
        </w:tc>
      </w:tr>
      <w:tr w14:paraId="24430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2" w:type="pct"/>
            <w:vAlign w:val="center"/>
          </w:tcPr>
          <w:p w14:paraId="5736452F">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right"/>
              <w:textAlignment w:val="auto"/>
              <w:rPr>
                <w:rFonts w:hint="default" w:ascii="宋体" w:hAnsi="宋体" w:eastAsia="宋体" w:cs="Times New Roman"/>
                <w:color w:val="000000"/>
                <w:szCs w:val="21"/>
                <w:highlight w:val="none"/>
              </w:rPr>
            </w:pPr>
          </w:p>
        </w:tc>
        <w:tc>
          <w:tcPr>
            <w:tcW w:w="3240" w:type="pct"/>
            <w:vAlign w:val="center"/>
          </w:tcPr>
          <w:p w14:paraId="18443FC9">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高处作业、吊装作业、临边和孔洞作业未设置相应作业平台、上下通道、防坠装置、安全网等的安全措施，未做好孔洞盖板、临边围栏的安全措施</w:t>
            </w:r>
          </w:p>
        </w:tc>
        <w:tc>
          <w:tcPr>
            <w:tcW w:w="1236" w:type="pct"/>
            <w:vAlign w:val="center"/>
          </w:tcPr>
          <w:p w14:paraId="336EF9DE">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1000元</w:t>
            </w:r>
            <w:r>
              <w:rPr>
                <w:rFonts w:hint="eastAsia" w:ascii="宋体" w:hAnsi="宋体" w:eastAsia="宋体" w:cs="Times New Roman"/>
                <w:color w:val="000000"/>
                <w:szCs w:val="21"/>
                <w:highlight w:val="none"/>
              </w:rPr>
              <w:t>/处</w:t>
            </w:r>
          </w:p>
        </w:tc>
      </w:tr>
      <w:tr w14:paraId="550D2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2" w:type="pct"/>
            <w:vAlign w:val="center"/>
          </w:tcPr>
          <w:p w14:paraId="7BD87436">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right"/>
              <w:textAlignment w:val="auto"/>
              <w:rPr>
                <w:rFonts w:hint="default" w:ascii="宋体" w:hAnsi="宋体" w:eastAsia="宋体" w:cs="Times New Roman"/>
                <w:color w:val="000000"/>
                <w:szCs w:val="21"/>
                <w:highlight w:val="none"/>
              </w:rPr>
            </w:pPr>
          </w:p>
        </w:tc>
        <w:tc>
          <w:tcPr>
            <w:tcW w:w="3240" w:type="pct"/>
            <w:vAlign w:val="center"/>
          </w:tcPr>
          <w:p w14:paraId="5C40FA67">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现场施工临时用电作业及用电设施不符合《施工现场临时用电安全技术规范》</w:t>
            </w:r>
            <w:r>
              <w:rPr>
                <w:rFonts w:hint="eastAsia" w:ascii="宋体" w:hAnsi="宋体" w:eastAsia="宋体" w:cs="Times New Roman"/>
                <w:color w:val="000000"/>
                <w:szCs w:val="21"/>
                <w:highlight w:val="none"/>
              </w:rPr>
              <w:t>，不按临时用电方案布置，</w:t>
            </w:r>
            <w:r>
              <w:rPr>
                <w:rFonts w:hint="default" w:ascii="宋体" w:hAnsi="宋体" w:eastAsia="宋体" w:cs="Times New Roman"/>
                <w:color w:val="000000"/>
                <w:szCs w:val="21"/>
                <w:highlight w:val="none"/>
              </w:rPr>
              <w:t>作业现场、生活区乱接、乱拉电源线</w:t>
            </w:r>
          </w:p>
        </w:tc>
        <w:tc>
          <w:tcPr>
            <w:tcW w:w="1236" w:type="pct"/>
            <w:vAlign w:val="center"/>
          </w:tcPr>
          <w:p w14:paraId="6655BDD8">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color w:val="000000"/>
                <w:szCs w:val="21"/>
                <w:highlight w:val="none"/>
              </w:rPr>
            </w:pPr>
            <w:r>
              <w:rPr>
                <w:rFonts w:hint="eastAsia" w:ascii="宋体" w:hAnsi="宋体" w:eastAsia="宋体" w:cs="Times New Roman"/>
                <w:color w:val="000000"/>
                <w:szCs w:val="21"/>
                <w:highlight w:val="none"/>
              </w:rPr>
              <w:t>2000</w:t>
            </w:r>
            <w:r>
              <w:rPr>
                <w:rFonts w:hint="default" w:ascii="宋体" w:hAnsi="宋体" w:eastAsia="宋体" w:cs="Times New Roman"/>
                <w:color w:val="000000"/>
                <w:szCs w:val="21"/>
                <w:highlight w:val="none"/>
              </w:rPr>
              <w:t>元</w:t>
            </w:r>
            <w:r>
              <w:rPr>
                <w:rFonts w:hint="eastAsia" w:ascii="宋体" w:hAnsi="宋体" w:eastAsia="宋体" w:cs="Times New Roman"/>
                <w:color w:val="000000"/>
                <w:szCs w:val="21"/>
                <w:highlight w:val="none"/>
              </w:rPr>
              <w:t>/次</w:t>
            </w:r>
          </w:p>
        </w:tc>
      </w:tr>
      <w:tr w14:paraId="521B4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2" w:type="pct"/>
            <w:tcBorders>
              <w:bottom w:val="nil"/>
            </w:tcBorders>
            <w:vAlign w:val="center"/>
          </w:tcPr>
          <w:p w14:paraId="21FDF890">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right"/>
              <w:textAlignment w:val="auto"/>
              <w:rPr>
                <w:rFonts w:hint="default" w:ascii="宋体" w:hAnsi="宋体" w:eastAsia="宋体" w:cs="Times New Roman"/>
                <w:color w:val="000000"/>
                <w:szCs w:val="21"/>
                <w:highlight w:val="none"/>
              </w:rPr>
            </w:pPr>
          </w:p>
        </w:tc>
        <w:tc>
          <w:tcPr>
            <w:tcW w:w="3240" w:type="pct"/>
            <w:tcBorders>
              <w:bottom w:val="nil"/>
            </w:tcBorders>
            <w:vAlign w:val="center"/>
          </w:tcPr>
          <w:p w14:paraId="3B52D495">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电焊线、气焊软管、电源线不集中布置，走向混乱</w:t>
            </w:r>
          </w:p>
        </w:tc>
        <w:tc>
          <w:tcPr>
            <w:tcW w:w="1236" w:type="pct"/>
            <w:tcBorders>
              <w:bottom w:val="nil"/>
            </w:tcBorders>
            <w:vAlign w:val="center"/>
          </w:tcPr>
          <w:p w14:paraId="47145661">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color w:val="000000"/>
                <w:szCs w:val="21"/>
                <w:highlight w:val="none"/>
              </w:rPr>
            </w:pPr>
            <w:r>
              <w:rPr>
                <w:rFonts w:hint="eastAsia" w:ascii="宋体" w:hAnsi="宋体" w:eastAsia="宋体" w:cs="Times New Roman"/>
                <w:color w:val="000000"/>
                <w:szCs w:val="21"/>
                <w:highlight w:val="none"/>
              </w:rPr>
              <w:t>2000</w:t>
            </w:r>
            <w:r>
              <w:rPr>
                <w:rFonts w:hint="default" w:ascii="宋体" w:hAnsi="宋体" w:eastAsia="宋体" w:cs="Times New Roman"/>
                <w:color w:val="000000"/>
                <w:szCs w:val="21"/>
                <w:highlight w:val="none"/>
              </w:rPr>
              <w:t>元</w:t>
            </w:r>
            <w:r>
              <w:rPr>
                <w:rFonts w:hint="eastAsia" w:ascii="宋体" w:hAnsi="宋体" w:eastAsia="宋体" w:cs="Times New Roman"/>
                <w:color w:val="000000"/>
                <w:szCs w:val="21"/>
                <w:highlight w:val="none"/>
              </w:rPr>
              <w:t>/起</w:t>
            </w:r>
          </w:p>
        </w:tc>
      </w:tr>
      <w:tr w14:paraId="53017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2" w:type="pct"/>
            <w:vAlign w:val="center"/>
          </w:tcPr>
          <w:p w14:paraId="553505B8">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right"/>
              <w:textAlignment w:val="auto"/>
              <w:rPr>
                <w:rFonts w:hint="default" w:ascii="宋体" w:hAnsi="宋体" w:eastAsia="宋体" w:cs="Times New Roman"/>
                <w:color w:val="000000"/>
                <w:szCs w:val="21"/>
                <w:highlight w:val="none"/>
              </w:rPr>
            </w:pPr>
          </w:p>
        </w:tc>
        <w:tc>
          <w:tcPr>
            <w:tcW w:w="3240" w:type="pct"/>
            <w:vAlign w:val="center"/>
          </w:tcPr>
          <w:p w14:paraId="05CE8532">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有限空间等区域内作业前未采取通风措施，未监测有害气体；金属容器外壳及容器内使用的电动工器具无可靠的接地，容器内、密闭空间内工作无专人监护</w:t>
            </w:r>
          </w:p>
        </w:tc>
        <w:tc>
          <w:tcPr>
            <w:tcW w:w="1236" w:type="pct"/>
            <w:vAlign w:val="center"/>
          </w:tcPr>
          <w:p w14:paraId="1F9EE220">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1000元</w:t>
            </w:r>
            <w:r>
              <w:rPr>
                <w:rFonts w:hint="eastAsia" w:ascii="宋体" w:hAnsi="宋体" w:eastAsia="宋体" w:cs="Times New Roman"/>
                <w:color w:val="000000"/>
                <w:szCs w:val="21"/>
                <w:highlight w:val="none"/>
              </w:rPr>
              <w:t>/起</w:t>
            </w:r>
          </w:p>
        </w:tc>
      </w:tr>
      <w:tr w14:paraId="3EA13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2" w:type="pct"/>
            <w:vAlign w:val="center"/>
          </w:tcPr>
          <w:p w14:paraId="5F8F8CAF">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right"/>
              <w:textAlignment w:val="auto"/>
              <w:rPr>
                <w:rFonts w:hint="default" w:ascii="宋体" w:hAnsi="宋体" w:eastAsia="宋体" w:cs="Times New Roman"/>
                <w:color w:val="000000"/>
                <w:szCs w:val="21"/>
                <w:highlight w:val="none"/>
              </w:rPr>
            </w:pPr>
          </w:p>
        </w:tc>
        <w:tc>
          <w:tcPr>
            <w:tcW w:w="3240" w:type="pct"/>
            <w:vAlign w:val="center"/>
          </w:tcPr>
          <w:p w14:paraId="027E903C">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临近带电设备作业，未保持安全距离、未做好安全隔离措施或无专人监护</w:t>
            </w:r>
          </w:p>
        </w:tc>
        <w:tc>
          <w:tcPr>
            <w:tcW w:w="1236" w:type="pct"/>
            <w:vAlign w:val="center"/>
          </w:tcPr>
          <w:p w14:paraId="64712D68">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2000元</w:t>
            </w:r>
            <w:r>
              <w:rPr>
                <w:rFonts w:hint="eastAsia" w:ascii="宋体" w:hAnsi="宋体" w:eastAsia="宋体" w:cs="Times New Roman"/>
                <w:color w:val="000000"/>
                <w:szCs w:val="21"/>
                <w:highlight w:val="none"/>
              </w:rPr>
              <w:t>/起</w:t>
            </w:r>
          </w:p>
        </w:tc>
      </w:tr>
      <w:tr w14:paraId="24FDD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2" w:type="pct"/>
            <w:vAlign w:val="center"/>
          </w:tcPr>
          <w:p w14:paraId="1EC043A7">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right"/>
              <w:textAlignment w:val="auto"/>
              <w:rPr>
                <w:rFonts w:hint="default" w:ascii="宋体" w:hAnsi="宋体" w:eastAsia="宋体" w:cs="Times New Roman"/>
                <w:color w:val="000000"/>
                <w:szCs w:val="21"/>
                <w:highlight w:val="none"/>
              </w:rPr>
            </w:pPr>
          </w:p>
        </w:tc>
        <w:tc>
          <w:tcPr>
            <w:tcW w:w="3240" w:type="pct"/>
            <w:vAlign w:val="center"/>
          </w:tcPr>
          <w:p w14:paraId="18707090">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未落实防火、防大风、防汛、防冻、防暑、防雷、防雨、防雾等季节性安全措施，或控制措施不力</w:t>
            </w:r>
          </w:p>
        </w:tc>
        <w:tc>
          <w:tcPr>
            <w:tcW w:w="1236" w:type="pct"/>
            <w:vAlign w:val="center"/>
          </w:tcPr>
          <w:p w14:paraId="577518F9">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color w:val="000000"/>
                <w:szCs w:val="21"/>
                <w:highlight w:val="none"/>
              </w:rPr>
            </w:pPr>
            <w:r>
              <w:rPr>
                <w:rFonts w:hint="eastAsia" w:ascii="宋体" w:hAnsi="宋体" w:eastAsia="宋体" w:cs="Times New Roman"/>
                <w:color w:val="000000"/>
                <w:szCs w:val="21"/>
                <w:highlight w:val="none"/>
              </w:rPr>
              <w:t>2000</w:t>
            </w:r>
            <w:r>
              <w:rPr>
                <w:rFonts w:hint="default" w:ascii="宋体" w:hAnsi="宋体" w:eastAsia="宋体" w:cs="Times New Roman"/>
                <w:color w:val="000000"/>
                <w:szCs w:val="21"/>
                <w:highlight w:val="none"/>
              </w:rPr>
              <w:t>元</w:t>
            </w:r>
            <w:r>
              <w:rPr>
                <w:rFonts w:hint="eastAsia" w:ascii="宋体" w:hAnsi="宋体" w:eastAsia="宋体" w:cs="Times New Roman"/>
                <w:color w:val="000000"/>
                <w:szCs w:val="21"/>
                <w:highlight w:val="none"/>
              </w:rPr>
              <w:t>/项</w:t>
            </w:r>
          </w:p>
        </w:tc>
      </w:tr>
      <w:tr w14:paraId="5B018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2" w:type="pct"/>
            <w:vAlign w:val="center"/>
          </w:tcPr>
          <w:p w14:paraId="59EEC024">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right"/>
              <w:textAlignment w:val="auto"/>
              <w:rPr>
                <w:rFonts w:hint="default" w:ascii="宋体" w:hAnsi="宋体" w:eastAsia="宋体" w:cs="Times New Roman"/>
                <w:color w:val="000000"/>
                <w:szCs w:val="21"/>
                <w:highlight w:val="none"/>
              </w:rPr>
            </w:pPr>
          </w:p>
        </w:tc>
        <w:tc>
          <w:tcPr>
            <w:tcW w:w="3240" w:type="pct"/>
            <w:vAlign w:val="center"/>
          </w:tcPr>
          <w:p w14:paraId="1966E371">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未对地下管线、架空线路、通讯线路以及已建成的装置采取保护措施</w:t>
            </w:r>
          </w:p>
        </w:tc>
        <w:tc>
          <w:tcPr>
            <w:tcW w:w="1236" w:type="pct"/>
            <w:vAlign w:val="center"/>
          </w:tcPr>
          <w:p w14:paraId="2C422B01">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5000元</w:t>
            </w:r>
            <w:r>
              <w:rPr>
                <w:rFonts w:hint="eastAsia" w:ascii="宋体" w:hAnsi="宋体" w:eastAsia="宋体" w:cs="Times New Roman"/>
                <w:color w:val="000000"/>
                <w:szCs w:val="21"/>
                <w:highlight w:val="none"/>
              </w:rPr>
              <w:t>/项</w:t>
            </w:r>
          </w:p>
        </w:tc>
      </w:tr>
      <w:tr w14:paraId="121BC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2" w:type="pct"/>
            <w:vAlign w:val="center"/>
          </w:tcPr>
          <w:p w14:paraId="2AB04B07">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right"/>
              <w:textAlignment w:val="auto"/>
              <w:rPr>
                <w:rFonts w:hint="default" w:ascii="宋体" w:hAnsi="宋体" w:eastAsia="宋体" w:cs="Times New Roman"/>
                <w:color w:val="000000"/>
                <w:szCs w:val="21"/>
                <w:highlight w:val="none"/>
              </w:rPr>
            </w:pPr>
          </w:p>
        </w:tc>
        <w:tc>
          <w:tcPr>
            <w:tcW w:w="3240" w:type="pct"/>
            <w:vAlign w:val="center"/>
          </w:tcPr>
          <w:p w14:paraId="7DB4853A">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未为施工人员配备合格、规范的劳动防护用品；施工人员未正确佩带和使用；使用不合格的安全帽、安全带、绝缘鞋等劳动防护用品</w:t>
            </w:r>
          </w:p>
        </w:tc>
        <w:tc>
          <w:tcPr>
            <w:tcW w:w="1236" w:type="pct"/>
            <w:vAlign w:val="center"/>
          </w:tcPr>
          <w:p w14:paraId="112B9A23">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color w:val="000000"/>
                <w:szCs w:val="21"/>
                <w:highlight w:val="none"/>
              </w:rPr>
            </w:pPr>
            <w:r>
              <w:rPr>
                <w:rFonts w:hint="eastAsia" w:ascii="宋体" w:hAnsi="宋体" w:eastAsia="宋体" w:cs="Times New Roman"/>
                <w:color w:val="000000"/>
                <w:szCs w:val="21"/>
                <w:highlight w:val="none"/>
              </w:rPr>
              <w:t>1000元/起</w:t>
            </w:r>
          </w:p>
        </w:tc>
      </w:tr>
      <w:tr w14:paraId="311FE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2" w:type="pct"/>
            <w:vAlign w:val="center"/>
          </w:tcPr>
          <w:p w14:paraId="095EE310">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right"/>
              <w:textAlignment w:val="auto"/>
              <w:rPr>
                <w:rFonts w:hint="default" w:ascii="宋体" w:hAnsi="宋体" w:eastAsia="宋体" w:cs="Times New Roman"/>
                <w:color w:val="000000"/>
                <w:szCs w:val="21"/>
                <w:highlight w:val="none"/>
              </w:rPr>
            </w:pPr>
          </w:p>
        </w:tc>
        <w:tc>
          <w:tcPr>
            <w:tcW w:w="3240" w:type="pct"/>
            <w:vAlign w:val="center"/>
          </w:tcPr>
          <w:p w14:paraId="54AD463D">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使用未经检测或超过检测周期的安全工器具；使用不合格的安全工器具</w:t>
            </w:r>
          </w:p>
        </w:tc>
        <w:tc>
          <w:tcPr>
            <w:tcW w:w="1236" w:type="pct"/>
            <w:vAlign w:val="center"/>
          </w:tcPr>
          <w:p w14:paraId="6C7BABD2">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color w:val="000000"/>
                <w:szCs w:val="21"/>
                <w:highlight w:val="none"/>
              </w:rPr>
            </w:pPr>
            <w:r>
              <w:rPr>
                <w:rFonts w:hint="eastAsia" w:ascii="宋体" w:hAnsi="宋体" w:eastAsia="宋体" w:cs="Times New Roman"/>
                <w:color w:val="000000"/>
                <w:szCs w:val="21"/>
                <w:highlight w:val="none"/>
              </w:rPr>
              <w:t>2000元/起</w:t>
            </w:r>
          </w:p>
        </w:tc>
      </w:tr>
      <w:tr w14:paraId="6CF84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2" w:type="pct"/>
            <w:vAlign w:val="center"/>
          </w:tcPr>
          <w:p w14:paraId="13695D38">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right"/>
              <w:textAlignment w:val="auto"/>
              <w:rPr>
                <w:rFonts w:hint="default" w:ascii="宋体" w:hAnsi="宋体" w:eastAsia="宋体" w:cs="Times New Roman"/>
                <w:color w:val="000000"/>
                <w:szCs w:val="21"/>
                <w:highlight w:val="none"/>
              </w:rPr>
            </w:pPr>
          </w:p>
        </w:tc>
        <w:tc>
          <w:tcPr>
            <w:tcW w:w="3240" w:type="pct"/>
            <w:vAlign w:val="center"/>
          </w:tcPr>
          <w:p w14:paraId="3A7B289C">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使用未经验收合格并挂牌的脚手架</w:t>
            </w:r>
          </w:p>
        </w:tc>
        <w:tc>
          <w:tcPr>
            <w:tcW w:w="1236" w:type="pct"/>
            <w:vAlign w:val="center"/>
          </w:tcPr>
          <w:p w14:paraId="53443FF1">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color w:val="000000"/>
                <w:szCs w:val="21"/>
                <w:highlight w:val="none"/>
              </w:rPr>
            </w:pPr>
            <w:r>
              <w:rPr>
                <w:rFonts w:hint="eastAsia" w:ascii="宋体" w:hAnsi="宋体" w:eastAsia="宋体" w:cs="Times New Roman"/>
                <w:color w:val="000000"/>
                <w:szCs w:val="21"/>
                <w:highlight w:val="none"/>
              </w:rPr>
              <w:t>5000</w:t>
            </w:r>
            <w:r>
              <w:rPr>
                <w:rFonts w:hint="default" w:ascii="宋体" w:hAnsi="宋体" w:eastAsia="宋体" w:cs="Times New Roman"/>
                <w:color w:val="000000"/>
                <w:szCs w:val="21"/>
                <w:highlight w:val="none"/>
              </w:rPr>
              <w:t>元</w:t>
            </w:r>
            <w:r>
              <w:rPr>
                <w:rFonts w:hint="eastAsia" w:ascii="宋体" w:hAnsi="宋体" w:eastAsia="宋体" w:cs="Times New Roman"/>
                <w:color w:val="000000"/>
                <w:szCs w:val="21"/>
                <w:highlight w:val="none"/>
              </w:rPr>
              <w:t>/起</w:t>
            </w:r>
          </w:p>
        </w:tc>
      </w:tr>
      <w:tr w14:paraId="17777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2" w:type="pct"/>
            <w:vAlign w:val="center"/>
          </w:tcPr>
          <w:p w14:paraId="3199B3DA">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right"/>
              <w:textAlignment w:val="auto"/>
              <w:rPr>
                <w:rFonts w:hint="default" w:ascii="宋体" w:hAnsi="宋体" w:eastAsia="宋体" w:cs="Times New Roman"/>
                <w:color w:val="000000"/>
                <w:szCs w:val="21"/>
                <w:highlight w:val="none"/>
              </w:rPr>
            </w:pPr>
          </w:p>
        </w:tc>
        <w:tc>
          <w:tcPr>
            <w:tcW w:w="3240" w:type="pct"/>
            <w:vAlign w:val="center"/>
          </w:tcPr>
          <w:p w14:paraId="1C11C13A">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eastAsia" w:ascii="宋体" w:hAnsi="宋体" w:eastAsia="宋体" w:cs="Times New Roman"/>
                <w:color w:val="000000"/>
                <w:szCs w:val="21"/>
                <w:highlight w:val="none"/>
                <w:lang w:eastAsia="zh-CN"/>
              </w:rPr>
            </w:pPr>
            <w:r>
              <w:rPr>
                <w:rFonts w:hint="default" w:ascii="宋体" w:hAnsi="宋体" w:eastAsia="宋体" w:cs="Times New Roman"/>
                <w:color w:val="000000"/>
                <w:szCs w:val="21"/>
                <w:highlight w:val="none"/>
              </w:rPr>
              <w:t>脚手架的工作面未</w:t>
            </w:r>
            <w:r>
              <w:rPr>
                <w:rFonts w:hint="eastAsia" w:ascii="宋体" w:hAnsi="宋体" w:eastAsia="宋体" w:cs="Times New Roman"/>
                <w:color w:val="000000"/>
                <w:szCs w:val="21"/>
                <w:highlight w:val="none"/>
              </w:rPr>
              <w:t>满铺</w:t>
            </w:r>
            <w:r>
              <w:rPr>
                <w:rFonts w:hint="default" w:ascii="宋体" w:hAnsi="宋体" w:eastAsia="宋体" w:cs="Times New Roman"/>
                <w:color w:val="000000"/>
                <w:szCs w:val="21"/>
                <w:highlight w:val="none"/>
              </w:rPr>
              <w:t>脚手板或竹笆，脚手板未绑扎牢固</w:t>
            </w:r>
            <w:r>
              <w:rPr>
                <w:rFonts w:hint="eastAsia" w:ascii="Times New Roman" w:hAnsi="Times New Roman" w:eastAsia="宋体" w:cs="Times New Roman"/>
                <w:color w:val="000000"/>
                <w:szCs w:val="21"/>
                <w:highlight w:val="none"/>
                <w:lang w:eastAsia="zh-CN"/>
              </w:rPr>
              <w:t>，脚手架搭设不合格，未验收使用。</w:t>
            </w:r>
          </w:p>
        </w:tc>
        <w:tc>
          <w:tcPr>
            <w:tcW w:w="1236" w:type="pct"/>
            <w:vAlign w:val="center"/>
          </w:tcPr>
          <w:p w14:paraId="23F9044D">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2000元</w:t>
            </w:r>
            <w:r>
              <w:rPr>
                <w:rFonts w:hint="eastAsia" w:ascii="宋体" w:hAnsi="宋体" w:eastAsia="宋体" w:cs="Times New Roman"/>
                <w:color w:val="000000"/>
                <w:szCs w:val="21"/>
                <w:highlight w:val="none"/>
              </w:rPr>
              <w:t>/起</w:t>
            </w:r>
          </w:p>
        </w:tc>
      </w:tr>
      <w:tr w14:paraId="685B1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2" w:type="pct"/>
            <w:tcBorders>
              <w:bottom w:val="nil"/>
            </w:tcBorders>
            <w:vAlign w:val="center"/>
          </w:tcPr>
          <w:p w14:paraId="20BC22C6">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right"/>
              <w:textAlignment w:val="auto"/>
              <w:rPr>
                <w:rFonts w:hint="default" w:ascii="宋体" w:hAnsi="宋体" w:eastAsia="宋体" w:cs="Times New Roman"/>
                <w:color w:val="000000"/>
                <w:szCs w:val="21"/>
                <w:highlight w:val="none"/>
              </w:rPr>
            </w:pPr>
          </w:p>
        </w:tc>
        <w:tc>
          <w:tcPr>
            <w:tcW w:w="3240" w:type="pct"/>
            <w:tcBorders>
              <w:bottom w:val="nil"/>
            </w:tcBorders>
            <w:vAlign w:val="center"/>
          </w:tcPr>
          <w:p w14:paraId="447D23C4">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高处交叉作业、吊装、拆除等危险作业场所未设置安全警戒隔离，或未设监护人</w:t>
            </w:r>
          </w:p>
        </w:tc>
        <w:tc>
          <w:tcPr>
            <w:tcW w:w="1236" w:type="pct"/>
            <w:tcBorders>
              <w:bottom w:val="nil"/>
            </w:tcBorders>
            <w:vAlign w:val="center"/>
          </w:tcPr>
          <w:p w14:paraId="273AE38D">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2000元</w:t>
            </w:r>
            <w:r>
              <w:rPr>
                <w:rFonts w:hint="eastAsia" w:ascii="宋体" w:hAnsi="宋体" w:eastAsia="宋体" w:cs="Times New Roman"/>
                <w:color w:val="000000"/>
                <w:szCs w:val="21"/>
                <w:highlight w:val="none"/>
              </w:rPr>
              <w:t>/起</w:t>
            </w:r>
          </w:p>
        </w:tc>
      </w:tr>
      <w:tr w14:paraId="4C7AC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2" w:type="pct"/>
            <w:vAlign w:val="center"/>
          </w:tcPr>
          <w:p w14:paraId="44D172C7">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right"/>
              <w:textAlignment w:val="auto"/>
              <w:rPr>
                <w:rFonts w:hint="default" w:ascii="宋体" w:hAnsi="宋体" w:eastAsia="宋体" w:cs="Times New Roman"/>
                <w:color w:val="000000"/>
                <w:szCs w:val="21"/>
                <w:highlight w:val="none"/>
              </w:rPr>
            </w:pPr>
          </w:p>
        </w:tc>
        <w:tc>
          <w:tcPr>
            <w:tcW w:w="3240" w:type="pct"/>
            <w:vAlign w:val="center"/>
          </w:tcPr>
          <w:p w14:paraId="7E0AC1B8">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氧、乙炔表计损坏在继续使用，乙炔气瓶卧放或气瓶无防倾倒措施，气瓶夏季无防晒措施。气瓶软管龟裂严重，使用乙炔无防回火装置</w:t>
            </w:r>
          </w:p>
        </w:tc>
        <w:tc>
          <w:tcPr>
            <w:tcW w:w="1236" w:type="pct"/>
            <w:vAlign w:val="center"/>
          </w:tcPr>
          <w:p w14:paraId="5D510010">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2000元</w:t>
            </w:r>
            <w:r>
              <w:rPr>
                <w:rFonts w:hint="eastAsia" w:ascii="宋体" w:hAnsi="宋体" w:eastAsia="宋体" w:cs="Times New Roman"/>
                <w:color w:val="000000"/>
                <w:szCs w:val="21"/>
                <w:highlight w:val="none"/>
              </w:rPr>
              <w:t>/起</w:t>
            </w:r>
          </w:p>
        </w:tc>
      </w:tr>
      <w:tr w14:paraId="615A0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2" w:type="pct"/>
            <w:vAlign w:val="center"/>
          </w:tcPr>
          <w:p w14:paraId="4DA19365">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right"/>
              <w:textAlignment w:val="auto"/>
              <w:rPr>
                <w:rFonts w:hint="default" w:ascii="宋体" w:hAnsi="宋体" w:eastAsia="宋体" w:cs="Times New Roman"/>
                <w:color w:val="000000"/>
                <w:szCs w:val="21"/>
                <w:highlight w:val="none"/>
              </w:rPr>
            </w:pPr>
          </w:p>
        </w:tc>
        <w:tc>
          <w:tcPr>
            <w:tcW w:w="3240" w:type="pct"/>
            <w:vAlign w:val="center"/>
          </w:tcPr>
          <w:p w14:paraId="08CF3BA3">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易燃易爆区、重点防火区消防器材配备不符合消防规程的要求，无警告标志、消防器材未定期检查记录</w:t>
            </w:r>
          </w:p>
        </w:tc>
        <w:tc>
          <w:tcPr>
            <w:tcW w:w="1236" w:type="pct"/>
            <w:vAlign w:val="center"/>
          </w:tcPr>
          <w:p w14:paraId="74E90F50">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color w:val="000000"/>
                <w:szCs w:val="21"/>
                <w:highlight w:val="none"/>
              </w:rPr>
            </w:pPr>
            <w:r>
              <w:rPr>
                <w:rFonts w:hint="eastAsia" w:ascii="宋体" w:hAnsi="宋体" w:eastAsia="宋体" w:cs="Times New Roman"/>
                <w:color w:val="000000"/>
                <w:szCs w:val="21"/>
                <w:highlight w:val="none"/>
              </w:rPr>
              <w:t>1000</w:t>
            </w:r>
            <w:r>
              <w:rPr>
                <w:rFonts w:hint="default" w:ascii="宋体" w:hAnsi="宋体" w:eastAsia="宋体" w:cs="Times New Roman"/>
                <w:color w:val="000000"/>
                <w:szCs w:val="21"/>
                <w:highlight w:val="none"/>
              </w:rPr>
              <w:t>元</w:t>
            </w:r>
            <w:r>
              <w:rPr>
                <w:rFonts w:hint="eastAsia" w:ascii="宋体" w:hAnsi="宋体" w:eastAsia="宋体" w:cs="Times New Roman"/>
                <w:color w:val="000000"/>
                <w:szCs w:val="21"/>
                <w:highlight w:val="none"/>
              </w:rPr>
              <w:t>/起</w:t>
            </w:r>
          </w:p>
        </w:tc>
      </w:tr>
      <w:tr w14:paraId="609EF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000" w:type="pct"/>
            <w:gridSpan w:val="3"/>
            <w:vAlign w:val="center"/>
          </w:tcPr>
          <w:p w14:paraId="188A1072">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default" w:ascii="宋体" w:hAnsi="宋体" w:eastAsia="宋体" w:cs="Times New Roman"/>
                <w:color w:val="000000"/>
                <w:szCs w:val="21"/>
                <w:highlight w:val="none"/>
              </w:rPr>
            </w:pPr>
            <w:r>
              <w:rPr>
                <w:rFonts w:hint="eastAsia" w:ascii="宋体" w:hAnsi="宋体" w:eastAsia="宋体" w:cs="Times New Roman"/>
                <w:b/>
                <w:bCs/>
                <w:color w:val="000000"/>
                <w:szCs w:val="21"/>
                <w:highlight w:val="none"/>
              </w:rPr>
              <w:t>三、文明施工违约</w:t>
            </w:r>
          </w:p>
        </w:tc>
      </w:tr>
      <w:tr w14:paraId="195F3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2" w:type="pct"/>
            <w:vAlign w:val="center"/>
          </w:tcPr>
          <w:p w14:paraId="1B86BD0F">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right"/>
              <w:textAlignment w:val="auto"/>
              <w:rPr>
                <w:rFonts w:hint="default" w:ascii="宋体" w:hAnsi="宋体" w:eastAsia="宋体" w:cs="Times New Roman"/>
                <w:color w:val="000000"/>
                <w:szCs w:val="21"/>
                <w:highlight w:val="none"/>
              </w:rPr>
            </w:pPr>
          </w:p>
        </w:tc>
        <w:tc>
          <w:tcPr>
            <w:tcW w:w="3240" w:type="pct"/>
            <w:vAlign w:val="center"/>
          </w:tcPr>
          <w:p w14:paraId="20EE3BF6">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现场使用的水泥、石膏等易飞扬细颗粒散体材料未按要求封闭存放，未采取防雨、防潮措施</w:t>
            </w:r>
          </w:p>
        </w:tc>
        <w:tc>
          <w:tcPr>
            <w:tcW w:w="1236" w:type="pct"/>
            <w:vAlign w:val="center"/>
          </w:tcPr>
          <w:p w14:paraId="1BFAF8B0">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1000元</w:t>
            </w:r>
            <w:r>
              <w:rPr>
                <w:rFonts w:hint="eastAsia" w:ascii="宋体" w:hAnsi="宋体" w:eastAsia="宋体" w:cs="Times New Roman"/>
                <w:color w:val="000000"/>
                <w:szCs w:val="21"/>
                <w:highlight w:val="none"/>
              </w:rPr>
              <w:t>/处</w:t>
            </w:r>
          </w:p>
        </w:tc>
      </w:tr>
      <w:tr w14:paraId="56361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2" w:type="pct"/>
            <w:tcBorders>
              <w:bottom w:val="nil"/>
            </w:tcBorders>
            <w:vAlign w:val="center"/>
          </w:tcPr>
          <w:p w14:paraId="2E3EBFF2">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right"/>
              <w:textAlignment w:val="auto"/>
              <w:rPr>
                <w:rFonts w:hint="default" w:ascii="宋体" w:hAnsi="宋体" w:eastAsia="宋体" w:cs="Times New Roman"/>
                <w:color w:val="000000"/>
                <w:szCs w:val="21"/>
                <w:highlight w:val="none"/>
              </w:rPr>
            </w:pPr>
          </w:p>
        </w:tc>
        <w:tc>
          <w:tcPr>
            <w:tcW w:w="3240" w:type="pct"/>
            <w:tcBorders>
              <w:bottom w:val="nil"/>
            </w:tcBorders>
            <w:vAlign w:val="center"/>
          </w:tcPr>
          <w:p w14:paraId="6B2D1788">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施工现场物料未按施工平面图统一布置、分类码放整齐或物料堆放场地未达到平整、夯实要求，未设置排水措施；现场堆料高度超过1.5m或槽、坑、沟边及构筑物临边1m范围内堆放物料</w:t>
            </w:r>
          </w:p>
        </w:tc>
        <w:tc>
          <w:tcPr>
            <w:tcW w:w="1236" w:type="pct"/>
            <w:tcBorders>
              <w:bottom w:val="nil"/>
            </w:tcBorders>
            <w:vAlign w:val="center"/>
          </w:tcPr>
          <w:p w14:paraId="00F59520">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1000元</w:t>
            </w:r>
            <w:r>
              <w:rPr>
                <w:rFonts w:hint="eastAsia" w:ascii="宋体" w:hAnsi="宋体" w:eastAsia="宋体" w:cs="Times New Roman"/>
                <w:color w:val="000000"/>
                <w:szCs w:val="21"/>
                <w:highlight w:val="none"/>
              </w:rPr>
              <w:t>/处</w:t>
            </w:r>
          </w:p>
        </w:tc>
      </w:tr>
      <w:tr w14:paraId="36DF4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2" w:type="pct"/>
            <w:vAlign w:val="center"/>
          </w:tcPr>
          <w:p w14:paraId="5D36280F">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right"/>
              <w:textAlignment w:val="auto"/>
              <w:rPr>
                <w:rFonts w:hint="default" w:ascii="宋体" w:hAnsi="宋体" w:eastAsia="宋体" w:cs="Times New Roman"/>
                <w:color w:val="000000"/>
                <w:szCs w:val="21"/>
                <w:highlight w:val="none"/>
              </w:rPr>
            </w:pPr>
          </w:p>
        </w:tc>
        <w:tc>
          <w:tcPr>
            <w:tcW w:w="3240" w:type="pct"/>
            <w:vAlign w:val="center"/>
          </w:tcPr>
          <w:p w14:paraId="3DE998A5">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建筑垃圾未经核准，擅自以填埋、焚烧、倾倒等方式处置或者处置超出核准范围的</w:t>
            </w:r>
          </w:p>
        </w:tc>
        <w:tc>
          <w:tcPr>
            <w:tcW w:w="1236" w:type="pct"/>
            <w:vAlign w:val="center"/>
          </w:tcPr>
          <w:p w14:paraId="6B89C292">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color w:val="000000"/>
                <w:szCs w:val="21"/>
                <w:highlight w:val="none"/>
              </w:rPr>
            </w:pPr>
            <w:r>
              <w:rPr>
                <w:rFonts w:hint="eastAsia" w:ascii="宋体" w:hAnsi="宋体" w:eastAsia="宋体" w:cs="Times New Roman"/>
                <w:color w:val="000000"/>
                <w:szCs w:val="21"/>
                <w:highlight w:val="none"/>
              </w:rPr>
              <w:t>1</w:t>
            </w:r>
            <w:r>
              <w:rPr>
                <w:rFonts w:hint="default" w:ascii="宋体" w:hAnsi="宋体" w:eastAsia="宋体" w:cs="Times New Roman"/>
                <w:color w:val="000000"/>
                <w:szCs w:val="21"/>
                <w:highlight w:val="none"/>
              </w:rPr>
              <w:t>0000元</w:t>
            </w:r>
            <w:r>
              <w:rPr>
                <w:rFonts w:hint="eastAsia" w:ascii="宋体" w:hAnsi="宋体" w:eastAsia="宋体" w:cs="Times New Roman"/>
                <w:color w:val="000000"/>
                <w:szCs w:val="21"/>
                <w:highlight w:val="none"/>
              </w:rPr>
              <w:t>/起</w:t>
            </w:r>
          </w:p>
        </w:tc>
      </w:tr>
      <w:tr w14:paraId="29288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2" w:type="pct"/>
            <w:vAlign w:val="center"/>
          </w:tcPr>
          <w:p w14:paraId="043C4985">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right"/>
              <w:textAlignment w:val="auto"/>
              <w:rPr>
                <w:rFonts w:hint="default" w:ascii="宋体" w:hAnsi="宋体" w:eastAsia="宋体" w:cs="Times New Roman"/>
                <w:color w:val="000000"/>
                <w:szCs w:val="21"/>
                <w:highlight w:val="none"/>
              </w:rPr>
            </w:pPr>
          </w:p>
        </w:tc>
        <w:tc>
          <w:tcPr>
            <w:tcW w:w="3240" w:type="pct"/>
            <w:vAlign w:val="center"/>
          </w:tcPr>
          <w:p w14:paraId="5726A001">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施工现场存放和进场的材料</w:t>
            </w:r>
            <w:r>
              <w:rPr>
                <w:rFonts w:hint="eastAsia" w:ascii="宋体" w:hAnsi="宋体" w:eastAsia="宋体" w:cs="Times New Roman"/>
                <w:color w:val="000000"/>
                <w:szCs w:val="21"/>
                <w:highlight w:val="none"/>
              </w:rPr>
              <w:t>未</w:t>
            </w:r>
            <w:r>
              <w:rPr>
                <w:rFonts w:hint="default" w:ascii="宋体" w:hAnsi="宋体" w:eastAsia="宋体" w:cs="Times New Roman"/>
                <w:color w:val="000000"/>
                <w:szCs w:val="21"/>
                <w:highlight w:val="none"/>
              </w:rPr>
              <w:t>进行分类存放，堆放</w:t>
            </w:r>
            <w:r>
              <w:rPr>
                <w:rFonts w:hint="eastAsia" w:ascii="宋体" w:hAnsi="宋体" w:eastAsia="宋体" w:cs="Times New Roman"/>
                <w:color w:val="000000"/>
                <w:szCs w:val="21"/>
                <w:highlight w:val="none"/>
              </w:rPr>
              <w:t>不</w:t>
            </w:r>
            <w:r>
              <w:rPr>
                <w:rFonts w:hint="default" w:ascii="宋体" w:hAnsi="宋体" w:eastAsia="宋体" w:cs="Times New Roman"/>
                <w:color w:val="000000"/>
                <w:szCs w:val="21"/>
                <w:highlight w:val="none"/>
              </w:rPr>
              <w:t>整齐</w:t>
            </w:r>
            <w:r>
              <w:rPr>
                <w:rFonts w:hint="eastAsia" w:ascii="宋体" w:hAnsi="宋体" w:eastAsia="宋体" w:cs="Times New Roman"/>
                <w:color w:val="000000"/>
                <w:szCs w:val="21"/>
                <w:highlight w:val="none"/>
              </w:rPr>
              <w:t>，未</w:t>
            </w:r>
            <w:r>
              <w:rPr>
                <w:rFonts w:hint="default" w:ascii="宋体" w:hAnsi="宋体" w:eastAsia="宋体" w:cs="Times New Roman"/>
                <w:color w:val="000000"/>
                <w:szCs w:val="21"/>
                <w:highlight w:val="none"/>
              </w:rPr>
              <w:t>加以覆盖</w:t>
            </w:r>
          </w:p>
        </w:tc>
        <w:tc>
          <w:tcPr>
            <w:tcW w:w="1236" w:type="pct"/>
            <w:vAlign w:val="center"/>
          </w:tcPr>
          <w:p w14:paraId="55F0E473">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color w:val="000000"/>
                <w:szCs w:val="21"/>
                <w:highlight w:val="none"/>
              </w:rPr>
            </w:pPr>
            <w:r>
              <w:rPr>
                <w:rFonts w:hint="eastAsia" w:ascii="宋体" w:hAnsi="宋体" w:eastAsia="宋体" w:cs="Times New Roman"/>
                <w:color w:val="000000"/>
                <w:szCs w:val="21"/>
                <w:highlight w:val="none"/>
              </w:rPr>
              <w:t>1000元/起</w:t>
            </w:r>
          </w:p>
        </w:tc>
      </w:tr>
      <w:tr w14:paraId="45D9E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2" w:type="pct"/>
            <w:vAlign w:val="center"/>
          </w:tcPr>
          <w:p w14:paraId="49A5C154">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right"/>
              <w:textAlignment w:val="auto"/>
              <w:rPr>
                <w:rFonts w:hint="default" w:ascii="宋体" w:hAnsi="宋体" w:eastAsia="宋体" w:cs="Times New Roman"/>
                <w:color w:val="000000"/>
                <w:szCs w:val="21"/>
                <w:highlight w:val="none"/>
              </w:rPr>
            </w:pPr>
          </w:p>
        </w:tc>
        <w:tc>
          <w:tcPr>
            <w:tcW w:w="3240" w:type="pct"/>
            <w:vAlign w:val="center"/>
          </w:tcPr>
          <w:p w14:paraId="61D0CA93">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施工现场未做到工完料净场地清，当天施工的各种材料，在进入施工现场作业区后，未码放整齐利索，影响行人和施工手推车正常通行</w:t>
            </w:r>
          </w:p>
        </w:tc>
        <w:tc>
          <w:tcPr>
            <w:tcW w:w="1236" w:type="pct"/>
            <w:vAlign w:val="center"/>
          </w:tcPr>
          <w:p w14:paraId="331C35FB">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color w:val="000000"/>
                <w:szCs w:val="21"/>
                <w:highlight w:val="none"/>
              </w:rPr>
            </w:pPr>
            <w:r>
              <w:rPr>
                <w:rFonts w:hint="eastAsia" w:ascii="宋体" w:hAnsi="宋体" w:eastAsia="宋体" w:cs="Times New Roman"/>
                <w:color w:val="000000"/>
                <w:szCs w:val="21"/>
                <w:highlight w:val="none"/>
              </w:rPr>
              <w:t>1000元/次</w:t>
            </w:r>
          </w:p>
        </w:tc>
      </w:tr>
      <w:tr w14:paraId="4B02C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2" w:type="pct"/>
            <w:vAlign w:val="center"/>
          </w:tcPr>
          <w:p w14:paraId="2BF992C8">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right"/>
              <w:textAlignment w:val="auto"/>
              <w:rPr>
                <w:rFonts w:hint="default" w:ascii="宋体" w:hAnsi="宋体" w:eastAsia="宋体" w:cs="Times New Roman"/>
                <w:color w:val="000000"/>
                <w:szCs w:val="21"/>
                <w:highlight w:val="none"/>
              </w:rPr>
            </w:pPr>
          </w:p>
        </w:tc>
        <w:tc>
          <w:tcPr>
            <w:tcW w:w="3240" w:type="pct"/>
            <w:vAlign w:val="center"/>
          </w:tcPr>
          <w:p w14:paraId="7FB7CA6A">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施工现场发现大小便不文明行为</w:t>
            </w:r>
          </w:p>
        </w:tc>
        <w:tc>
          <w:tcPr>
            <w:tcW w:w="1236" w:type="pct"/>
            <w:vAlign w:val="center"/>
          </w:tcPr>
          <w:p w14:paraId="400182C0">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color w:val="000000"/>
                <w:szCs w:val="21"/>
                <w:highlight w:val="none"/>
              </w:rPr>
            </w:pPr>
            <w:r>
              <w:rPr>
                <w:rFonts w:hint="eastAsia" w:ascii="宋体" w:hAnsi="宋体" w:eastAsia="宋体" w:cs="Times New Roman"/>
                <w:color w:val="000000"/>
                <w:szCs w:val="21"/>
                <w:highlight w:val="none"/>
              </w:rPr>
              <w:t>1000元/次</w:t>
            </w:r>
          </w:p>
        </w:tc>
      </w:tr>
      <w:tr w14:paraId="3681B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2" w:type="pct"/>
            <w:vAlign w:val="center"/>
          </w:tcPr>
          <w:p w14:paraId="785CEF86">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right"/>
              <w:textAlignment w:val="auto"/>
              <w:rPr>
                <w:rFonts w:hint="default" w:ascii="宋体" w:hAnsi="宋体" w:eastAsia="宋体" w:cs="Times New Roman"/>
                <w:color w:val="000000"/>
                <w:szCs w:val="21"/>
                <w:highlight w:val="none"/>
              </w:rPr>
            </w:pPr>
          </w:p>
        </w:tc>
        <w:tc>
          <w:tcPr>
            <w:tcW w:w="3240" w:type="pct"/>
            <w:vAlign w:val="center"/>
          </w:tcPr>
          <w:p w14:paraId="3C2B5AE0">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宋体" w:hAnsi="宋体" w:eastAsia="宋体" w:cs="Times New Roman"/>
                <w:color w:val="000000"/>
                <w:szCs w:val="21"/>
                <w:highlight w:val="none"/>
              </w:rPr>
            </w:pPr>
            <w:r>
              <w:rPr>
                <w:rFonts w:hint="eastAsia" w:ascii="Times New Roman" w:hAnsi="Times New Roman" w:eastAsia="宋体" w:cs="Times New Roman"/>
                <w:color w:val="000000"/>
                <w:highlight w:val="none"/>
              </w:rPr>
              <w:t>生活污水偷排乱排至附近水体或雨水管网</w:t>
            </w:r>
          </w:p>
        </w:tc>
        <w:tc>
          <w:tcPr>
            <w:tcW w:w="1236" w:type="pct"/>
            <w:vAlign w:val="center"/>
          </w:tcPr>
          <w:p w14:paraId="0E1F5EF6">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Times New Roman"/>
                <w:color w:val="000000"/>
                <w:szCs w:val="21"/>
                <w:highlight w:val="none"/>
              </w:rPr>
            </w:pPr>
            <w:r>
              <w:rPr>
                <w:rFonts w:hint="eastAsia" w:ascii="宋体" w:hAnsi="宋体" w:eastAsia="宋体" w:cs="Times New Roman"/>
                <w:color w:val="000000"/>
                <w:szCs w:val="21"/>
                <w:highlight w:val="none"/>
              </w:rPr>
              <w:t>1000元/次</w:t>
            </w:r>
          </w:p>
        </w:tc>
      </w:tr>
      <w:tr w14:paraId="5B184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000" w:type="pct"/>
            <w:gridSpan w:val="3"/>
            <w:vAlign w:val="center"/>
          </w:tcPr>
          <w:p w14:paraId="16F64387">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default" w:ascii="宋体" w:hAnsi="宋体" w:eastAsia="宋体" w:cs="Times New Roman"/>
                <w:color w:val="000000"/>
                <w:szCs w:val="21"/>
                <w:highlight w:val="none"/>
              </w:rPr>
            </w:pPr>
            <w:r>
              <w:rPr>
                <w:rFonts w:hint="eastAsia" w:ascii="宋体" w:hAnsi="宋体" w:eastAsia="宋体" w:cs="Times New Roman"/>
                <w:b/>
                <w:bCs/>
                <w:color w:val="000000"/>
                <w:szCs w:val="21"/>
                <w:highlight w:val="none"/>
              </w:rPr>
              <w:t>四、人员行为违约</w:t>
            </w:r>
          </w:p>
        </w:tc>
      </w:tr>
      <w:tr w14:paraId="5BB31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2" w:type="pct"/>
            <w:vAlign w:val="center"/>
          </w:tcPr>
          <w:p w14:paraId="59C49A70">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right"/>
              <w:textAlignment w:val="auto"/>
              <w:rPr>
                <w:rFonts w:hint="default" w:ascii="宋体" w:hAnsi="宋体" w:eastAsia="宋体" w:cs="Times New Roman"/>
                <w:color w:val="000000"/>
                <w:szCs w:val="21"/>
                <w:highlight w:val="none"/>
              </w:rPr>
            </w:pPr>
          </w:p>
        </w:tc>
        <w:tc>
          <w:tcPr>
            <w:tcW w:w="3240" w:type="pct"/>
            <w:vAlign w:val="center"/>
          </w:tcPr>
          <w:p w14:paraId="5ECD3639">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酒后进入施工现场</w:t>
            </w:r>
            <w:r>
              <w:rPr>
                <w:rFonts w:hint="eastAsia" w:ascii="宋体" w:hAnsi="宋体" w:eastAsia="宋体" w:cs="Times New Roman"/>
                <w:color w:val="000000"/>
                <w:szCs w:val="21"/>
                <w:highlight w:val="none"/>
              </w:rPr>
              <w:t>作业</w:t>
            </w:r>
          </w:p>
        </w:tc>
        <w:tc>
          <w:tcPr>
            <w:tcW w:w="1236" w:type="pct"/>
            <w:vAlign w:val="center"/>
          </w:tcPr>
          <w:p w14:paraId="1F26BADC">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color w:val="000000"/>
                <w:szCs w:val="21"/>
                <w:highlight w:val="none"/>
              </w:rPr>
            </w:pPr>
            <w:r>
              <w:rPr>
                <w:rFonts w:hint="eastAsia" w:ascii="宋体" w:hAnsi="宋体" w:eastAsia="宋体" w:cs="Times New Roman"/>
                <w:color w:val="000000"/>
                <w:szCs w:val="21"/>
                <w:highlight w:val="none"/>
              </w:rPr>
              <w:t>5</w:t>
            </w:r>
            <w:r>
              <w:rPr>
                <w:rFonts w:hint="default" w:ascii="宋体" w:hAnsi="宋体" w:eastAsia="宋体" w:cs="Times New Roman"/>
                <w:color w:val="000000"/>
                <w:szCs w:val="21"/>
                <w:highlight w:val="none"/>
              </w:rPr>
              <w:t>000元</w:t>
            </w:r>
            <w:r>
              <w:rPr>
                <w:rFonts w:hint="eastAsia" w:ascii="宋体" w:hAnsi="宋体" w:eastAsia="宋体" w:cs="Times New Roman"/>
                <w:color w:val="000000"/>
                <w:szCs w:val="21"/>
                <w:highlight w:val="none"/>
              </w:rPr>
              <w:t>/人次</w:t>
            </w:r>
          </w:p>
        </w:tc>
      </w:tr>
      <w:tr w14:paraId="4B442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2" w:type="pct"/>
            <w:vAlign w:val="center"/>
          </w:tcPr>
          <w:p w14:paraId="6B1A948E">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right"/>
              <w:textAlignment w:val="auto"/>
              <w:rPr>
                <w:rFonts w:hint="default" w:ascii="宋体" w:hAnsi="宋体" w:eastAsia="宋体" w:cs="Times New Roman"/>
                <w:color w:val="000000"/>
                <w:szCs w:val="21"/>
                <w:highlight w:val="none"/>
              </w:rPr>
            </w:pPr>
          </w:p>
        </w:tc>
        <w:tc>
          <w:tcPr>
            <w:tcW w:w="3240" w:type="pct"/>
            <w:vAlign w:val="center"/>
          </w:tcPr>
          <w:p w14:paraId="1948E751">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宋体" w:hAnsi="宋体" w:eastAsia="宋体" w:cs="Times New Roman"/>
                <w:color w:val="000000"/>
                <w:szCs w:val="21"/>
                <w:highlight w:val="none"/>
              </w:rPr>
            </w:pPr>
            <w:r>
              <w:rPr>
                <w:rFonts w:hint="eastAsia" w:ascii="宋体" w:hAnsi="宋体" w:eastAsia="宋体" w:cs="Times New Roman"/>
                <w:color w:val="000000"/>
                <w:szCs w:val="21"/>
                <w:highlight w:val="none"/>
              </w:rPr>
              <w:t>在施工现场流动抽烟</w:t>
            </w:r>
          </w:p>
        </w:tc>
        <w:tc>
          <w:tcPr>
            <w:tcW w:w="1236" w:type="pct"/>
            <w:vAlign w:val="center"/>
          </w:tcPr>
          <w:p w14:paraId="3759FA64">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color w:val="000000"/>
                <w:szCs w:val="21"/>
                <w:highlight w:val="none"/>
              </w:rPr>
            </w:pPr>
            <w:r>
              <w:rPr>
                <w:rFonts w:hint="eastAsia" w:ascii="宋体" w:hAnsi="宋体" w:eastAsia="宋体" w:cs="Times New Roman"/>
                <w:color w:val="000000"/>
                <w:szCs w:val="21"/>
                <w:highlight w:val="none"/>
              </w:rPr>
              <w:t>1000元/人次</w:t>
            </w:r>
          </w:p>
        </w:tc>
      </w:tr>
      <w:tr w14:paraId="406C2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2" w:type="pct"/>
            <w:vAlign w:val="center"/>
          </w:tcPr>
          <w:p w14:paraId="659CE41C">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right"/>
              <w:textAlignment w:val="auto"/>
              <w:rPr>
                <w:rFonts w:hint="default" w:ascii="宋体" w:hAnsi="宋体" w:eastAsia="宋体" w:cs="Times New Roman"/>
                <w:color w:val="000000"/>
                <w:szCs w:val="21"/>
                <w:highlight w:val="none"/>
              </w:rPr>
            </w:pPr>
          </w:p>
        </w:tc>
        <w:tc>
          <w:tcPr>
            <w:tcW w:w="3240" w:type="pct"/>
            <w:vAlign w:val="center"/>
          </w:tcPr>
          <w:p w14:paraId="1ED17800">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随意移动、损坏、拆除安全设施或将安全设施移作他用</w:t>
            </w:r>
          </w:p>
        </w:tc>
        <w:tc>
          <w:tcPr>
            <w:tcW w:w="1236" w:type="pct"/>
            <w:vAlign w:val="center"/>
          </w:tcPr>
          <w:p w14:paraId="1B96CB23">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2000元</w:t>
            </w:r>
            <w:r>
              <w:rPr>
                <w:rFonts w:hint="eastAsia" w:ascii="宋体" w:hAnsi="宋体" w:eastAsia="宋体" w:cs="Times New Roman"/>
                <w:color w:val="000000"/>
                <w:szCs w:val="21"/>
                <w:highlight w:val="none"/>
              </w:rPr>
              <w:t>/次</w:t>
            </w:r>
          </w:p>
        </w:tc>
      </w:tr>
      <w:tr w14:paraId="1D7BA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2" w:type="pct"/>
            <w:vAlign w:val="center"/>
          </w:tcPr>
          <w:p w14:paraId="4B26DABE">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right"/>
              <w:textAlignment w:val="auto"/>
              <w:rPr>
                <w:rFonts w:hint="default" w:ascii="宋体" w:hAnsi="宋体" w:eastAsia="宋体" w:cs="Times New Roman"/>
                <w:color w:val="000000"/>
                <w:szCs w:val="21"/>
                <w:highlight w:val="none"/>
              </w:rPr>
            </w:pPr>
          </w:p>
        </w:tc>
        <w:tc>
          <w:tcPr>
            <w:tcW w:w="3240" w:type="pct"/>
            <w:vAlign w:val="center"/>
          </w:tcPr>
          <w:p w14:paraId="4CF75DCB">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高处作业未按规定要求系安全带，在垂直攀登或高处作业活动范围较大时，未使用攀登自锁器或速差自控器</w:t>
            </w:r>
          </w:p>
        </w:tc>
        <w:tc>
          <w:tcPr>
            <w:tcW w:w="1236" w:type="pct"/>
            <w:vAlign w:val="center"/>
          </w:tcPr>
          <w:p w14:paraId="6E401DF4">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2000元</w:t>
            </w:r>
            <w:r>
              <w:rPr>
                <w:rFonts w:hint="eastAsia" w:ascii="宋体" w:hAnsi="宋体" w:eastAsia="宋体" w:cs="Times New Roman"/>
                <w:color w:val="000000"/>
                <w:szCs w:val="21"/>
                <w:highlight w:val="none"/>
              </w:rPr>
              <w:t>/起</w:t>
            </w:r>
          </w:p>
        </w:tc>
      </w:tr>
      <w:tr w14:paraId="14B6A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2" w:type="pct"/>
            <w:vAlign w:val="center"/>
          </w:tcPr>
          <w:p w14:paraId="0A558668">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right"/>
              <w:textAlignment w:val="auto"/>
              <w:rPr>
                <w:rFonts w:hint="default" w:ascii="宋体" w:hAnsi="宋体" w:eastAsia="宋体" w:cs="Times New Roman"/>
                <w:color w:val="000000"/>
                <w:szCs w:val="21"/>
                <w:highlight w:val="none"/>
              </w:rPr>
            </w:pPr>
          </w:p>
        </w:tc>
        <w:tc>
          <w:tcPr>
            <w:tcW w:w="3240" w:type="pct"/>
            <w:vAlign w:val="center"/>
          </w:tcPr>
          <w:p w14:paraId="7A30AE90">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从高空</w:t>
            </w:r>
            <w:r>
              <w:rPr>
                <w:rFonts w:hint="eastAsia" w:ascii="宋体" w:hAnsi="宋体" w:eastAsia="宋体" w:cs="Times New Roman"/>
                <w:color w:val="000000"/>
                <w:szCs w:val="21"/>
                <w:highlight w:val="none"/>
              </w:rPr>
              <w:t>抛物或</w:t>
            </w:r>
            <w:r>
              <w:rPr>
                <w:rFonts w:hint="default" w:ascii="宋体" w:hAnsi="宋体" w:eastAsia="宋体" w:cs="Times New Roman"/>
                <w:color w:val="000000"/>
                <w:szCs w:val="21"/>
                <w:highlight w:val="none"/>
              </w:rPr>
              <w:t>倾倒垃圾、杂物等</w:t>
            </w:r>
          </w:p>
        </w:tc>
        <w:tc>
          <w:tcPr>
            <w:tcW w:w="1236" w:type="pct"/>
            <w:vAlign w:val="center"/>
          </w:tcPr>
          <w:p w14:paraId="442D30A1">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100</w:t>
            </w:r>
            <w:r>
              <w:rPr>
                <w:rFonts w:hint="eastAsia" w:ascii="宋体" w:hAnsi="宋体" w:eastAsia="宋体" w:cs="Times New Roman"/>
                <w:color w:val="000000"/>
                <w:szCs w:val="21"/>
                <w:highlight w:val="none"/>
              </w:rPr>
              <w:t>0</w:t>
            </w:r>
            <w:r>
              <w:rPr>
                <w:rFonts w:hint="default" w:ascii="宋体" w:hAnsi="宋体" w:eastAsia="宋体" w:cs="Times New Roman"/>
                <w:color w:val="000000"/>
                <w:szCs w:val="21"/>
                <w:highlight w:val="none"/>
              </w:rPr>
              <w:t>0元</w:t>
            </w:r>
            <w:r>
              <w:rPr>
                <w:rFonts w:hint="eastAsia" w:ascii="宋体" w:hAnsi="宋体" w:eastAsia="宋体" w:cs="Times New Roman"/>
                <w:color w:val="000000"/>
                <w:szCs w:val="21"/>
                <w:highlight w:val="none"/>
              </w:rPr>
              <w:t>/次</w:t>
            </w:r>
          </w:p>
        </w:tc>
      </w:tr>
      <w:tr w14:paraId="7D55C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2" w:type="pct"/>
            <w:vAlign w:val="center"/>
          </w:tcPr>
          <w:p w14:paraId="5249FC13">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right"/>
              <w:textAlignment w:val="auto"/>
              <w:rPr>
                <w:rFonts w:hint="default" w:ascii="宋体" w:hAnsi="宋体" w:eastAsia="宋体" w:cs="Times New Roman"/>
                <w:color w:val="000000"/>
                <w:szCs w:val="21"/>
                <w:highlight w:val="none"/>
              </w:rPr>
            </w:pPr>
          </w:p>
        </w:tc>
        <w:tc>
          <w:tcPr>
            <w:tcW w:w="3240" w:type="pct"/>
            <w:vAlign w:val="center"/>
          </w:tcPr>
          <w:p w14:paraId="66DE0896">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高处作业时，施工材料、工器具等放在临边或孔洞附近，无防坠落措施</w:t>
            </w:r>
          </w:p>
        </w:tc>
        <w:tc>
          <w:tcPr>
            <w:tcW w:w="1236" w:type="pct"/>
            <w:vAlign w:val="center"/>
          </w:tcPr>
          <w:p w14:paraId="1585ECCA">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2000元</w:t>
            </w:r>
            <w:r>
              <w:rPr>
                <w:rFonts w:hint="eastAsia" w:ascii="宋体" w:hAnsi="宋体" w:eastAsia="宋体" w:cs="Times New Roman"/>
                <w:color w:val="000000"/>
                <w:szCs w:val="21"/>
                <w:highlight w:val="none"/>
              </w:rPr>
              <w:t>/起</w:t>
            </w:r>
          </w:p>
        </w:tc>
      </w:tr>
      <w:tr w14:paraId="1AEC6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2" w:type="pct"/>
            <w:vAlign w:val="center"/>
          </w:tcPr>
          <w:p w14:paraId="3BBB5301">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right"/>
              <w:textAlignment w:val="auto"/>
              <w:rPr>
                <w:rFonts w:hint="default" w:ascii="宋体" w:hAnsi="宋体" w:eastAsia="宋体" w:cs="Times New Roman"/>
                <w:color w:val="000000"/>
                <w:szCs w:val="21"/>
                <w:highlight w:val="none"/>
              </w:rPr>
            </w:pPr>
          </w:p>
        </w:tc>
        <w:tc>
          <w:tcPr>
            <w:tcW w:w="3240" w:type="pct"/>
            <w:vAlign w:val="center"/>
          </w:tcPr>
          <w:p w14:paraId="5CB5EE48">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在高处作业场所追跑、打闹、打架等，在作业现场躺卧休息</w:t>
            </w:r>
          </w:p>
        </w:tc>
        <w:tc>
          <w:tcPr>
            <w:tcW w:w="1236" w:type="pct"/>
            <w:vAlign w:val="center"/>
          </w:tcPr>
          <w:p w14:paraId="675F03D9">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2000元</w:t>
            </w:r>
            <w:r>
              <w:rPr>
                <w:rFonts w:hint="eastAsia" w:ascii="宋体" w:hAnsi="宋体" w:eastAsia="宋体" w:cs="Times New Roman"/>
                <w:color w:val="000000"/>
                <w:szCs w:val="21"/>
                <w:highlight w:val="none"/>
              </w:rPr>
              <w:t>/起</w:t>
            </w:r>
          </w:p>
        </w:tc>
      </w:tr>
      <w:tr w14:paraId="207A2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2" w:type="pct"/>
            <w:vAlign w:val="center"/>
          </w:tcPr>
          <w:p w14:paraId="6C9C83B2">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right"/>
              <w:textAlignment w:val="auto"/>
              <w:rPr>
                <w:rFonts w:hint="default" w:ascii="宋体" w:hAnsi="宋体" w:eastAsia="宋体" w:cs="Times New Roman"/>
                <w:color w:val="000000"/>
                <w:szCs w:val="21"/>
                <w:highlight w:val="none"/>
              </w:rPr>
            </w:pPr>
          </w:p>
        </w:tc>
        <w:tc>
          <w:tcPr>
            <w:tcW w:w="3240" w:type="pct"/>
            <w:vAlign w:val="center"/>
          </w:tcPr>
          <w:p w14:paraId="3CF78EF1">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无视安全标志或监护人的警告，擅自进入安全警戒区</w:t>
            </w:r>
          </w:p>
        </w:tc>
        <w:tc>
          <w:tcPr>
            <w:tcW w:w="1236" w:type="pct"/>
            <w:vAlign w:val="center"/>
          </w:tcPr>
          <w:p w14:paraId="03379236">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2000元</w:t>
            </w:r>
            <w:r>
              <w:rPr>
                <w:rFonts w:hint="eastAsia" w:ascii="宋体" w:hAnsi="宋体" w:eastAsia="宋体" w:cs="Times New Roman"/>
                <w:color w:val="000000"/>
                <w:szCs w:val="21"/>
                <w:highlight w:val="none"/>
              </w:rPr>
              <w:t>/起</w:t>
            </w:r>
          </w:p>
        </w:tc>
      </w:tr>
      <w:tr w14:paraId="482AF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2" w:type="pct"/>
            <w:vAlign w:val="center"/>
          </w:tcPr>
          <w:p w14:paraId="3F8EF298">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right"/>
              <w:textAlignment w:val="auto"/>
              <w:rPr>
                <w:rFonts w:hint="default" w:ascii="宋体" w:hAnsi="宋体" w:eastAsia="宋体" w:cs="Times New Roman"/>
                <w:color w:val="000000"/>
                <w:szCs w:val="21"/>
                <w:highlight w:val="none"/>
              </w:rPr>
            </w:pPr>
          </w:p>
        </w:tc>
        <w:tc>
          <w:tcPr>
            <w:tcW w:w="3240" w:type="pct"/>
            <w:vAlign w:val="center"/>
          </w:tcPr>
          <w:p w14:paraId="4F43E9B7">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不按规定顺序拆除脚手架，上下同时拆除或将脚手架整体推倒</w:t>
            </w:r>
          </w:p>
        </w:tc>
        <w:tc>
          <w:tcPr>
            <w:tcW w:w="1236" w:type="pct"/>
            <w:vAlign w:val="center"/>
          </w:tcPr>
          <w:p w14:paraId="5020421A">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2000元</w:t>
            </w:r>
            <w:r>
              <w:rPr>
                <w:rFonts w:hint="eastAsia" w:ascii="宋体" w:hAnsi="宋体" w:eastAsia="宋体" w:cs="Times New Roman"/>
                <w:color w:val="000000"/>
                <w:szCs w:val="21"/>
                <w:highlight w:val="none"/>
              </w:rPr>
              <w:t>/起</w:t>
            </w:r>
          </w:p>
        </w:tc>
      </w:tr>
      <w:tr w14:paraId="35F0E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2" w:type="pct"/>
            <w:vAlign w:val="center"/>
          </w:tcPr>
          <w:p w14:paraId="54BB7B06">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right"/>
              <w:textAlignment w:val="auto"/>
              <w:rPr>
                <w:rFonts w:hint="default" w:ascii="宋体" w:hAnsi="宋体" w:eastAsia="宋体" w:cs="Times New Roman"/>
                <w:color w:val="000000"/>
                <w:szCs w:val="21"/>
                <w:highlight w:val="none"/>
              </w:rPr>
            </w:pPr>
          </w:p>
        </w:tc>
        <w:tc>
          <w:tcPr>
            <w:tcW w:w="3240" w:type="pct"/>
            <w:vAlign w:val="center"/>
          </w:tcPr>
          <w:p w14:paraId="77ABC3E9">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非特种作业人员从事特种作业，如操作和指挥起重机械、从事司索、焊接、切割、电工等作业和机动车辆驾驶</w:t>
            </w:r>
          </w:p>
        </w:tc>
        <w:tc>
          <w:tcPr>
            <w:tcW w:w="1236" w:type="pct"/>
            <w:vAlign w:val="center"/>
          </w:tcPr>
          <w:p w14:paraId="067E1926">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2000元</w:t>
            </w:r>
            <w:r>
              <w:rPr>
                <w:rFonts w:hint="eastAsia" w:ascii="宋体" w:hAnsi="宋体" w:eastAsia="宋体" w:cs="Times New Roman"/>
                <w:color w:val="000000"/>
                <w:szCs w:val="21"/>
                <w:highlight w:val="none"/>
              </w:rPr>
              <w:t>/起</w:t>
            </w:r>
          </w:p>
        </w:tc>
      </w:tr>
      <w:tr w14:paraId="199DA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2" w:type="pct"/>
            <w:vAlign w:val="center"/>
          </w:tcPr>
          <w:p w14:paraId="1D0D3CDD">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right"/>
              <w:textAlignment w:val="auto"/>
              <w:rPr>
                <w:rFonts w:hint="default" w:ascii="宋体" w:hAnsi="宋体" w:eastAsia="宋体" w:cs="Times New Roman"/>
                <w:color w:val="000000"/>
                <w:szCs w:val="21"/>
                <w:highlight w:val="none"/>
              </w:rPr>
            </w:pPr>
          </w:p>
        </w:tc>
        <w:tc>
          <w:tcPr>
            <w:tcW w:w="3240" w:type="pct"/>
            <w:vAlign w:val="center"/>
          </w:tcPr>
          <w:p w14:paraId="4A57D534">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吊物绑扎、吊装方法不当、起吊超过起重机械额定负荷的吊物、指挥信号不明时进行起重作业等违反“十不吊”行为</w:t>
            </w:r>
          </w:p>
        </w:tc>
        <w:tc>
          <w:tcPr>
            <w:tcW w:w="1236" w:type="pct"/>
            <w:vAlign w:val="center"/>
          </w:tcPr>
          <w:p w14:paraId="0CD8DD47">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2000元</w:t>
            </w:r>
            <w:r>
              <w:rPr>
                <w:rFonts w:hint="eastAsia" w:ascii="宋体" w:hAnsi="宋体" w:eastAsia="宋体" w:cs="Times New Roman"/>
                <w:color w:val="000000"/>
                <w:szCs w:val="21"/>
                <w:highlight w:val="none"/>
              </w:rPr>
              <w:t>/起</w:t>
            </w:r>
          </w:p>
        </w:tc>
      </w:tr>
      <w:tr w14:paraId="013B1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2" w:type="pct"/>
            <w:vAlign w:val="center"/>
          </w:tcPr>
          <w:p w14:paraId="268EFE62">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right"/>
              <w:textAlignment w:val="auto"/>
              <w:rPr>
                <w:rFonts w:hint="default" w:ascii="宋体" w:hAnsi="宋体" w:eastAsia="宋体" w:cs="Times New Roman"/>
                <w:color w:val="000000"/>
                <w:szCs w:val="21"/>
                <w:highlight w:val="none"/>
              </w:rPr>
            </w:pPr>
          </w:p>
        </w:tc>
        <w:tc>
          <w:tcPr>
            <w:tcW w:w="3240" w:type="pct"/>
            <w:vAlign w:val="center"/>
          </w:tcPr>
          <w:p w14:paraId="1C091985">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未按规定在施工后清除废料或违反定置化管理要求，随意倾倒废料</w:t>
            </w:r>
          </w:p>
        </w:tc>
        <w:tc>
          <w:tcPr>
            <w:tcW w:w="1236" w:type="pct"/>
            <w:vAlign w:val="center"/>
          </w:tcPr>
          <w:p w14:paraId="0B65FB8A">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1000元</w:t>
            </w:r>
            <w:r>
              <w:rPr>
                <w:rFonts w:hint="eastAsia" w:ascii="宋体" w:hAnsi="宋体" w:eastAsia="宋体" w:cs="Times New Roman"/>
                <w:color w:val="000000"/>
                <w:szCs w:val="21"/>
                <w:highlight w:val="none"/>
              </w:rPr>
              <w:t>/起</w:t>
            </w:r>
          </w:p>
        </w:tc>
      </w:tr>
      <w:tr w14:paraId="23D45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2" w:type="pct"/>
            <w:vAlign w:val="center"/>
          </w:tcPr>
          <w:p w14:paraId="7AC811EB">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right"/>
              <w:textAlignment w:val="auto"/>
              <w:rPr>
                <w:rFonts w:hint="default" w:ascii="宋体" w:hAnsi="宋体" w:eastAsia="宋体" w:cs="Times New Roman"/>
                <w:color w:val="000000"/>
                <w:szCs w:val="21"/>
                <w:highlight w:val="none"/>
              </w:rPr>
            </w:pPr>
          </w:p>
        </w:tc>
        <w:tc>
          <w:tcPr>
            <w:tcW w:w="3240" w:type="pct"/>
            <w:vAlign w:val="center"/>
          </w:tcPr>
          <w:p w14:paraId="4BDD5A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default" w:ascii="宋体" w:hAnsi="宋体" w:eastAsia="宋体" w:cs="Times New Roman"/>
                <w:color w:val="000000"/>
                <w:kern w:val="2"/>
                <w:sz w:val="21"/>
                <w:szCs w:val="21"/>
                <w:highlight w:val="none"/>
                <w:lang w:val="en-US" w:eastAsia="zh-CN" w:bidi="ar-SA"/>
              </w:rPr>
            </w:pPr>
            <w:r>
              <w:rPr>
                <w:rFonts w:hint="eastAsia" w:ascii="Times New Roman" w:hAnsi="Times New Roman" w:eastAsia="宋体" w:cs="Times New Roman"/>
                <w:color w:val="000000"/>
                <w:kern w:val="2"/>
                <w:sz w:val="21"/>
                <w:szCs w:val="24"/>
                <w:highlight w:val="none"/>
                <w:lang w:val="en-US" w:eastAsia="zh-CN" w:bidi="ar-SA"/>
              </w:rPr>
              <w:t>进入施工现场及高处作业未配带安全帽的</w:t>
            </w:r>
          </w:p>
        </w:tc>
        <w:tc>
          <w:tcPr>
            <w:tcW w:w="1236" w:type="pct"/>
            <w:vAlign w:val="center"/>
          </w:tcPr>
          <w:p w14:paraId="0CACA871">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color w:val="000000"/>
                <w:szCs w:val="21"/>
                <w:highlight w:val="none"/>
              </w:rPr>
            </w:pPr>
            <w:r>
              <w:rPr>
                <w:rFonts w:hint="default" w:ascii="宋体" w:hAnsi="宋体" w:eastAsia="宋体" w:cs="Times New Roman"/>
                <w:color w:val="000000"/>
                <w:szCs w:val="21"/>
                <w:highlight w:val="none"/>
              </w:rPr>
              <w:t>1000元</w:t>
            </w:r>
            <w:r>
              <w:rPr>
                <w:rFonts w:hint="eastAsia" w:ascii="宋体" w:hAnsi="宋体" w:eastAsia="宋体" w:cs="Times New Roman"/>
                <w:color w:val="000000"/>
                <w:szCs w:val="21"/>
                <w:highlight w:val="none"/>
              </w:rPr>
              <w:t>/起</w:t>
            </w:r>
          </w:p>
        </w:tc>
      </w:tr>
      <w:tr w14:paraId="2ECAD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000" w:type="pct"/>
            <w:gridSpan w:val="3"/>
            <w:vAlign w:val="center"/>
          </w:tcPr>
          <w:p w14:paraId="6F6BBF50">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default" w:ascii="宋体" w:hAnsi="宋体" w:eastAsia="宋体" w:cs="Times New Roman"/>
                <w:color w:val="000000"/>
                <w:szCs w:val="21"/>
                <w:highlight w:val="none"/>
              </w:rPr>
            </w:pPr>
            <w:r>
              <w:rPr>
                <w:rFonts w:hint="eastAsia" w:ascii="宋体" w:hAnsi="宋体" w:eastAsia="宋体" w:cs="Times New Roman"/>
                <w:b/>
                <w:bCs/>
                <w:color w:val="000000"/>
                <w:szCs w:val="21"/>
                <w:highlight w:val="none"/>
              </w:rPr>
              <w:t>五、其他违约</w:t>
            </w:r>
          </w:p>
        </w:tc>
      </w:tr>
      <w:tr w14:paraId="6F47B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2" w:type="pct"/>
            <w:vAlign w:val="center"/>
          </w:tcPr>
          <w:p w14:paraId="5FA1CA53">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right"/>
              <w:textAlignment w:val="auto"/>
              <w:rPr>
                <w:rFonts w:hint="default" w:ascii="宋体" w:hAnsi="宋体" w:eastAsia="宋体" w:cs="Times New Roman"/>
                <w:color w:val="000000"/>
                <w:szCs w:val="21"/>
                <w:highlight w:val="none"/>
              </w:rPr>
            </w:pPr>
          </w:p>
        </w:tc>
        <w:tc>
          <w:tcPr>
            <w:tcW w:w="3240" w:type="pct"/>
            <w:vAlign w:val="center"/>
          </w:tcPr>
          <w:p w14:paraId="5F648C9E">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宋体" w:hAnsi="宋体" w:eastAsia="宋体" w:cs="Times New Roman"/>
                <w:color w:val="000000"/>
                <w:szCs w:val="21"/>
                <w:highlight w:val="none"/>
              </w:rPr>
            </w:pPr>
            <w:r>
              <w:rPr>
                <w:rFonts w:hint="eastAsia" w:ascii="宋体" w:hAnsi="宋体" w:eastAsia="宋体" w:cs="Times New Roman"/>
                <w:color w:val="000000"/>
                <w:szCs w:val="21"/>
                <w:highlight w:val="none"/>
              </w:rPr>
              <w:t>因安全、环保、治安、消防等问题被区级政府通报</w:t>
            </w:r>
          </w:p>
        </w:tc>
        <w:tc>
          <w:tcPr>
            <w:tcW w:w="1236" w:type="pct"/>
            <w:vAlign w:val="center"/>
          </w:tcPr>
          <w:p w14:paraId="7391EAE9">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color w:val="000000"/>
                <w:szCs w:val="21"/>
                <w:highlight w:val="none"/>
              </w:rPr>
            </w:pPr>
            <w:r>
              <w:rPr>
                <w:rFonts w:hint="eastAsia" w:ascii="宋体" w:hAnsi="宋体" w:eastAsia="宋体" w:cs="Times New Roman"/>
                <w:color w:val="000000"/>
                <w:szCs w:val="21"/>
                <w:highlight w:val="none"/>
              </w:rPr>
              <w:t>10000元/次</w:t>
            </w:r>
          </w:p>
        </w:tc>
      </w:tr>
      <w:tr w14:paraId="50D7B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2" w:type="pct"/>
            <w:vAlign w:val="center"/>
          </w:tcPr>
          <w:p w14:paraId="196A66C7">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right"/>
              <w:textAlignment w:val="auto"/>
              <w:rPr>
                <w:rFonts w:hint="default" w:ascii="宋体" w:hAnsi="宋体" w:eastAsia="宋体" w:cs="Times New Roman"/>
                <w:color w:val="000000"/>
                <w:szCs w:val="21"/>
                <w:highlight w:val="none"/>
              </w:rPr>
            </w:pPr>
          </w:p>
        </w:tc>
        <w:tc>
          <w:tcPr>
            <w:tcW w:w="3240" w:type="pct"/>
            <w:vAlign w:val="center"/>
          </w:tcPr>
          <w:p w14:paraId="6A7278F2">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宋体" w:hAnsi="宋体" w:eastAsia="宋体" w:cs="Times New Roman"/>
                <w:color w:val="000000"/>
                <w:szCs w:val="21"/>
                <w:highlight w:val="none"/>
              </w:rPr>
            </w:pPr>
            <w:r>
              <w:rPr>
                <w:rFonts w:hint="eastAsia" w:ascii="宋体" w:hAnsi="宋体" w:eastAsia="宋体" w:cs="Times New Roman"/>
                <w:color w:val="000000"/>
                <w:szCs w:val="21"/>
                <w:highlight w:val="none"/>
              </w:rPr>
              <w:t>因安全、环保、治安、消防等问题被市级政府通报</w:t>
            </w:r>
          </w:p>
        </w:tc>
        <w:tc>
          <w:tcPr>
            <w:tcW w:w="1236" w:type="pct"/>
            <w:vAlign w:val="center"/>
          </w:tcPr>
          <w:p w14:paraId="3CE24D2A">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color w:val="000000"/>
                <w:szCs w:val="21"/>
                <w:highlight w:val="none"/>
              </w:rPr>
            </w:pPr>
            <w:r>
              <w:rPr>
                <w:rFonts w:hint="eastAsia" w:ascii="宋体" w:hAnsi="宋体" w:eastAsia="宋体" w:cs="Times New Roman"/>
                <w:color w:val="000000"/>
                <w:szCs w:val="21"/>
                <w:highlight w:val="none"/>
              </w:rPr>
              <w:t>50000元/次</w:t>
            </w:r>
          </w:p>
        </w:tc>
      </w:tr>
      <w:tr w14:paraId="35774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2" w:type="pct"/>
            <w:vAlign w:val="center"/>
          </w:tcPr>
          <w:p w14:paraId="2738712B">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right"/>
              <w:textAlignment w:val="auto"/>
              <w:rPr>
                <w:rFonts w:hint="default" w:ascii="宋体" w:hAnsi="宋体" w:eastAsia="宋体" w:cs="Times New Roman"/>
                <w:color w:val="000000"/>
                <w:szCs w:val="21"/>
                <w:highlight w:val="none"/>
              </w:rPr>
            </w:pPr>
          </w:p>
        </w:tc>
        <w:tc>
          <w:tcPr>
            <w:tcW w:w="3240" w:type="pct"/>
            <w:vAlign w:val="center"/>
          </w:tcPr>
          <w:p w14:paraId="0912B96C">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宋体" w:hAnsi="宋体" w:eastAsia="宋体" w:cs="Times New Roman"/>
                <w:color w:val="000000"/>
                <w:szCs w:val="21"/>
                <w:highlight w:val="none"/>
              </w:rPr>
            </w:pPr>
            <w:r>
              <w:rPr>
                <w:rFonts w:hint="eastAsia" w:ascii="宋体" w:hAnsi="宋体" w:eastAsia="宋体" w:cs="Times New Roman"/>
                <w:color w:val="000000"/>
                <w:szCs w:val="21"/>
                <w:highlight w:val="none"/>
              </w:rPr>
              <w:t>因安全、环保、治安、消防等问题被省级及以上政府通报</w:t>
            </w:r>
          </w:p>
        </w:tc>
        <w:tc>
          <w:tcPr>
            <w:tcW w:w="1236" w:type="pct"/>
            <w:vAlign w:val="center"/>
          </w:tcPr>
          <w:p w14:paraId="2CAE3CEC">
            <w:pPr>
              <w:keepNext w:val="0"/>
              <w:keepLines w:val="0"/>
              <w:pageBreakBefore w:val="0"/>
              <w:widowControl w:val="0"/>
              <w:numPr>
                <w:ilvl w:val="255"/>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Times New Roman"/>
                <w:color w:val="000000"/>
                <w:szCs w:val="21"/>
                <w:highlight w:val="none"/>
              </w:rPr>
            </w:pPr>
            <w:r>
              <w:rPr>
                <w:rFonts w:hint="eastAsia" w:ascii="宋体" w:hAnsi="宋体" w:eastAsia="宋体" w:cs="Times New Roman"/>
                <w:color w:val="000000"/>
                <w:szCs w:val="21"/>
                <w:highlight w:val="none"/>
              </w:rPr>
              <w:t>100000元/次</w:t>
            </w:r>
          </w:p>
        </w:tc>
      </w:tr>
    </w:tbl>
    <w:p w14:paraId="79D59669">
      <w:pPr>
        <w:pageBreakBefore w:val="0"/>
        <w:widowControl/>
        <w:kinsoku/>
        <w:wordWrap/>
        <w:overflowPunct/>
        <w:topLinePunct w:val="0"/>
        <w:bidi w:val="0"/>
        <w:adjustRightInd w:val="0"/>
        <w:snapToGrid w:val="0"/>
        <w:spacing w:line="400" w:lineRule="exact"/>
        <w:ind w:left="0" w:leftChars="0" w:firstLine="0" w:firstLineChars="0"/>
        <w:jc w:val="left"/>
        <w:textAlignment w:val="auto"/>
        <w:rPr>
          <w:rFonts w:hint="eastAsia" w:ascii="Times New Roman" w:hAnsi="Times New Roman" w:eastAsia="宋体" w:cs="宋体"/>
          <w:sz w:val="21"/>
          <w:szCs w:val="21"/>
          <w:highlight w:val="none"/>
          <w:lang w:eastAsia="zh-CN"/>
        </w:rPr>
      </w:pPr>
    </w:p>
    <w:p w14:paraId="75E5AAEE">
      <w:pPr>
        <w:keepNext w:val="0"/>
        <w:keepLines w:val="0"/>
        <w:pageBreakBefore w:val="0"/>
        <w:widowControl/>
        <w:kinsoku/>
        <w:wordWrap/>
        <w:overflowPunct/>
        <w:topLinePunct w:val="0"/>
        <w:autoSpaceDE/>
        <w:autoSpaceDN/>
        <w:bidi w:val="0"/>
        <w:adjustRightInd w:val="0"/>
        <w:snapToGrid w:val="0"/>
        <w:spacing w:line="400" w:lineRule="exact"/>
        <w:ind w:left="0" w:leftChars="0" w:firstLine="420" w:firstLineChars="200"/>
        <w:jc w:val="left"/>
        <w:textAlignment w:val="auto"/>
        <w:rPr>
          <w:rFonts w:hint="eastAsia" w:ascii="Times New Roman" w:hAnsi="Times New Roman" w:eastAsia="宋体" w:cs="宋体"/>
          <w:sz w:val="21"/>
          <w:szCs w:val="21"/>
          <w:highlight w:val="none"/>
        </w:rPr>
      </w:pPr>
      <w:r>
        <w:rPr>
          <w:rFonts w:hint="eastAsia" w:ascii="Times New Roman" w:hAnsi="Times New Roman" w:eastAsia="宋体" w:cs="宋体"/>
          <w:sz w:val="21"/>
          <w:szCs w:val="21"/>
          <w:highlight w:val="none"/>
          <w:lang w:eastAsia="zh-CN"/>
        </w:rPr>
        <w:t>甲方</w:t>
      </w:r>
      <w:r>
        <w:rPr>
          <w:rFonts w:hint="eastAsia" w:ascii="Times New Roman" w:hAnsi="Times New Roman" w:eastAsia="宋体" w:cs="宋体"/>
          <w:sz w:val="21"/>
          <w:szCs w:val="21"/>
          <w:highlight w:val="none"/>
        </w:rPr>
        <w:t xml:space="preserve">：（盖章）           </w:t>
      </w:r>
      <w:r>
        <w:rPr>
          <w:rFonts w:hint="eastAsia" w:ascii="Times New Roman" w:hAnsi="Times New Roman" w:eastAsia="宋体" w:cs="宋体"/>
          <w:sz w:val="21"/>
          <w:szCs w:val="21"/>
          <w:highlight w:val="none"/>
          <w:lang w:val="en-US" w:eastAsia="zh-CN"/>
        </w:rPr>
        <w:t xml:space="preserve">                   </w:t>
      </w:r>
      <w:r>
        <w:rPr>
          <w:rFonts w:hint="eastAsia" w:ascii="Times New Roman" w:hAnsi="Times New Roman" w:eastAsia="宋体" w:cs="宋体"/>
          <w:sz w:val="21"/>
          <w:szCs w:val="21"/>
          <w:highlight w:val="none"/>
          <w:lang w:eastAsia="zh-CN"/>
        </w:rPr>
        <w:t>乙方</w:t>
      </w:r>
      <w:r>
        <w:rPr>
          <w:rFonts w:hint="eastAsia" w:ascii="Times New Roman" w:hAnsi="Times New Roman" w:eastAsia="宋体" w:cs="宋体"/>
          <w:sz w:val="21"/>
          <w:szCs w:val="21"/>
          <w:highlight w:val="none"/>
        </w:rPr>
        <w:t>：（盖章）</w:t>
      </w:r>
    </w:p>
    <w:p w14:paraId="0607EC2E">
      <w:pPr>
        <w:keepNext w:val="0"/>
        <w:keepLines w:val="0"/>
        <w:pageBreakBefore w:val="0"/>
        <w:widowControl/>
        <w:kinsoku/>
        <w:wordWrap/>
        <w:overflowPunct/>
        <w:topLinePunct w:val="0"/>
        <w:autoSpaceDE/>
        <w:autoSpaceDN/>
        <w:bidi w:val="0"/>
        <w:adjustRightInd w:val="0"/>
        <w:snapToGrid w:val="0"/>
        <w:spacing w:line="400" w:lineRule="exact"/>
        <w:ind w:left="0" w:leftChars="0" w:firstLine="420" w:firstLineChars="200"/>
        <w:jc w:val="left"/>
        <w:textAlignment w:val="auto"/>
        <w:rPr>
          <w:rFonts w:hint="eastAsia" w:ascii="Times New Roman" w:hAnsi="Times New Roman" w:eastAsia="宋体" w:cs="宋体"/>
          <w:sz w:val="21"/>
          <w:szCs w:val="21"/>
          <w:highlight w:val="none"/>
        </w:rPr>
      </w:pPr>
    </w:p>
    <w:p w14:paraId="3329786B">
      <w:pPr>
        <w:keepNext w:val="0"/>
        <w:keepLines w:val="0"/>
        <w:pageBreakBefore w:val="0"/>
        <w:widowControl/>
        <w:kinsoku/>
        <w:wordWrap/>
        <w:overflowPunct/>
        <w:topLinePunct w:val="0"/>
        <w:autoSpaceDE/>
        <w:autoSpaceDN/>
        <w:bidi w:val="0"/>
        <w:adjustRightInd w:val="0"/>
        <w:snapToGrid w:val="0"/>
        <w:spacing w:line="400" w:lineRule="exact"/>
        <w:ind w:left="0" w:leftChars="0" w:firstLine="420" w:firstLineChars="200"/>
        <w:jc w:val="left"/>
        <w:textAlignment w:val="auto"/>
        <w:rPr>
          <w:rFonts w:hint="eastAsia" w:ascii="Times New Roman" w:hAnsi="Times New Roman" w:eastAsia="宋体" w:cs="宋体"/>
          <w:sz w:val="21"/>
          <w:szCs w:val="21"/>
          <w:highlight w:val="none"/>
          <w:lang w:val="en-US" w:eastAsia="zh-CN"/>
        </w:rPr>
      </w:pPr>
      <w:r>
        <w:rPr>
          <w:rFonts w:hint="eastAsia" w:ascii="Times New Roman" w:hAnsi="Times New Roman" w:eastAsia="宋体" w:cs="宋体"/>
          <w:sz w:val="21"/>
          <w:szCs w:val="21"/>
          <w:highlight w:val="none"/>
        </w:rPr>
        <w:t>法定代表人或其委托代理人：</w:t>
      </w:r>
      <w:r>
        <w:rPr>
          <w:rFonts w:hint="eastAsia" w:ascii="Times New Roman" w:hAnsi="Times New Roman" w:eastAsia="宋体" w:cs="宋体"/>
          <w:sz w:val="21"/>
          <w:szCs w:val="21"/>
          <w:highlight w:val="none"/>
          <w:lang w:val="en-US" w:eastAsia="zh-CN"/>
        </w:rPr>
        <w:t xml:space="preserve">                  </w:t>
      </w:r>
      <w:r>
        <w:rPr>
          <w:rFonts w:hint="eastAsia" w:ascii="Times New Roman" w:hAnsi="Times New Roman" w:eastAsia="宋体" w:cs="宋体"/>
          <w:sz w:val="21"/>
          <w:szCs w:val="21"/>
          <w:highlight w:val="none"/>
        </w:rPr>
        <w:t>法定代表人或其委托代理人：</w:t>
      </w:r>
    </w:p>
    <w:p w14:paraId="05C314EF">
      <w:pPr>
        <w:keepNext w:val="0"/>
        <w:keepLines w:val="0"/>
        <w:pageBreakBefore w:val="0"/>
        <w:kinsoku/>
        <w:wordWrap/>
        <w:overflowPunct/>
        <w:topLinePunct w:val="0"/>
        <w:autoSpaceDE/>
        <w:autoSpaceDN/>
        <w:bidi w:val="0"/>
        <w:spacing w:line="360" w:lineRule="auto"/>
        <w:ind w:left="0" w:leftChars="0" w:firstLine="420" w:firstLineChars="200"/>
        <w:textAlignment w:val="auto"/>
        <w:rPr>
          <w:rFonts w:hint="eastAsia" w:ascii="Times New Roman" w:hAnsi="Times New Roman" w:eastAsia="宋体" w:cs="宋体"/>
          <w:sz w:val="21"/>
          <w:szCs w:val="21"/>
          <w:highlight w:val="none"/>
          <w:lang w:eastAsia="zh-CN"/>
        </w:rPr>
      </w:pPr>
      <w:r>
        <w:rPr>
          <w:rFonts w:hint="eastAsia" w:ascii="Times New Roman" w:hAnsi="Times New Roman" w:eastAsia="宋体" w:cs="宋体"/>
          <w:sz w:val="21"/>
          <w:szCs w:val="21"/>
          <w:highlight w:val="none"/>
          <w:lang w:eastAsia="zh-CN"/>
        </w:rPr>
        <w:t>（签字或盖章）</w:t>
      </w:r>
      <w:r>
        <w:rPr>
          <w:rFonts w:hint="eastAsia" w:ascii="Times New Roman" w:hAnsi="Times New Roman" w:eastAsia="宋体" w:cs="宋体"/>
          <w:sz w:val="21"/>
          <w:szCs w:val="21"/>
          <w:highlight w:val="none"/>
        </w:rPr>
        <w:t xml:space="preserve">     </w:t>
      </w:r>
      <w:r>
        <w:rPr>
          <w:rFonts w:hint="eastAsia" w:ascii="Times New Roman" w:hAnsi="Times New Roman" w:eastAsia="宋体" w:cs="宋体"/>
          <w:sz w:val="21"/>
          <w:szCs w:val="21"/>
          <w:highlight w:val="none"/>
          <w:lang w:val="en-US" w:eastAsia="zh-CN"/>
        </w:rPr>
        <w:t xml:space="preserve">                         </w:t>
      </w:r>
      <w:r>
        <w:rPr>
          <w:rFonts w:hint="eastAsia" w:ascii="Times New Roman" w:hAnsi="Times New Roman" w:eastAsia="宋体" w:cs="宋体"/>
          <w:sz w:val="21"/>
          <w:szCs w:val="21"/>
          <w:highlight w:val="none"/>
          <w:lang w:eastAsia="zh-CN"/>
        </w:rPr>
        <w:t>（签字或盖章）</w:t>
      </w:r>
    </w:p>
    <w:p w14:paraId="1CBA8076">
      <w:pPr>
        <w:keepNext w:val="0"/>
        <w:keepLines w:val="0"/>
        <w:pageBreakBefore w:val="0"/>
        <w:kinsoku/>
        <w:wordWrap/>
        <w:overflowPunct/>
        <w:topLinePunct w:val="0"/>
        <w:autoSpaceDE/>
        <w:autoSpaceDN/>
        <w:bidi w:val="0"/>
        <w:spacing w:line="360" w:lineRule="auto"/>
        <w:ind w:left="0" w:leftChars="0" w:firstLine="376" w:firstLineChars="200"/>
        <w:textAlignment w:val="auto"/>
        <w:rPr>
          <w:rFonts w:hint="eastAsia" w:ascii="Times New Roman" w:hAnsi="Times New Roman" w:eastAsia="宋体" w:cs="宋体"/>
          <w:color w:val="auto"/>
          <w:spacing w:val="-11"/>
          <w:szCs w:val="21"/>
          <w:highlight w:val="none"/>
          <w:shd w:val="clear" w:color="auto" w:fill="auto"/>
        </w:rPr>
      </w:pPr>
      <w:r>
        <w:rPr>
          <w:rFonts w:hint="eastAsia" w:ascii="Times New Roman" w:hAnsi="Times New Roman" w:eastAsia="宋体" w:cs="宋体"/>
          <w:color w:val="auto"/>
          <w:spacing w:val="-11"/>
          <w:szCs w:val="21"/>
          <w:highlight w:val="none"/>
          <w:shd w:val="clear" w:color="auto" w:fill="auto"/>
        </w:rPr>
        <w:br w:type="textWrapping"/>
      </w:r>
    </w:p>
    <w:p w14:paraId="3EAE8687">
      <w:pPr>
        <w:spacing w:line="240" w:lineRule="auto"/>
        <w:ind w:firstLine="0" w:firstLineChars="0"/>
        <w:rPr>
          <w:rFonts w:hint="eastAsia" w:ascii="Times New Roman" w:hAnsi="Times New Roman" w:eastAsia="宋体" w:cs="宋体"/>
          <w:color w:val="auto"/>
          <w:spacing w:val="-11"/>
          <w:szCs w:val="21"/>
          <w:highlight w:val="none"/>
          <w:shd w:val="clear" w:color="auto" w:fill="auto"/>
        </w:rPr>
      </w:pPr>
      <w:r>
        <w:rPr>
          <w:rFonts w:hint="eastAsia" w:ascii="Times New Roman" w:hAnsi="Times New Roman" w:eastAsia="宋体" w:cs="宋体"/>
          <w:color w:val="auto"/>
          <w:spacing w:val="-11"/>
          <w:szCs w:val="21"/>
          <w:highlight w:val="none"/>
          <w:shd w:val="clear" w:color="auto" w:fill="auto"/>
        </w:rPr>
        <w:br w:type="page"/>
      </w:r>
    </w:p>
    <w:p w14:paraId="049FBE3A">
      <w:pPr>
        <w:snapToGrid w:val="0"/>
        <w:spacing w:line="360" w:lineRule="auto"/>
        <w:ind w:firstLine="0" w:firstLineChars="0"/>
        <w:rPr>
          <w:rFonts w:ascii="Times New Roman" w:hAnsi="Times New Roman" w:eastAsia="宋体" w:cs="宋体"/>
          <w:b/>
          <w:color w:val="000000"/>
          <w:szCs w:val="21"/>
          <w:highlight w:val="none"/>
          <w:shd w:val="clear" w:color="auto" w:fill="auto"/>
        </w:rPr>
      </w:pPr>
      <w:r>
        <w:rPr>
          <w:rFonts w:hint="eastAsia" w:ascii="Times New Roman" w:hAnsi="Times New Roman" w:eastAsia="宋体" w:cs="宋体"/>
          <w:b/>
          <w:color w:val="000000"/>
          <w:szCs w:val="21"/>
          <w:highlight w:val="none"/>
          <w:shd w:val="clear" w:color="auto" w:fill="auto"/>
        </w:rPr>
        <w:t>附件</w:t>
      </w:r>
      <w:r>
        <w:rPr>
          <w:rFonts w:hint="eastAsia" w:ascii="Times New Roman" w:hAnsi="Times New Roman" w:eastAsia="宋体" w:cs="宋体"/>
          <w:b/>
          <w:color w:val="000000"/>
          <w:szCs w:val="21"/>
          <w:highlight w:val="none"/>
          <w:shd w:val="clear" w:color="auto" w:fill="auto"/>
          <w:lang w:val="en-US" w:eastAsia="zh-CN"/>
        </w:rPr>
        <w:t>8</w:t>
      </w:r>
      <w:r>
        <w:rPr>
          <w:rFonts w:hint="eastAsia" w:ascii="Times New Roman" w:hAnsi="Times New Roman" w:eastAsia="宋体" w:cs="宋体"/>
          <w:b/>
          <w:color w:val="000000"/>
          <w:szCs w:val="21"/>
          <w:highlight w:val="none"/>
          <w:shd w:val="clear" w:color="auto" w:fill="auto"/>
        </w:rPr>
        <w:t>：</w:t>
      </w:r>
    </w:p>
    <w:p w14:paraId="6AEF860C">
      <w:pPr>
        <w:keepNext/>
        <w:keepLines/>
        <w:adjustRightInd w:val="0"/>
        <w:snapToGrid w:val="0"/>
        <w:spacing w:line="360" w:lineRule="auto"/>
        <w:ind w:firstLine="562" w:firstLineChars="200"/>
        <w:jc w:val="center"/>
        <w:outlineLvl w:val="2"/>
        <w:rPr>
          <w:rFonts w:ascii="Times New Roman" w:hAnsi="Times New Roman" w:eastAsia="宋体" w:cs="Times New Roman"/>
          <w:b/>
          <w:bCs/>
          <w:sz w:val="28"/>
          <w:szCs w:val="32"/>
          <w:highlight w:val="none"/>
          <w:shd w:val="clear" w:color="auto" w:fill="auto"/>
        </w:rPr>
      </w:pPr>
      <w:r>
        <w:rPr>
          <w:rFonts w:hint="eastAsia" w:ascii="Times New Roman" w:hAnsi="Times New Roman" w:eastAsia="宋体" w:cs="Times New Roman"/>
          <w:b/>
          <w:bCs/>
          <w:sz w:val="28"/>
          <w:szCs w:val="32"/>
          <w:highlight w:val="none"/>
          <w:shd w:val="clear" w:color="auto" w:fill="auto"/>
        </w:rPr>
        <w:t>施工现场环境保护与扬尘防治管理协议</w:t>
      </w:r>
    </w:p>
    <w:p w14:paraId="4457C5EE">
      <w:pPr>
        <w:pageBreakBefore w:val="0"/>
        <w:kinsoku/>
        <w:wordWrap/>
        <w:overflowPunct/>
        <w:topLinePunct w:val="0"/>
        <w:bidi w:val="0"/>
        <w:adjustRightInd w:val="0"/>
        <w:snapToGrid w:val="0"/>
        <w:spacing w:line="400" w:lineRule="exact"/>
        <w:ind w:firstLine="420" w:firstLineChars="200"/>
        <w:jc w:val="left"/>
        <w:textAlignment w:val="auto"/>
        <w:rPr>
          <w:rFonts w:hint="eastAsia" w:ascii="Times New Roman" w:hAnsi="Times New Roman" w:eastAsia="宋体" w:cs="宋体"/>
          <w:sz w:val="21"/>
          <w:szCs w:val="21"/>
          <w:highlight w:val="none"/>
          <w:lang w:val="en-US" w:eastAsia="zh-CN" w:bidi="ar"/>
        </w:rPr>
      </w:pPr>
      <w:r>
        <w:rPr>
          <w:rFonts w:hint="eastAsia" w:ascii="Times New Roman" w:hAnsi="Times New Roman" w:eastAsia="宋体" w:cs="宋体"/>
          <w:sz w:val="21"/>
          <w:szCs w:val="21"/>
          <w:highlight w:val="none"/>
          <w:lang w:val="en-US" w:eastAsia="zh-CN" w:bidi="ar"/>
        </w:rPr>
        <w:t>工程承包人：</w:t>
      </w:r>
      <w:r>
        <w:rPr>
          <w:rFonts w:hint="eastAsia" w:ascii="Times New Roman" w:hAnsi="Times New Roman" w:eastAsia="宋体" w:cs="宋体"/>
          <w:b/>
          <w:bCs/>
          <w:sz w:val="21"/>
          <w:szCs w:val="21"/>
          <w:highlight w:val="none"/>
          <w:u w:val="single"/>
          <w:lang w:val="en-US" w:eastAsia="zh-CN" w:bidi="ar"/>
        </w:rPr>
        <w:t>连云港徐圩城建工程有限公司</w:t>
      </w:r>
      <w:r>
        <w:rPr>
          <w:rFonts w:hint="eastAsia" w:ascii="Times New Roman" w:hAnsi="Times New Roman" w:eastAsia="宋体" w:cs="宋体"/>
          <w:sz w:val="21"/>
          <w:szCs w:val="21"/>
          <w:highlight w:val="none"/>
          <w:lang w:val="en-US" w:eastAsia="zh-CN" w:bidi="ar"/>
        </w:rPr>
        <w:t xml:space="preserve">（以下简称“甲方”） </w:t>
      </w:r>
    </w:p>
    <w:p w14:paraId="0E9411C9">
      <w:pPr>
        <w:pageBreakBefore w:val="0"/>
        <w:kinsoku/>
        <w:wordWrap/>
        <w:overflowPunct/>
        <w:topLinePunct w:val="0"/>
        <w:bidi w:val="0"/>
        <w:adjustRightInd w:val="0"/>
        <w:snapToGrid w:val="0"/>
        <w:spacing w:line="400" w:lineRule="exact"/>
        <w:ind w:firstLine="420" w:firstLineChars="200"/>
        <w:jc w:val="left"/>
        <w:textAlignment w:val="auto"/>
        <w:rPr>
          <w:rFonts w:hint="eastAsia" w:ascii="Times New Roman" w:hAnsi="Times New Roman" w:eastAsia="宋体" w:cs="宋体"/>
          <w:sz w:val="21"/>
          <w:szCs w:val="21"/>
          <w:highlight w:val="none"/>
          <w:lang w:val="en-US" w:eastAsia="zh-CN" w:bidi="ar"/>
        </w:rPr>
      </w:pPr>
      <w:r>
        <w:rPr>
          <w:rFonts w:hint="eastAsia" w:ascii="Times New Roman" w:hAnsi="Times New Roman" w:eastAsia="宋体" w:cs="宋体"/>
          <w:sz w:val="21"/>
          <w:szCs w:val="21"/>
          <w:highlight w:val="none"/>
          <w:lang w:val="en-US" w:eastAsia="zh-CN" w:bidi="ar"/>
        </w:rPr>
        <w:t>劳务分包人：</w:t>
      </w:r>
      <w:r>
        <w:rPr>
          <w:rFonts w:hint="eastAsia" w:ascii="Times New Roman" w:hAnsi="Times New Roman" w:eastAsia="宋体" w:cs="宋体"/>
          <w:b/>
          <w:bCs/>
          <w:color w:val="auto"/>
          <w:szCs w:val="21"/>
          <w:highlight w:val="none"/>
          <w:u w:val="single"/>
          <w:shd w:val="clear" w:color="auto" w:fill="auto"/>
          <w:lang w:val="en-US" w:eastAsia="zh-CN"/>
        </w:rPr>
        <w:t xml:space="preserve">                          </w:t>
      </w:r>
      <w:r>
        <w:rPr>
          <w:rFonts w:hint="eastAsia" w:ascii="Times New Roman" w:hAnsi="Times New Roman" w:eastAsia="宋体" w:cs="宋体"/>
          <w:sz w:val="21"/>
          <w:szCs w:val="21"/>
          <w:highlight w:val="none"/>
          <w:lang w:val="en-US" w:eastAsia="zh-CN" w:bidi="ar"/>
        </w:rPr>
        <w:t>（以下简称“乙方”）</w:t>
      </w:r>
    </w:p>
    <w:p w14:paraId="696BE3C9">
      <w:pPr>
        <w:pageBreakBefore w:val="0"/>
        <w:kinsoku/>
        <w:wordWrap/>
        <w:overflowPunct/>
        <w:topLinePunct w:val="0"/>
        <w:bidi w:val="0"/>
        <w:adjustRightInd w:val="0"/>
        <w:snapToGrid w:val="0"/>
        <w:spacing w:line="400" w:lineRule="exact"/>
        <w:ind w:firstLine="420" w:firstLineChars="200"/>
        <w:jc w:val="left"/>
        <w:textAlignment w:val="auto"/>
        <w:rPr>
          <w:rFonts w:hint="eastAsia" w:ascii="Times New Roman" w:hAnsi="Times New Roman" w:eastAsia="宋体" w:cs="宋体"/>
          <w:kern w:val="0"/>
          <w:sz w:val="21"/>
          <w:szCs w:val="21"/>
          <w:highlight w:val="none"/>
          <w:lang w:bidi="ar"/>
        </w:rPr>
      </w:pPr>
      <w:r>
        <w:rPr>
          <w:rFonts w:hint="eastAsia" w:ascii="Times New Roman" w:hAnsi="Times New Roman" w:eastAsia="宋体" w:cs="宋体"/>
          <w:sz w:val="21"/>
          <w:szCs w:val="21"/>
          <w:highlight w:val="none"/>
          <w:lang w:bidi="ar"/>
        </w:rPr>
        <w:t>为加强施工现场环境保护</w:t>
      </w:r>
      <w:r>
        <w:rPr>
          <w:rFonts w:hint="eastAsia" w:ascii="Times New Roman" w:hAnsi="Times New Roman" w:eastAsia="宋体" w:cs="宋体"/>
          <w:sz w:val="21"/>
          <w:szCs w:val="21"/>
          <w:highlight w:val="none"/>
          <w:lang w:val="en-US" w:eastAsia="zh-CN" w:bidi="ar"/>
        </w:rPr>
        <w:t>与扬尘防治</w:t>
      </w:r>
      <w:r>
        <w:rPr>
          <w:rFonts w:hint="eastAsia" w:ascii="Times New Roman" w:hAnsi="Times New Roman" w:eastAsia="宋体" w:cs="宋体"/>
          <w:sz w:val="21"/>
          <w:szCs w:val="21"/>
          <w:highlight w:val="none"/>
          <w:lang w:bidi="ar"/>
        </w:rPr>
        <w:t>管理，认真执行、贯彻落实国家、</w:t>
      </w:r>
      <w:r>
        <w:rPr>
          <w:rFonts w:hint="eastAsia" w:ascii="Times New Roman" w:hAnsi="Times New Roman" w:eastAsia="宋体" w:cs="宋体"/>
          <w:sz w:val="21"/>
          <w:szCs w:val="21"/>
          <w:highlight w:val="none"/>
          <w:lang w:val="en-US" w:eastAsia="zh-CN" w:bidi="ar"/>
        </w:rPr>
        <w:t>江苏省</w:t>
      </w:r>
      <w:r>
        <w:rPr>
          <w:rFonts w:hint="eastAsia" w:ascii="Times New Roman" w:hAnsi="Times New Roman" w:eastAsia="宋体" w:cs="宋体"/>
          <w:sz w:val="21"/>
          <w:szCs w:val="21"/>
          <w:highlight w:val="none"/>
          <w:lang w:bidi="ar"/>
        </w:rPr>
        <w:t>、</w:t>
      </w:r>
      <w:r>
        <w:rPr>
          <w:rFonts w:hint="eastAsia" w:ascii="Times New Roman" w:hAnsi="Times New Roman" w:eastAsia="宋体" w:cs="宋体"/>
          <w:sz w:val="21"/>
          <w:szCs w:val="21"/>
          <w:highlight w:val="none"/>
          <w:lang w:val="en-US" w:eastAsia="zh-CN" w:bidi="ar"/>
        </w:rPr>
        <w:t>连云港市和徐圩新区</w:t>
      </w:r>
      <w:r>
        <w:rPr>
          <w:rFonts w:hint="eastAsia" w:ascii="Times New Roman" w:hAnsi="Times New Roman" w:eastAsia="宋体" w:cs="宋体"/>
          <w:sz w:val="21"/>
          <w:szCs w:val="21"/>
          <w:highlight w:val="none"/>
          <w:lang w:bidi="ar"/>
        </w:rPr>
        <w:t>的有关环境保护</w:t>
      </w:r>
      <w:r>
        <w:rPr>
          <w:rFonts w:hint="eastAsia" w:ascii="Times New Roman" w:hAnsi="Times New Roman" w:eastAsia="宋体" w:cs="宋体"/>
          <w:sz w:val="21"/>
          <w:szCs w:val="21"/>
          <w:highlight w:val="none"/>
          <w:lang w:val="en-US" w:eastAsia="zh-CN" w:bidi="ar"/>
        </w:rPr>
        <w:t>和扬尘防治的</w:t>
      </w:r>
      <w:r>
        <w:rPr>
          <w:rFonts w:hint="eastAsia" w:ascii="Times New Roman" w:hAnsi="Times New Roman" w:eastAsia="宋体" w:cs="宋体"/>
          <w:sz w:val="21"/>
          <w:szCs w:val="21"/>
          <w:highlight w:val="none"/>
          <w:lang w:bidi="ar"/>
        </w:rPr>
        <w:t>法律、法规和管理要求</w:t>
      </w:r>
      <w:r>
        <w:rPr>
          <w:rFonts w:hint="eastAsia" w:ascii="Times New Roman" w:hAnsi="Times New Roman" w:eastAsia="宋体" w:cs="宋体"/>
          <w:sz w:val="21"/>
          <w:szCs w:val="21"/>
          <w:highlight w:val="none"/>
          <w:lang w:eastAsia="zh-CN" w:bidi="ar"/>
        </w:rPr>
        <w:t>，</w:t>
      </w:r>
      <w:r>
        <w:rPr>
          <w:rFonts w:hint="eastAsia" w:ascii="Times New Roman" w:hAnsi="Times New Roman" w:eastAsia="宋体" w:cs="宋体"/>
          <w:sz w:val="21"/>
          <w:szCs w:val="21"/>
          <w:highlight w:val="none"/>
          <w:lang w:bidi="ar"/>
        </w:rPr>
        <w:t>双方本着平等、自愿的原则，签定本协议书</w:t>
      </w:r>
      <w:r>
        <w:rPr>
          <w:rFonts w:hint="eastAsia" w:ascii="Times New Roman" w:hAnsi="Times New Roman" w:eastAsia="宋体" w:cs="宋体"/>
          <w:kern w:val="0"/>
          <w:sz w:val="21"/>
          <w:szCs w:val="21"/>
          <w:highlight w:val="none"/>
          <w:lang w:val="en-US" w:eastAsia="zh-CN" w:bidi="ar"/>
        </w:rPr>
        <w:t>。本协议为</w:t>
      </w:r>
      <w:r>
        <w:rPr>
          <w:rFonts w:hint="eastAsia" w:cs="宋体"/>
          <w:b/>
          <w:bCs/>
          <w:kern w:val="0"/>
          <w:sz w:val="21"/>
          <w:szCs w:val="21"/>
          <w:highlight w:val="none"/>
          <w:u w:val="single"/>
          <w:lang w:val="en-US" w:eastAsia="zh-CN" w:bidi="ar"/>
        </w:rPr>
        <w:t>物流集散道路工程EPC项目-道路工程劳务</w:t>
      </w:r>
      <w:r>
        <w:rPr>
          <w:rFonts w:hint="eastAsia" w:ascii="Times New Roman" w:hAnsi="Times New Roman" w:eastAsia="宋体" w:cs="宋体"/>
          <w:kern w:val="0"/>
          <w:sz w:val="21"/>
          <w:szCs w:val="21"/>
          <w:highlight w:val="none"/>
          <w:lang w:val="en-US" w:eastAsia="zh-CN" w:bidi="ar"/>
        </w:rPr>
        <w:t>合同的附件，与合同具有同样的法律效力。</w:t>
      </w:r>
    </w:p>
    <w:p w14:paraId="0D152089">
      <w:pPr>
        <w:pageBreakBefore w:val="0"/>
        <w:numPr>
          <w:ilvl w:val="0"/>
          <w:numId w:val="8"/>
        </w:numPr>
        <w:kinsoku/>
        <w:wordWrap/>
        <w:overflowPunct/>
        <w:topLinePunct w:val="0"/>
        <w:bidi w:val="0"/>
        <w:adjustRightInd w:val="0"/>
        <w:snapToGrid w:val="0"/>
        <w:spacing w:line="400" w:lineRule="exact"/>
        <w:ind w:firstLine="422" w:firstLineChars="200"/>
        <w:jc w:val="left"/>
        <w:textAlignment w:val="auto"/>
        <w:rPr>
          <w:rFonts w:hint="eastAsia" w:ascii="Times New Roman" w:hAnsi="Times New Roman" w:eastAsia="宋体" w:cs="宋体"/>
          <w:b/>
          <w:sz w:val="21"/>
          <w:szCs w:val="21"/>
          <w:highlight w:val="none"/>
          <w:lang w:val="en-US" w:eastAsia="zh-CN" w:bidi="ar"/>
        </w:rPr>
      </w:pPr>
      <w:r>
        <w:rPr>
          <w:rFonts w:hint="eastAsia" w:ascii="Times New Roman" w:hAnsi="Times New Roman" w:eastAsia="宋体" w:cs="宋体"/>
          <w:b/>
          <w:sz w:val="21"/>
          <w:szCs w:val="21"/>
          <w:highlight w:val="none"/>
          <w:lang w:val="en-US" w:eastAsia="zh-CN" w:bidi="ar"/>
        </w:rPr>
        <w:t>适用法律、标准及有关管理要求</w:t>
      </w:r>
    </w:p>
    <w:p w14:paraId="14B0FC18">
      <w:pPr>
        <w:pageBreakBefore w:val="0"/>
        <w:numPr>
          <w:ilvl w:val="0"/>
          <w:numId w:val="9"/>
        </w:numPr>
        <w:kinsoku/>
        <w:wordWrap/>
        <w:overflowPunct/>
        <w:topLinePunct w:val="0"/>
        <w:bidi w:val="0"/>
        <w:adjustRightInd w:val="0"/>
        <w:snapToGrid w:val="0"/>
        <w:spacing w:line="400" w:lineRule="exact"/>
        <w:ind w:firstLine="420" w:firstLineChars="200"/>
        <w:jc w:val="left"/>
        <w:textAlignment w:val="auto"/>
        <w:rPr>
          <w:rFonts w:hint="eastAsia" w:ascii="Times New Roman" w:hAnsi="Times New Roman" w:eastAsia="宋体" w:cs="宋体"/>
          <w:sz w:val="21"/>
          <w:szCs w:val="21"/>
          <w:highlight w:val="none"/>
          <w:lang w:eastAsia="zh-CN" w:bidi="ar"/>
        </w:rPr>
      </w:pPr>
      <w:r>
        <w:rPr>
          <w:rFonts w:hint="eastAsia" w:ascii="Times New Roman" w:hAnsi="Times New Roman" w:eastAsia="宋体" w:cs="宋体"/>
          <w:sz w:val="21"/>
          <w:szCs w:val="21"/>
          <w:highlight w:val="none"/>
          <w:lang w:eastAsia="zh-CN" w:bidi="ar"/>
        </w:rPr>
        <w:t>《</w:t>
      </w:r>
      <w:r>
        <w:rPr>
          <w:rFonts w:hint="eastAsia" w:ascii="Times New Roman" w:hAnsi="Times New Roman" w:eastAsia="宋体" w:cs="宋体"/>
          <w:sz w:val="21"/>
          <w:szCs w:val="21"/>
          <w:highlight w:val="none"/>
          <w:lang w:bidi="ar"/>
        </w:rPr>
        <w:t>中华人民共和国环境保护法》</w:t>
      </w:r>
    </w:p>
    <w:p w14:paraId="28B262E7">
      <w:pPr>
        <w:pageBreakBefore w:val="0"/>
        <w:numPr>
          <w:ilvl w:val="0"/>
          <w:numId w:val="9"/>
        </w:numPr>
        <w:kinsoku/>
        <w:wordWrap/>
        <w:overflowPunct/>
        <w:topLinePunct w:val="0"/>
        <w:bidi w:val="0"/>
        <w:adjustRightInd w:val="0"/>
        <w:snapToGrid w:val="0"/>
        <w:spacing w:line="400" w:lineRule="exact"/>
        <w:ind w:firstLine="420" w:firstLineChars="200"/>
        <w:jc w:val="left"/>
        <w:textAlignment w:val="auto"/>
        <w:rPr>
          <w:rFonts w:hint="eastAsia" w:ascii="Times New Roman" w:hAnsi="Times New Roman" w:eastAsia="宋体" w:cs="宋体"/>
          <w:sz w:val="21"/>
          <w:szCs w:val="21"/>
          <w:highlight w:val="none"/>
          <w:lang w:eastAsia="zh-CN" w:bidi="ar"/>
        </w:rPr>
      </w:pPr>
      <w:r>
        <w:rPr>
          <w:rFonts w:hint="eastAsia" w:ascii="Times New Roman" w:hAnsi="Times New Roman" w:eastAsia="宋体" w:cs="宋体"/>
          <w:sz w:val="21"/>
          <w:szCs w:val="21"/>
          <w:highlight w:val="none"/>
          <w:lang w:eastAsia="zh-CN" w:bidi="ar"/>
        </w:rPr>
        <w:t>《中华人民共和国水污染防治法》</w:t>
      </w:r>
    </w:p>
    <w:p w14:paraId="62567F4B">
      <w:pPr>
        <w:pageBreakBefore w:val="0"/>
        <w:numPr>
          <w:ilvl w:val="0"/>
          <w:numId w:val="9"/>
        </w:numPr>
        <w:kinsoku/>
        <w:wordWrap/>
        <w:overflowPunct/>
        <w:topLinePunct w:val="0"/>
        <w:bidi w:val="0"/>
        <w:adjustRightInd w:val="0"/>
        <w:snapToGrid w:val="0"/>
        <w:spacing w:line="400" w:lineRule="exact"/>
        <w:ind w:firstLine="420" w:firstLineChars="200"/>
        <w:jc w:val="left"/>
        <w:textAlignment w:val="auto"/>
        <w:rPr>
          <w:rFonts w:hint="eastAsia" w:ascii="Times New Roman" w:hAnsi="Times New Roman" w:eastAsia="宋体" w:cs="宋体"/>
          <w:sz w:val="21"/>
          <w:szCs w:val="21"/>
          <w:highlight w:val="none"/>
          <w:lang w:eastAsia="zh-CN" w:bidi="ar"/>
        </w:rPr>
      </w:pPr>
      <w:r>
        <w:rPr>
          <w:rFonts w:hint="eastAsia" w:ascii="Times New Roman" w:hAnsi="Times New Roman" w:eastAsia="宋体" w:cs="宋体"/>
          <w:sz w:val="21"/>
          <w:szCs w:val="21"/>
          <w:highlight w:val="none"/>
          <w:lang w:eastAsia="zh-CN" w:bidi="ar"/>
        </w:rPr>
        <w:t>《</w:t>
      </w:r>
      <w:r>
        <w:rPr>
          <w:rFonts w:hint="eastAsia" w:ascii="Times New Roman" w:hAnsi="Times New Roman" w:eastAsia="宋体" w:cs="宋体"/>
          <w:sz w:val="21"/>
          <w:szCs w:val="21"/>
          <w:highlight w:val="none"/>
          <w:lang w:val="en-US" w:eastAsia="zh-CN" w:bidi="ar"/>
        </w:rPr>
        <w:t>中华人民共和国固体废物污染环境防治法</w:t>
      </w:r>
      <w:r>
        <w:rPr>
          <w:rFonts w:hint="eastAsia" w:ascii="Times New Roman" w:hAnsi="Times New Roman" w:eastAsia="宋体" w:cs="宋体"/>
          <w:sz w:val="21"/>
          <w:szCs w:val="21"/>
          <w:highlight w:val="none"/>
          <w:lang w:eastAsia="zh-CN" w:bidi="ar"/>
        </w:rPr>
        <w:t>》</w:t>
      </w:r>
    </w:p>
    <w:p w14:paraId="6B2C5484">
      <w:pPr>
        <w:pageBreakBefore w:val="0"/>
        <w:numPr>
          <w:ilvl w:val="0"/>
          <w:numId w:val="9"/>
        </w:numPr>
        <w:kinsoku/>
        <w:wordWrap/>
        <w:overflowPunct/>
        <w:topLinePunct w:val="0"/>
        <w:bidi w:val="0"/>
        <w:adjustRightInd w:val="0"/>
        <w:snapToGrid w:val="0"/>
        <w:spacing w:line="400" w:lineRule="exact"/>
        <w:ind w:firstLine="420" w:firstLineChars="200"/>
        <w:jc w:val="left"/>
        <w:textAlignment w:val="auto"/>
        <w:rPr>
          <w:rFonts w:hint="eastAsia" w:ascii="Times New Roman" w:hAnsi="Times New Roman" w:eastAsia="宋体" w:cs="宋体"/>
          <w:sz w:val="21"/>
          <w:szCs w:val="21"/>
          <w:highlight w:val="none"/>
          <w:lang w:eastAsia="zh-CN" w:bidi="ar"/>
        </w:rPr>
      </w:pPr>
      <w:r>
        <w:rPr>
          <w:rFonts w:hint="eastAsia" w:ascii="Times New Roman" w:hAnsi="Times New Roman" w:eastAsia="宋体" w:cs="宋体"/>
          <w:sz w:val="21"/>
          <w:szCs w:val="21"/>
          <w:highlight w:val="none"/>
          <w:lang w:eastAsia="zh-CN" w:bidi="ar"/>
        </w:rPr>
        <w:t>《</w:t>
      </w:r>
      <w:r>
        <w:rPr>
          <w:rFonts w:hint="eastAsia" w:ascii="Times New Roman" w:hAnsi="Times New Roman" w:eastAsia="宋体" w:cs="宋体"/>
          <w:sz w:val="21"/>
          <w:szCs w:val="21"/>
          <w:highlight w:val="none"/>
          <w:lang w:val="en-US" w:eastAsia="zh-CN" w:bidi="ar"/>
        </w:rPr>
        <w:t>中华人民共和国环境噪声污染防治法</w:t>
      </w:r>
      <w:r>
        <w:rPr>
          <w:rFonts w:hint="eastAsia" w:ascii="Times New Roman" w:hAnsi="Times New Roman" w:eastAsia="宋体" w:cs="宋体"/>
          <w:sz w:val="21"/>
          <w:szCs w:val="21"/>
          <w:highlight w:val="none"/>
          <w:lang w:eastAsia="zh-CN" w:bidi="ar"/>
        </w:rPr>
        <w:t>》</w:t>
      </w:r>
    </w:p>
    <w:p w14:paraId="3516B686">
      <w:pPr>
        <w:pageBreakBefore w:val="0"/>
        <w:numPr>
          <w:ilvl w:val="0"/>
          <w:numId w:val="9"/>
        </w:numPr>
        <w:kinsoku/>
        <w:wordWrap/>
        <w:overflowPunct/>
        <w:topLinePunct w:val="0"/>
        <w:bidi w:val="0"/>
        <w:adjustRightInd w:val="0"/>
        <w:snapToGrid w:val="0"/>
        <w:spacing w:line="400" w:lineRule="exact"/>
        <w:ind w:firstLine="420" w:firstLineChars="200"/>
        <w:jc w:val="left"/>
        <w:textAlignment w:val="auto"/>
        <w:rPr>
          <w:rFonts w:hint="eastAsia" w:ascii="Times New Roman" w:hAnsi="Times New Roman" w:eastAsia="宋体" w:cs="宋体"/>
          <w:sz w:val="21"/>
          <w:szCs w:val="21"/>
          <w:highlight w:val="none"/>
          <w:lang w:val="en-US" w:eastAsia="zh-CN" w:bidi="ar"/>
        </w:rPr>
      </w:pPr>
      <w:r>
        <w:rPr>
          <w:rFonts w:hint="eastAsia" w:ascii="Times New Roman" w:hAnsi="Times New Roman" w:eastAsia="宋体" w:cs="宋体"/>
          <w:sz w:val="21"/>
          <w:szCs w:val="21"/>
          <w:highlight w:val="none"/>
          <w:lang w:bidi="ar"/>
        </w:rPr>
        <w:t>《建筑施工安全检查标准》</w:t>
      </w:r>
      <w:r>
        <w:rPr>
          <w:rFonts w:hint="eastAsia" w:ascii="Times New Roman" w:hAnsi="Times New Roman" w:eastAsia="宋体" w:cs="宋体"/>
          <w:sz w:val="21"/>
          <w:szCs w:val="21"/>
          <w:highlight w:val="none"/>
          <w:lang w:eastAsia="zh-CN" w:bidi="ar"/>
        </w:rPr>
        <w:t>（JGJ59—2011）</w:t>
      </w:r>
    </w:p>
    <w:p w14:paraId="367BD62D">
      <w:pPr>
        <w:pageBreakBefore w:val="0"/>
        <w:numPr>
          <w:ilvl w:val="0"/>
          <w:numId w:val="9"/>
        </w:numPr>
        <w:kinsoku/>
        <w:wordWrap/>
        <w:overflowPunct/>
        <w:topLinePunct w:val="0"/>
        <w:bidi w:val="0"/>
        <w:adjustRightInd w:val="0"/>
        <w:snapToGrid w:val="0"/>
        <w:spacing w:line="400" w:lineRule="exact"/>
        <w:ind w:firstLine="420" w:firstLineChars="200"/>
        <w:jc w:val="left"/>
        <w:textAlignment w:val="auto"/>
        <w:rPr>
          <w:rFonts w:hint="eastAsia" w:ascii="Times New Roman" w:hAnsi="Times New Roman" w:eastAsia="宋体" w:cs="宋体"/>
          <w:sz w:val="21"/>
          <w:szCs w:val="21"/>
          <w:highlight w:val="none"/>
          <w:lang w:val="en-US" w:eastAsia="zh-CN" w:bidi="ar"/>
        </w:rPr>
      </w:pPr>
      <w:r>
        <w:rPr>
          <w:rFonts w:hint="eastAsia" w:ascii="Times New Roman" w:hAnsi="Times New Roman" w:eastAsia="宋体" w:cs="宋体"/>
          <w:sz w:val="21"/>
          <w:szCs w:val="21"/>
          <w:highlight w:val="none"/>
          <w:lang w:eastAsia="zh-CN" w:bidi="ar"/>
        </w:rPr>
        <w:t>《</w:t>
      </w:r>
      <w:r>
        <w:rPr>
          <w:rFonts w:hint="eastAsia" w:ascii="Times New Roman" w:hAnsi="Times New Roman" w:eastAsia="宋体" w:cs="宋体"/>
          <w:sz w:val="21"/>
          <w:szCs w:val="21"/>
          <w:highlight w:val="none"/>
          <w:lang w:bidi="ar"/>
        </w:rPr>
        <w:t>建筑施工现场环境与卫生标准》</w:t>
      </w:r>
      <w:r>
        <w:rPr>
          <w:rFonts w:hint="eastAsia" w:ascii="Times New Roman" w:hAnsi="Times New Roman" w:eastAsia="宋体" w:cs="宋体"/>
          <w:sz w:val="21"/>
          <w:szCs w:val="21"/>
          <w:highlight w:val="none"/>
          <w:lang w:eastAsia="zh-CN" w:bidi="ar"/>
        </w:rPr>
        <w:t>（JGJ146-2013）</w:t>
      </w:r>
    </w:p>
    <w:p w14:paraId="67FDFC5B">
      <w:pPr>
        <w:pageBreakBefore w:val="0"/>
        <w:numPr>
          <w:ilvl w:val="0"/>
          <w:numId w:val="9"/>
        </w:numPr>
        <w:kinsoku/>
        <w:wordWrap/>
        <w:overflowPunct/>
        <w:topLinePunct w:val="0"/>
        <w:bidi w:val="0"/>
        <w:adjustRightInd w:val="0"/>
        <w:snapToGrid w:val="0"/>
        <w:spacing w:line="400" w:lineRule="exact"/>
        <w:ind w:firstLine="420" w:firstLineChars="200"/>
        <w:jc w:val="left"/>
        <w:textAlignment w:val="auto"/>
        <w:rPr>
          <w:rFonts w:hint="eastAsia" w:ascii="Times New Roman" w:hAnsi="Times New Roman" w:eastAsia="宋体" w:cs="宋体"/>
          <w:sz w:val="21"/>
          <w:szCs w:val="21"/>
          <w:highlight w:val="none"/>
          <w:lang w:val="en-US" w:eastAsia="zh-CN" w:bidi="ar"/>
        </w:rPr>
      </w:pPr>
      <w:r>
        <w:rPr>
          <w:rFonts w:hint="eastAsia" w:ascii="Times New Roman" w:hAnsi="Times New Roman" w:eastAsia="宋体" w:cs="宋体"/>
          <w:sz w:val="21"/>
          <w:szCs w:val="21"/>
          <w:highlight w:val="none"/>
          <w:lang w:bidi="ar"/>
        </w:rPr>
        <w:t>《江苏省建筑工地扬尘防治标准》</w:t>
      </w:r>
      <w:r>
        <w:rPr>
          <w:rFonts w:hint="eastAsia" w:ascii="Times New Roman" w:hAnsi="Times New Roman" w:eastAsia="宋体" w:cs="宋体"/>
          <w:sz w:val="21"/>
          <w:szCs w:val="21"/>
          <w:highlight w:val="none"/>
          <w:lang w:eastAsia="zh-CN" w:bidi="ar"/>
        </w:rPr>
        <w:t>（DGJ32/J203-2016）</w:t>
      </w:r>
    </w:p>
    <w:p w14:paraId="1B27A95F">
      <w:pPr>
        <w:pageBreakBefore w:val="0"/>
        <w:numPr>
          <w:ilvl w:val="0"/>
          <w:numId w:val="9"/>
        </w:numPr>
        <w:kinsoku/>
        <w:wordWrap/>
        <w:overflowPunct/>
        <w:topLinePunct w:val="0"/>
        <w:bidi w:val="0"/>
        <w:adjustRightInd w:val="0"/>
        <w:snapToGrid w:val="0"/>
        <w:spacing w:line="400" w:lineRule="exact"/>
        <w:ind w:firstLine="420" w:firstLineChars="200"/>
        <w:jc w:val="left"/>
        <w:textAlignment w:val="auto"/>
        <w:rPr>
          <w:rFonts w:hint="eastAsia" w:ascii="Times New Roman" w:hAnsi="Times New Roman" w:eastAsia="宋体" w:cs="宋体"/>
          <w:sz w:val="21"/>
          <w:szCs w:val="21"/>
          <w:highlight w:val="none"/>
          <w:lang w:val="en-US" w:eastAsia="zh-CN" w:bidi="ar"/>
        </w:rPr>
      </w:pPr>
      <w:r>
        <w:rPr>
          <w:rFonts w:hint="eastAsia" w:ascii="Times New Roman" w:hAnsi="Times New Roman" w:eastAsia="宋体" w:cs="宋体"/>
          <w:sz w:val="21"/>
          <w:szCs w:val="21"/>
          <w:highlight w:val="none"/>
          <w:lang w:eastAsia="zh-CN" w:bidi="ar"/>
        </w:rPr>
        <w:t>《2020年江苏省建筑工地扬尘专项治理工作方案》（苏建质安〔2020〕82号）</w:t>
      </w:r>
    </w:p>
    <w:p w14:paraId="039C6FB8">
      <w:pPr>
        <w:pageBreakBefore w:val="0"/>
        <w:numPr>
          <w:ilvl w:val="0"/>
          <w:numId w:val="9"/>
        </w:numPr>
        <w:kinsoku/>
        <w:wordWrap/>
        <w:overflowPunct/>
        <w:topLinePunct w:val="0"/>
        <w:bidi w:val="0"/>
        <w:adjustRightInd w:val="0"/>
        <w:snapToGrid w:val="0"/>
        <w:spacing w:line="400" w:lineRule="exact"/>
        <w:ind w:firstLine="420" w:firstLineChars="200"/>
        <w:jc w:val="left"/>
        <w:textAlignment w:val="auto"/>
        <w:rPr>
          <w:rFonts w:hint="eastAsia" w:ascii="Times New Roman" w:hAnsi="Times New Roman" w:eastAsia="宋体" w:cs="宋体"/>
          <w:sz w:val="21"/>
          <w:szCs w:val="21"/>
          <w:highlight w:val="none"/>
          <w:lang w:val="en-US" w:eastAsia="zh-CN" w:bidi="ar"/>
        </w:rPr>
      </w:pPr>
      <w:r>
        <w:rPr>
          <w:rFonts w:hint="eastAsia" w:ascii="Times New Roman" w:hAnsi="Times New Roman" w:eastAsia="宋体" w:cs="宋体"/>
          <w:sz w:val="21"/>
          <w:szCs w:val="21"/>
          <w:highlight w:val="none"/>
          <w:lang w:eastAsia="zh-CN" w:bidi="ar"/>
        </w:rPr>
        <w:t>《关于做好连云港市施工围挡设置和管理工作的意见》（连政办发〔</w:t>
      </w:r>
      <w:r>
        <w:rPr>
          <w:rFonts w:hint="eastAsia" w:ascii="Times New Roman" w:hAnsi="Times New Roman" w:eastAsia="宋体" w:cs="宋体"/>
          <w:sz w:val="21"/>
          <w:szCs w:val="21"/>
          <w:highlight w:val="none"/>
          <w:lang w:val="en-US" w:eastAsia="zh-CN" w:bidi="ar"/>
        </w:rPr>
        <w:t>2018</w:t>
      </w:r>
      <w:r>
        <w:rPr>
          <w:rFonts w:hint="eastAsia" w:ascii="Times New Roman" w:hAnsi="Times New Roman" w:eastAsia="宋体" w:cs="宋体"/>
          <w:sz w:val="21"/>
          <w:szCs w:val="21"/>
          <w:highlight w:val="none"/>
          <w:lang w:eastAsia="zh-CN" w:bidi="ar"/>
        </w:rPr>
        <w:t>〕147号）</w:t>
      </w:r>
    </w:p>
    <w:p w14:paraId="6B545954">
      <w:pPr>
        <w:pageBreakBefore w:val="0"/>
        <w:numPr>
          <w:ilvl w:val="0"/>
          <w:numId w:val="9"/>
        </w:numPr>
        <w:kinsoku/>
        <w:wordWrap/>
        <w:overflowPunct/>
        <w:topLinePunct w:val="0"/>
        <w:bidi w:val="0"/>
        <w:adjustRightInd w:val="0"/>
        <w:snapToGrid w:val="0"/>
        <w:spacing w:line="400" w:lineRule="exact"/>
        <w:ind w:firstLine="420" w:firstLineChars="200"/>
        <w:jc w:val="left"/>
        <w:textAlignment w:val="auto"/>
        <w:rPr>
          <w:rFonts w:hint="eastAsia" w:ascii="Times New Roman" w:hAnsi="Times New Roman" w:eastAsia="宋体" w:cs="宋体"/>
          <w:sz w:val="21"/>
          <w:szCs w:val="21"/>
          <w:highlight w:val="none"/>
          <w:lang w:val="en-US" w:eastAsia="zh-CN" w:bidi="ar"/>
        </w:rPr>
      </w:pPr>
      <w:r>
        <w:rPr>
          <w:rFonts w:hint="eastAsia" w:ascii="Times New Roman" w:hAnsi="Times New Roman" w:eastAsia="宋体" w:cs="宋体"/>
          <w:sz w:val="21"/>
          <w:szCs w:val="21"/>
          <w:highlight w:val="none"/>
          <w:lang w:eastAsia="zh-CN" w:bidi="ar"/>
        </w:rPr>
        <w:t>《连云港市城市施工工地扬尘排污费征收管理办法》（试行）</w:t>
      </w:r>
    </w:p>
    <w:p w14:paraId="1F74F0C2">
      <w:pPr>
        <w:pageBreakBefore w:val="0"/>
        <w:numPr>
          <w:ilvl w:val="0"/>
          <w:numId w:val="9"/>
        </w:numPr>
        <w:kinsoku/>
        <w:wordWrap/>
        <w:overflowPunct/>
        <w:topLinePunct w:val="0"/>
        <w:bidi w:val="0"/>
        <w:adjustRightInd w:val="0"/>
        <w:snapToGrid w:val="0"/>
        <w:spacing w:line="400" w:lineRule="exact"/>
        <w:ind w:firstLine="420" w:firstLineChars="200"/>
        <w:jc w:val="left"/>
        <w:textAlignment w:val="auto"/>
        <w:rPr>
          <w:rFonts w:hint="eastAsia" w:ascii="Times New Roman" w:hAnsi="Times New Roman" w:eastAsia="宋体" w:cs="宋体"/>
          <w:sz w:val="21"/>
          <w:szCs w:val="21"/>
          <w:highlight w:val="none"/>
          <w:lang w:val="en-US" w:eastAsia="zh-CN" w:bidi="ar"/>
        </w:rPr>
      </w:pPr>
      <w:r>
        <w:rPr>
          <w:rFonts w:hint="eastAsia" w:ascii="Times New Roman" w:hAnsi="Times New Roman" w:eastAsia="宋体" w:cs="宋体"/>
          <w:sz w:val="21"/>
          <w:szCs w:val="21"/>
          <w:highlight w:val="none"/>
          <w:lang w:bidi="ar"/>
        </w:rPr>
        <w:t>《徐圩新区建筑工地扬尘管控工作方案</w:t>
      </w:r>
      <w:r>
        <w:rPr>
          <w:rFonts w:hint="eastAsia" w:ascii="Times New Roman" w:hAnsi="Times New Roman" w:eastAsia="宋体" w:cs="宋体"/>
          <w:sz w:val="21"/>
          <w:szCs w:val="21"/>
          <w:highlight w:val="none"/>
          <w:lang w:eastAsia="zh-CN" w:bidi="ar"/>
        </w:rPr>
        <w:t>（</w:t>
      </w:r>
      <w:r>
        <w:rPr>
          <w:rFonts w:hint="eastAsia" w:ascii="Times New Roman" w:hAnsi="Times New Roman" w:eastAsia="宋体" w:cs="宋体"/>
          <w:sz w:val="21"/>
          <w:szCs w:val="21"/>
          <w:highlight w:val="none"/>
          <w:lang w:bidi="ar"/>
        </w:rPr>
        <w:t>2020版</w:t>
      </w:r>
      <w:r>
        <w:rPr>
          <w:rFonts w:hint="eastAsia" w:ascii="Times New Roman" w:hAnsi="Times New Roman" w:eastAsia="宋体" w:cs="宋体"/>
          <w:sz w:val="21"/>
          <w:szCs w:val="21"/>
          <w:highlight w:val="none"/>
          <w:lang w:eastAsia="zh-CN" w:bidi="ar"/>
        </w:rPr>
        <w:t>）</w:t>
      </w:r>
      <w:r>
        <w:rPr>
          <w:rFonts w:hint="eastAsia" w:ascii="Times New Roman" w:hAnsi="Times New Roman" w:eastAsia="宋体" w:cs="宋体"/>
          <w:sz w:val="21"/>
          <w:szCs w:val="21"/>
          <w:highlight w:val="none"/>
          <w:lang w:bidi="ar"/>
        </w:rPr>
        <w:t>》</w:t>
      </w:r>
      <w:r>
        <w:rPr>
          <w:rFonts w:hint="eastAsia" w:ascii="Times New Roman" w:hAnsi="Times New Roman" w:eastAsia="宋体" w:cs="宋体"/>
          <w:sz w:val="21"/>
          <w:szCs w:val="21"/>
          <w:highlight w:val="none"/>
          <w:lang w:eastAsia="zh-CN" w:bidi="ar"/>
        </w:rPr>
        <w:t>（示范区建发〔2020〕93号）</w:t>
      </w:r>
    </w:p>
    <w:p w14:paraId="0C8978E6">
      <w:pPr>
        <w:pageBreakBefore w:val="0"/>
        <w:numPr>
          <w:ilvl w:val="0"/>
          <w:numId w:val="9"/>
        </w:numPr>
        <w:kinsoku/>
        <w:wordWrap/>
        <w:overflowPunct/>
        <w:topLinePunct w:val="0"/>
        <w:bidi w:val="0"/>
        <w:adjustRightInd w:val="0"/>
        <w:snapToGrid w:val="0"/>
        <w:spacing w:line="400" w:lineRule="exact"/>
        <w:ind w:firstLine="420" w:firstLineChars="200"/>
        <w:jc w:val="left"/>
        <w:textAlignment w:val="auto"/>
        <w:rPr>
          <w:rFonts w:hint="eastAsia" w:ascii="Times New Roman" w:hAnsi="Times New Roman" w:eastAsia="宋体" w:cs="宋体"/>
          <w:sz w:val="21"/>
          <w:szCs w:val="21"/>
          <w:highlight w:val="none"/>
          <w:lang w:val="en-US" w:eastAsia="zh-CN" w:bidi="ar"/>
        </w:rPr>
      </w:pPr>
      <w:r>
        <w:rPr>
          <w:rFonts w:hint="eastAsia" w:ascii="Times New Roman" w:hAnsi="Times New Roman" w:eastAsia="宋体" w:cs="宋体"/>
          <w:sz w:val="21"/>
          <w:szCs w:val="21"/>
          <w:highlight w:val="none"/>
          <w:lang w:eastAsia="zh-CN" w:bidi="ar"/>
        </w:rPr>
        <w:t>《</w:t>
      </w:r>
      <w:r>
        <w:rPr>
          <w:rFonts w:hint="eastAsia" w:ascii="Times New Roman" w:hAnsi="Times New Roman" w:eastAsia="宋体" w:cs="宋体"/>
          <w:sz w:val="21"/>
          <w:szCs w:val="21"/>
          <w:highlight w:val="none"/>
          <w:lang w:val="en-US" w:eastAsia="zh-CN" w:bidi="ar"/>
        </w:rPr>
        <w:t>徐圩新区建筑垃圾管理办法（试行）</w:t>
      </w:r>
      <w:r>
        <w:rPr>
          <w:rFonts w:hint="eastAsia" w:ascii="Times New Roman" w:hAnsi="Times New Roman" w:eastAsia="宋体" w:cs="宋体"/>
          <w:sz w:val="21"/>
          <w:szCs w:val="21"/>
          <w:highlight w:val="none"/>
          <w:lang w:eastAsia="zh-CN" w:bidi="ar"/>
        </w:rPr>
        <w:t>》（</w:t>
      </w:r>
      <w:r>
        <w:rPr>
          <w:rFonts w:hint="eastAsia" w:ascii="Times New Roman" w:hAnsi="Times New Roman" w:eastAsia="宋体" w:cs="宋体"/>
          <w:sz w:val="21"/>
          <w:szCs w:val="21"/>
          <w:highlight w:val="none"/>
          <w:lang w:val="en-US" w:eastAsia="zh-CN" w:bidi="ar"/>
        </w:rPr>
        <w:t>2021年</w:t>
      </w:r>
      <w:r>
        <w:rPr>
          <w:rFonts w:hint="eastAsia" w:ascii="Times New Roman" w:hAnsi="Times New Roman" w:eastAsia="宋体" w:cs="宋体"/>
          <w:sz w:val="21"/>
          <w:szCs w:val="21"/>
          <w:highlight w:val="none"/>
          <w:lang w:eastAsia="zh-CN" w:bidi="ar"/>
        </w:rPr>
        <w:t>）</w:t>
      </w:r>
    </w:p>
    <w:p w14:paraId="4F1068AF">
      <w:pPr>
        <w:pageBreakBefore w:val="0"/>
        <w:numPr>
          <w:ilvl w:val="0"/>
          <w:numId w:val="8"/>
        </w:numPr>
        <w:kinsoku/>
        <w:wordWrap/>
        <w:overflowPunct/>
        <w:topLinePunct w:val="0"/>
        <w:bidi w:val="0"/>
        <w:adjustRightInd w:val="0"/>
        <w:snapToGrid w:val="0"/>
        <w:spacing w:line="400" w:lineRule="exact"/>
        <w:ind w:firstLine="422" w:firstLineChars="200"/>
        <w:jc w:val="left"/>
        <w:textAlignment w:val="auto"/>
        <w:rPr>
          <w:rFonts w:hint="eastAsia" w:ascii="Times New Roman" w:hAnsi="Times New Roman" w:eastAsia="宋体" w:cs="宋体"/>
          <w:b/>
          <w:sz w:val="21"/>
          <w:szCs w:val="21"/>
          <w:highlight w:val="none"/>
          <w:lang w:val="en-US" w:eastAsia="zh-CN" w:bidi="ar"/>
        </w:rPr>
      </w:pPr>
      <w:r>
        <w:rPr>
          <w:rFonts w:hint="eastAsia" w:ascii="Times New Roman" w:hAnsi="Times New Roman" w:eastAsia="宋体" w:cs="宋体"/>
          <w:b/>
          <w:sz w:val="21"/>
          <w:szCs w:val="21"/>
          <w:highlight w:val="none"/>
          <w:lang w:val="en-US" w:eastAsia="zh-CN" w:bidi="ar"/>
        </w:rPr>
        <w:t>环境保护与扬尘防治管理目标</w:t>
      </w:r>
    </w:p>
    <w:p w14:paraId="2EACBDBC">
      <w:pPr>
        <w:pageBreakBefore w:val="0"/>
        <w:numPr>
          <w:ilvl w:val="0"/>
          <w:numId w:val="10"/>
        </w:numPr>
        <w:kinsoku/>
        <w:wordWrap/>
        <w:overflowPunct/>
        <w:topLinePunct w:val="0"/>
        <w:bidi w:val="0"/>
        <w:adjustRightInd w:val="0"/>
        <w:snapToGrid w:val="0"/>
        <w:spacing w:line="400" w:lineRule="exact"/>
        <w:ind w:firstLine="420" w:firstLineChars="200"/>
        <w:jc w:val="left"/>
        <w:textAlignment w:val="auto"/>
        <w:rPr>
          <w:rFonts w:hint="eastAsia" w:ascii="Times New Roman" w:hAnsi="Times New Roman" w:eastAsia="宋体" w:cs="宋体"/>
          <w:sz w:val="21"/>
          <w:szCs w:val="21"/>
          <w:highlight w:val="none"/>
          <w:lang w:val="en-US" w:eastAsia="zh-CN" w:bidi="ar"/>
        </w:rPr>
      </w:pPr>
      <w:r>
        <w:rPr>
          <w:rFonts w:hint="eastAsia" w:ascii="Times New Roman" w:hAnsi="Times New Roman" w:eastAsia="宋体" w:cs="宋体"/>
          <w:sz w:val="21"/>
          <w:szCs w:val="21"/>
          <w:highlight w:val="none"/>
          <w:lang w:val="en-US" w:eastAsia="zh-CN" w:bidi="ar"/>
        </w:rPr>
        <w:t>不发生环境污染事故、事件。</w:t>
      </w:r>
    </w:p>
    <w:p w14:paraId="0863F091">
      <w:pPr>
        <w:pageBreakBefore w:val="0"/>
        <w:numPr>
          <w:ilvl w:val="0"/>
          <w:numId w:val="10"/>
        </w:numPr>
        <w:kinsoku/>
        <w:wordWrap/>
        <w:overflowPunct/>
        <w:topLinePunct w:val="0"/>
        <w:bidi w:val="0"/>
        <w:adjustRightInd w:val="0"/>
        <w:snapToGrid w:val="0"/>
        <w:spacing w:line="400" w:lineRule="exact"/>
        <w:ind w:firstLine="420" w:firstLineChars="200"/>
        <w:jc w:val="left"/>
        <w:textAlignment w:val="auto"/>
        <w:rPr>
          <w:rFonts w:hint="eastAsia" w:ascii="Times New Roman" w:hAnsi="Times New Roman" w:eastAsia="宋体" w:cs="宋体"/>
          <w:sz w:val="21"/>
          <w:szCs w:val="21"/>
          <w:highlight w:val="none"/>
          <w:lang w:val="en-US" w:eastAsia="zh-CN" w:bidi="ar"/>
        </w:rPr>
      </w:pPr>
      <w:r>
        <w:rPr>
          <w:rFonts w:hint="eastAsia" w:ascii="Times New Roman" w:hAnsi="Times New Roman" w:eastAsia="宋体" w:cs="宋体"/>
          <w:sz w:val="21"/>
          <w:szCs w:val="21"/>
          <w:highlight w:val="none"/>
          <w:lang w:val="en-US" w:eastAsia="zh-CN" w:bidi="ar"/>
        </w:rPr>
        <w:t>不发生与环保、扬尘相关的行政处罚事件。</w:t>
      </w:r>
    </w:p>
    <w:p w14:paraId="672F08EB">
      <w:pPr>
        <w:pageBreakBefore w:val="0"/>
        <w:numPr>
          <w:ilvl w:val="0"/>
          <w:numId w:val="10"/>
        </w:numPr>
        <w:kinsoku/>
        <w:wordWrap/>
        <w:overflowPunct/>
        <w:topLinePunct w:val="0"/>
        <w:bidi w:val="0"/>
        <w:adjustRightInd w:val="0"/>
        <w:snapToGrid w:val="0"/>
        <w:spacing w:line="400" w:lineRule="exact"/>
        <w:ind w:firstLine="420" w:firstLineChars="200"/>
        <w:jc w:val="left"/>
        <w:textAlignment w:val="auto"/>
        <w:rPr>
          <w:rFonts w:hint="eastAsia" w:ascii="Times New Roman" w:hAnsi="Times New Roman" w:eastAsia="宋体" w:cs="宋体"/>
          <w:sz w:val="21"/>
          <w:szCs w:val="21"/>
          <w:highlight w:val="none"/>
          <w:lang w:val="en-US" w:eastAsia="zh-CN" w:bidi="ar"/>
        </w:rPr>
      </w:pPr>
      <w:r>
        <w:rPr>
          <w:rFonts w:hint="eastAsia" w:ascii="Times New Roman" w:hAnsi="Times New Roman" w:eastAsia="宋体" w:cs="宋体"/>
          <w:sz w:val="21"/>
          <w:szCs w:val="21"/>
          <w:highlight w:val="none"/>
          <w:lang w:val="en-US" w:eastAsia="zh-CN" w:bidi="ar"/>
        </w:rPr>
        <w:t>不发生与环保、扬尘相关的社会媒体曝光事件。</w:t>
      </w:r>
    </w:p>
    <w:p w14:paraId="7BA1ED9A">
      <w:pPr>
        <w:pageBreakBefore w:val="0"/>
        <w:numPr>
          <w:ilvl w:val="0"/>
          <w:numId w:val="10"/>
        </w:numPr>
        <w:kinsoku/>
        <w:wordWrap/>
        <w:overflowPunct/>
        <w:topLinePunct w:val="0"/>
        <w:bidi w:val="0"/>
        <w:adjustRightInd w:val="0"/>
        <w:snapToGrid w:val="0"/>
        <w:spacing w:line="400" w:lineRule="exact"/>
        <w:ind w:firstLine="420" w:firstLineChars="200"/>
        <w:jc w:val="left"/>
        <w:textAlignment w:val="auto"/>
        <w:rPr>
          <w:rFonts w:hint="eastAsia" w:ascii="Times New Roman" w:hAnsi="Times New Roman" w:eastAsia="宋体" w:cs="宋体"/>
          <w:sz w:val="21"/>
          <w:szCs w:val="21"/>
          <w:highlight w:val="none"/>
          <w:lang w:val="en-US" w:eastAsia="zh-CN" w:bidi="ar"/>
        </w:rPr>
      </w:pPr>
      <w:r>
        <w:rPr>
          <w:rFonts w:hint="eastAsia" w:ascii="Times New Roman" w:hAnsi="Times New Roman" w:eastAsia="宋体" w:cs="宋体"/>
          <w:sz w:val="21"/>
          <w:szCs w:val="21"/>
          <w:highlight w:val="none"/>
          <w:lang w:val="en-US" w:eastAsia="zh-CN" w:bidi="ar"/>
        </w:rPr>
        <w:t>建筑施工垃圾合法、合规处置。</w:t>
      </w:r>
    </w:p>
    <w:p w14:paraId="43EDD5B1">
      <w:pPr>
        <w:pageBreakBefore w:val="0"/>
        <w:numPr>
          <w:ilvl w:val="0"/>
          <w:numId w:val="10"/>
        </w:numPr>
        <w:kinsoku/>
        <w:wordWrap/>
        <w:overflowPunct/>
        <w:topLinePunct w:val="0"/>
        <w:bidi w:val="0"/>
        <w:adjustRightInd w:val="0"/>
        <w:snapToGrid w:val="0"/>
        <w:spacing w:line="400" w:lineRule="exact"/>
        <w:ind w:firstLine="420" w:firstLineChars="200"/>
        <w:jc w:val="left"/>
        <w:textAlignment w:val="auto"/>
        <w:rPr>
          <w:rFonts w:hint="eastAsia" w:ascii="Times New Roman" w:hAnsi="Times New Roman" w:eastAsia="宋体" w:cs="宋体"/>
          <w:sz w:val="21"/>
          <w:szCs w:val="21"/>
          <w:highlight w:val="none"/>
          <w:lang w:val="en-US" w:eastAsia="zh-CN" w:bidi="ar"/>
        </w:rPr>
      </w:pPr>
      <w:r>
        <w:rPr>
          <w:rFonts w:hint="eastAsia" w:ascii="Times New Roman" w:hAnsi="Times New Roman" w:eastAsia="宋体" w:cs="宋体"/>
          <w:sz w:val="21"/>
          <w:szCs w:val="21"/>
          <w:highlight w:val="none"/>
          <w:lang w:val="en-US" w:eastAsia="zh-CN" w:bidi="ar"/>
        </w:rPr>
        <w:t>危险废物合法、合规处置。</w:t>
      </w:r>
    </w:p>
    <w:p w14:paraId="2244390D">
      <w:pPr>
        <w:pageBreakBefore w:val="0"/>
        <w:numPr>
          <w:ilvl w:val="0"/>
          <w:numId w:val="10"/>
        </w:numPr>
        <w:kinsoku/>
        <w:wordWrap/>
        <w:overflowPunct/>
        <w:topLinePunct w:val="0"/>
        <w:bidi w:val="0"/>
        <w:adjustRightInd w:val="0"/>
        <w:snapToGrid w:val="0"/>
        <w:spacing w:line="400" w:lineRule="exact"/>
        <w:ind w:firstLine="420" w:firstLineChars="200"/>
        <w:jc w:val="left"/>
        <w:textAlignment w:val="auto"/>
        <w:rPr>
          <w:rFonts w:hint="eastAsia" w:ascii="Times New Roman" w:hAnsi="Times New Roman" w:eastAsia="宋体" w:cs="宋体"/>
          <w:sz w:val="21"/>
          <w:szCs w:val="21"/>
          <w:highlight w:val="none"/>
          <w:lang w:val="en-US" w:eastAsia="zh-CN" w:bidi="ar"/>
        </w:rPr>
      </w:pPr>
      <w:r>
        <w:rPr>
          <w:rFonts w:hint="eastAsia" w:ascii="Times New Roman" w:hAnsi="Times New Roman" w:eastAsia="宋体" w:cs="宋体"/>
          <w:sz w:val="21"/>
          <w:szCs w:val="21"/>
          <w:highlight w:val="none"/>
          <w:lang w:val="en-US" w:eastAsia="zh-CN" w:bidi="ar"/>
        </w:rPr>
        <w:t>做到工地周边围挡100%。</w:t>
      </w:r>
    </w:p>
    <w:p w14:paraId="007499A3">
      <w:pPr>
        <w:pageBreakBefore w:val="0"/>
        <w:numPr>
          <w:ilvl w:val="0"/>
          <w:numId w:val="10"/>
        </w:numPr>
        <w:kinsoku/>
        <w:wordWrap/>
        <w:overflowPunct/>
        <w:topLinePunct w:val="0"/>
        <w:bidi w:val="0"/>
        <w:adjustRightInd w:val="0"/>
        <w:snapToGrid w:val="0"/>
        <w:spacing w:line="400" w:lineRule="exact"/>
        <w:ind w:firstLine="420" w:firstLineChars="200"/>
        <w:jc w:val="left"/>
        <w:textAlignment w:val="auto"/>
        <w:rPr>
          <w:rFonts w:hint="eastAsia" w:ascii="Times New Roman" w:hAnsi="Times New Roman" w:eastAsia="宋体" w:cs="宋体"/>
          <w:sz w:val="21"/>
          <w:szCs w:val="21"/>
          <w:highlight w:val="none"/>
          <w:lang w:val="en-US" w:eastAsia="zh-CN" w:bidi="ar"/>
        </w:rPr>
      </w:pPr>
      <w:r>
        <w:rPr>
          <w:rFonts w:hint="eastAsia" w:ascii="Times New Roman" w:hAnsi="Times New Roman" w:eastAsia="宋体" w:cs="宋体"/>
          <w:sz w:val="21"/>
          <w:szCs w:val="21"/>
          <w:highlight w:val="none"/>
          <w:lang w:val="en-US" w:eastAsia="zh-CN" w:bidi="ar"/>
        </w:rPr>
        <w:t>做到物料堆放覆盖100%。</w:t>
      </w:r>
    </w:p>
    <w:p w14:paraId="2EBF166B">
      <w:pPr>
        <w:pageBreakBefore w:val="0"/>
        <w:numPr>
          <w:ilvl w:val="0"/>
          <w:numId w:val="10"/>
        </w:numPr>
        <w:kinsoku/>
        <w:wordWrap/>
        <w:overflowPunct/>
        <w:topLinePunct w:val="0"/>
        <w:bidi w:val="0"/>
        <w:adjustRightInd w:val="0"/>
        <w:snapToGrid w:val="0"/>
        <w:spacing w:line="400" w:lineRule="exact"/>
        <w:ind w:firstLine="420" w:firstLineChars="200"/>
        <w:jc w:val="left"/>
        <w:textAlignment w:val="auto"/>
        <w:rPr>
          <w:rFonts w:hint="eastAsia" w:ascii="Times New Roman" w:hAnsi="Times New Roman" w:eastAsia="宋体" w:cs="宋体"/>
          <w:sz w:val="21"/>
          <w:szCs w:val="21"/>
          <w:highlight w:val="none"/>
          <w:lang w:val="en-US" w:eastAsia="zh-CN" w:bidi="ar"/>
        </w:rPr>
      </w:pPr>
      <w:r>
        <w:rPr>
          <w:rFonts w:hint="eastAsia" w:ascii="Times New Roman" w:hAnsi="Times New Roman" w:eastAsia="宋体" w:cs="宋体"/>
          <w:sz w:val="21"/>
          <w:szCs w:val="21"/>
          <w:highlight w:val="none"/>
          <w:lang w:val="en-US" w:eastAsia="zh-CN" w:bidi="ar"/>
        </w:rPr>
        <w:t>做到土方开挖湿法作业100%。</w:t>
      </w:r>
    </w:p>
    <w:p w14:paraId="46E45B59">
      <w:pPr>
        <w:pageBreakBefore w:val="0"/>
        <w:numPr>
          <w:ilvl w:val="0"/>
          <w:numId w:val="10"/>
        </w:numPr>
        <w:kinsoku/>
        <w:wordWrap/>
        <w:overflowPunct/>
        <w:topLinePunct w:val="0"/>
        <w:bidi w:val="0"/>
        <w:adjustRightInd w:val="0"/>
        <w:snapToGrid w:val="0"/>
        <w:spacing w:line="400" w:lineRule="exact"/>
        <w:ind w:firstLine="420" w:firstLineChars="200"/>
        <w:jc w:val="left"/>
        <w:textAlignment w:val="auto"/>
        <w:rPr>
          <w:rFonts w:hint="eastAsia" w:ascii="Times New Roman" w:hAnsi="Times New Roman" w:eastAsia="宋体" w:cs="宋体"/>
          <w:sz w:val="21"/>
          <w:szCs w:val="21"/>
          <w:highlight w:val="none"/>
          <w:lang w:val="en-US" w:eastAsia="zh-CN" w:bidi="ar"/>
        </w:rPr>
      </w:pPr>
      <w:r>
        <w:rPr>
          <w:rFonts w:hint="eastAsia" w:ascii="Times New Roman" w:hAnsi="Times New Roman" w:eastAsia="宋体" w:cs="宋体"/>
          <w:sz w:val="21"/>
          <w:szCs w:val="21"/>
          <w:highlight w:val="none"/>
          <w:lang w:val="en-US" w:eastAsia="zh-CN" w:bidi="ar"/>
        </w:rPr>
        <w:t>做到施工场内主要路面硬化100%。</w:t>
      </w:r>
    </w:p>
    <w:p w14:paraId="79DB0F92">
      <w:pPr>
        <w:pageBreakBefore w:val="0"/>
        <w:numPr>
          <w:ilvl w:val="0"/>
          <w:numId w:val="10"/>
        </w:numPr>
        <w:kinsoku/>
        <w:wordWrap/>
        <w:overflowPunct/>
        <w:topLinePunct w:val="0"/>
        <w:bidi w:val="0"/>
        <w:adjustRightInd w:val="0"/>
        <w:snapToGrid w:val="0"/>
        <w:spacing w:line="400" w:lineRule="exact"/>
        <w:ind w:firstLine="420" w:firstLineChars="200"/>
        <w:jc w:val="left"/>
        <w:textAlignment w:val="auto"/>
        <w:rPr>
          <w:rFonts w:hint="eastAsia" w:ascii="Times New Roman" w:hAnsi="Times New Roman" w:eastAsia="宋体" w:cs="宋体"/>
          <w:sz w:val="21"/>
          <w:szCs w:val="21"/>
          <w:highlight w:val="none"/>
          <w:lang w:val="en-US" w:eastAsia="zh-CN" w:bidi="ar"/>
        </w:rPr>
      </w:pPr>
      <w:r>
        <w:rPr>
          <w:rFonts w:hint="eastAsia" w:ascii="Times New Roman" w:hAnsi="Times New Roman" w:eastAsia="宋体" w:cs="宋体"/>
          <w:sz w:val="21"/>
          <w:szCs w:val="21"/>
          <w:highlight w:val="none"/>
          <w:lang w:val="en-US" w:eastAsia="zh-CN" w:bidi="ar"/>
        </w:rPr>
        <w:t>做到出入车辆清洗100%。</w:t>
      </w:r>
    </w:p>
    <w:p w14:paraId="20F49D78">
      <w:pPr>
        <w:pageBreakBefore w:val="0"/>
        <w:numPr>
          <w:ilvl w:val="0"/>
          <w:numId w:val="10"/>
        </w:numPr>
        <w:kinsoku/>
        <w:wordWrap/>
        <w:overflowPunct/>
        <w:topLinePunct w:val="0"/>
        <w:bidi w:val="0"/>
        <w:adjustRightInd w:val="0"/>
        <w:snapToGrid w:val="0"/>
        <w:spacing w:line="400" w:lineRule="exact"/>
        <w:ind w:firstLine="420" w:firstLineChars="200"/>
        <w:jc w:val="left"/>
        <w:textAlignment w:val="auto"/>
        <w:rPr>
          <w:rFonts w:hint="eastAsia" w:ascii="Times New Roman" w:hAnsi="Times New Roman" w:eastAsia="宋体" w:cs="宋体"/>
          <w:sz w:val="21"/>
          <w:szCs w:val="21"/>
          <w:highlight w:val="none"/>
          <w:lang w:val="en-US" w:eastAsia="zh-CN" w:bidi="ar"/>
        </w:rPr>
      </w:pPr>
      <w:r>
        <w:rPr>
          <w:rFonts w:hint="eastAsia" w:ascii="Times New Roman" w:hAnsi="Times New Roman" w:eastAsia="宋体" w:cs="宋体"/>
          <w:sz w:val="21"/>
          <w:szCs w:val="21"/>
          <w:highlight w:val="none"/>
          <w:lang w:val="en-US" w:eastAsia="zh-CN" w:bidi="ar"/>
        </w:rPr>
        <w:t>做到渣土车辆密闭运输100%。</w:t>
      </w:r>
    </w:p>
    <w:p w14:paraId="2077AA18">
      <w:pPr>
        <w:pageBreakBefore w:val="0"/>
        <w:numPr>
          <w:ilvl w:val="0"/>
          <w:numId w:val="10"/>
        </w:numPr>
        <w:kinsoku/>
        <w:wordWrap/>
        <w:overflowPunct/>
        <w:topLinePunct w:val="0"/>
        <w:bidi w:val="0"/>
        <w:adjustRightInd w:val="0"/>
        <w:snapToGrid w:val="0"/>
        <w:spacing w:line="400" w:lineRule="exact"/>
        <w:ind w:firstLine="420" w:firstLineChars="200"/>
        <w:jc w:val="left"/>
        <w:textAlignment w:val="auto"/>
        <w:rPr>
          <w:rFonts w:hint="eastAsia" w:ascii="Times New Roman" w:hAnsi="Times New Roman" w:eastAsia="宋体" w:cs="宋体"/>
          <w:sz w:val="21"/>
          <w:szCs w:val="21"/>
          <w:highlight w:val="none"/>
          <w:lang w:val="en-US" w:eastAsia="zh-CN" w:bidi="ar"/>
        </w:rPr>
      </w:pPr>
      <w:r>
        <w:rPr>
          <w:rFonts w:hint="eastAsia" w:ascii="Times New Roman" w:hAnsi="Times New Roman" w:eastAsia="宋体" w:cs="宋体"/>
          <w:sz w:val="21"/>
          <w:szCs w:val="21"/>
          <w:highlight w:val="none"/>
          <w:lang w:val="en-US" w:eastAsia="zh-CN" w:bidi="ar"/>
        </w:rPr>
        <w:t>做到工地喷淋、洒水抑尘设施全覆盖。</w:t>
      </w:r>
    </w:p>
    <w:p w14:paraId="182FD5AD">
      <w:pPr>
        <w:pageBreakBefore w:val="0"/>
        <w:numPr>
          <w:ilvl w:val="0"/>
          <w:numId w:val="10"/>
        </w:numPr>
        <w:kinsoku/>
        <w:wordWrap/>
        <w:overflowPunct/>
        <w:topLinePunct w:val="0"/>
        <w:bidi w:val="0"/>
        <w:adjustRightInd w:val="0"/>
        <w:snapToGrid w:val="0"/>
        <w:spacing w:line="400" w:lineRule="exact"/>
        <w:ind w:firstLine="420" w:firstLineChars="200"/>
        <w:jc w:val="left"/>
        <w:textAlignment w:val="auto"/>
        <w:rPr>
          <w:rFonts w:hint="eastAsia" w:ascii="Times New Roman" w:hAnsi="Times New Roman" w:eastAsia="宋体" w:cs="宋体"/>
          <w:sz w:val="21"/>
          <w:szCs w:val="21"/>
          <w:highlight w:val="none"/>
          <w:lang w:val="en-US" w:eastAsia="zh-CN" w:bidi="ar"/>
        </w:rPr>
      </w:pPr>
      <w:r>
        <w:rPr>
          <w:rFonts w:hint="eastAsia" w:ascii="Times New Roman" w:hAnsi="Times New Roman" w:eastAsia="宋体" w:cs="宋体"/>
          <w:sz w:val="21"/>
          <w:szCs w:val="21"/>
          <w:highlight w:val="none"/>
          <w:lang w:val="en-US" w:eastAsia="zh-CN" w:bidi="ar"/>
        </w:rPr>
        <w:t>做到工地视频监控和扬尘在线监测设备全覆盖。</w:t>
      </w:r>
    </w:p>
    <w:p w14:paraId="1813ED1C">
      <w:pPr>
        <w:pageBreakBefore w:val="0"/>
        <w:numPr>
          <w:ilvl w:val="0"/>
          <w:numId w:val="8"/>
        </w:numPr>
        <w:kinsoku/>
        <w:wordWrap/>
        <w:overflowPunct/>
        <w:topLinePunct w:val="0"/>
        <w:bidi w:val="0"/>
        <w:adjustRightInd w:val="0"/>
        <w:snapToGrid w:val="0"/>
        <w:spacing w:line="400" w:lineRule="exact"/>
        <w:ind w:firstLine="422" w:firstLineChars="200"/>
        <w:jc w:val="left"/>
        <w:textAlignment w:val="auto"/>
        <w:rPr>
          <w:rFonts w:hint="eastAsia" w:ascii="Times New Roman" w:hAnsi="Times New Roman" w:eastAsia="宋体" w:cs="宋体"/>
          <w:b/>
          <w:sz w:val="21"/>
          <w:szCs w:val="21"/>
          <w:highlight w:val="none"/>
          <w:lang w:val="en-US" w:eastAsia="zh-CN" w:bidi="ar"/>
        </w:rPr>
      </w:pPr>
      <w:r>
        <w:rPr>
          <w:rFonts w:hint="eastAsia" w:ascii="Times New Roman" w:hAnsi="Times New Roman" w:eastAsia="宋体" w:cs="宋体"/>
          <w:b/>
          <w:sz w:val="21"/>
          <w:szCs w:val="21"/>
          <w:highlight w:val="none"/>
          <w:lang w:val="en-US" w:eastAsia="zh-CN" w:bidi="ar"/>
        </w:rPr>
        <w:t>乙方职责</w:t>
      </w:r>
    </w:p>
    <w:p w14:paraId="1F890188">
      <w:pPr>
        <w:pageBreakBefore w:val="0"/>
        <w:kinsoku/>
        <w:wordWrap/>
        <w:overflowPunct/>
        <w:topLinePunct w:val="0"/>
        <w:bidi w:val="0"/>
        <w:adjustRightInd w:val="0"/>
        <w:snapToGrid w:val="0"/>
        <w:spacing w:line="400" w:lineRule="exact"/>
        <w:ind w:firstLine="420" w:firstLineChars="200"/>
        <w:jc w:val="left"/>
        <w:textAlignment w:val="auto"/>
        <w:rPr>
          <w:rFonts w:hint="eastAsia" w:ascii="Times New Roman" w:hAnsi="Times New Roman" w:eastAsia="宋体" w:cs="宋体"/>
          <w:sz w:val="21"/>
          <w:szCs w:val="21"/>
          <w:highlight w:val="none"/>
          <w:lang w:bidi="ar"/>
        </w:rPr>
      </w:pPr>
      <w:r>
        <w:rPr>
          <w:rFonts w:hint="eastAsia" w:ascii="Times New Roman" w:hAnsi="Times New Roman" w:eastAsia="宋体" w:cs="宋体"/>
          <w:sz w:val="21"/>
          <w:szCs w:val="21"/>
          <w:highlight w:val="none"/>
          <w:lang w:eastAsia="zh-CN" w:bidi="ar"/>
        </w:rPr>
        <w:t>（</w:t>
      </w:r>
      <w:r>
        <w:rPr>
          <w:rFonts w:hint="eastAsia" w:ascii="Times New Roman" w:hAnsi="Times New Roman" w:eastAsia="宋体" w:cs="宋体"/>
          <w:sz w:val="21"/>
          <w:szCs w:val="21"/>
          <w:highlight w:val="none"/>
          <w:lang w:val="en-US" w:eastAsia="zh-CN" w:bidi="ar"/>
        </w:rPr>
        <w:t>一</w:t>
      </w:r>
      <w:r>
        <w:rPr>
          <w:rFonts w:hint="eastAsia" w:ascii="Times New Roman" w:hAnsi="Times New Roman" w:eastAsia="宋体" w:cs="宋体"/>
          <w:sz w:val="21"/>
          <w:szCs w:val="21"/>
          <w:highlight w:val="none"/>
          <w:lang w:eastAsia="zh-CN" w:bidi="ar"/>
        </w:rPr>
        <w:t>）</w:t>
      </w:r>
      <w:r>
        <w:rPr>
          <w:rFonts w:hint="eastAsia" w:ascii="Times New Roman" w:hAnsi="Times New Roman" w:eastAsia="宋体" w:cs="宋体"/>
          <w:sz w:val="21"/>
          <w:szCs w:val="21"/>
          <w:highlight w:val="none"/>
          <w:lang w:bidi="ar"/>
        </w:rPr>
        <w:t>乙方</w:t>
      </w:r>
      <w:r>
        <w:rPr>
          <w:rFonts w:hint="eastAsia" w:ascii="Times New Roman" w:hAnsi="Times New Roman" w:eastAsia="宋体" w:cs="宋体"/>
          <w:sz w:val="21"/>
          <w:szCs w:val="21"/>
          <w:highlight w:val="none"/>
          <w:lang w:val="en-US" w:eastAsia="zh-CN" w:bidi="ar"/>
        </w:rPr>
        <w:t>在本项目实施过程中</w:t>
      </w:r>
      <w:r>
        <w:rPr>
          <w:rFonts w:hint="eastAsia" w:ascii="Times New Roman" w:hAnsi="Times New Roman" w:eastAsia="宋体" w:cs="宋体"/>
          <w:sz w:val="21"/>
          <w:szCs w:val="21"/>
          <w:highlight w:val="none"/>
          <w:lang w:eastAsia="zh-CN" w:bidi="ar"/>
        </w:rPr>
        <w:t>，</w:t>
      </w:r>
      <w:r>
        <w:rPr>
          <w:rFonts w:hint="eastAsia" w:ascii="Times New Roman" w:hAnsi="Times New Roman" w:eastAsia="宋体" w:cs="宋体"/>
          <w:sz w:val="21"/>
          <w:szCs w:val="21"/>
          <w:highlight w:val="none"/>
          <w:lang w:bidi="ar"/>
        </w:rPr>
        <w:t>均应按</w:t>
      </w:r>
      <w:r>
        <w:rPr>
          <w:rFonts w:hint="eastAsia" w:ascii="Times New Roman" w:hAnsi="Times New Roman" w:eastAsia="宋体" w:cs="宋体"/>
          <w:sz w:val="21"/>
          <w:szCs w:val="21"/>
          <w:highlight w:val="none"/>
          <w:lang w:val="en-US" w:eastAsia="zh-CN" w:bidi="ar"/>
        </w:rPr>
        <w:t>国家、江苏省、连云港市以及徐圩新区</w:t>
      </w:r>
      <w:r>
        <w:rPr>
          <w:rFonts w:hint="eastAsia" w:ascii="Times New Roman" w:hAnsi="Times New Roman" w:eastAsia="宋体" w:cs="宋体"/>
          <w:sz w:val="21"/>
          <w:szCs w:val="21"/>
          <w:highlight w:val="none"/>
          <w:lang w:bidi="ar"/>
        </w:rPr>
        <w:t>相关</w:t>
      </w:r>
      <w:r>
        <w:rPr>
          <w:rFonts w:hint="eastAsia" w:ascii="Times New Roman" w:hAnsi="Times New Roman" w:eastAsia="宋体" w:cs="宋体"/>
          <w:sz w:val="21"/>
          <w:szCs w:val="21"/>
          <w:highlight w:val="none"/>
          <w:lang w:val="en-US" w:eastAsia="zh-CN" w:bidi="ar"/>
        </w:rPr>
        <w:t>标准和</w:t>
      </w:r>
      <w:r>
        <w:rPr>
          <w:rFonts w:hint="eastAsia" w:ascii="Times New Roman" w:hAnsi="Times New Roman" w:eastAsia="宋体" w:cs="宋体"/>
          <w:sz w:val="21"/>
          <w:szCs w:val="21"/>
          <w:highlight w:val="none"/>
          <w:lang w:bidi="ar"/>
        </w:rPr>
        <w:t>要求执行。</w:t>
      </w:r>
    </w:p>
    <w:p w14:paraId="5C7FC319">
      <w:pPr>
        <w:pageBreakBefore w:val="0"/>
        <w:kinsoku/>
        <w:wordWrap/>
        <w:overflowPunct/>
        <w:topLinePunct w:val="0"/>
        <w:bidi w:val="0"/>
        <w:adjustRightInd w:val="0"/>
        <w:snapToGrid w:val="0"/>
        <w:spacing w:line="400" w:lineRule="exact"/>
        <w:ind w:firstLine="420" w:firstLineChars="200"/>
        <w:jc w:val="left"/>
        <w:textAlignment w:val="auto"/>
        <w:rPr>
          <w:rFonts w:hint="eastAsia" w:ascii="Times New Roman" w:hAnsi="Times New Roman" w:eastAsia="宋体" w:cs="宋体"/>
          <w:sz w:val="21"/>
          <w:szCs w:val="21"/>
          <w:highlight w:val="none"/>
          <w:lang w:bidi="ar"/>
        </w:rPr>
      </w:pPr>
      <w:r>
        <w:rPr>
          <w:rFonts w:hint="eastAsia" w:ascii="Times New Roman" w:hAnsi="Times New Roman" w:eastAsia="宋体" w:cs="宋体"/>
          <w:sz w:val="21"/>
          <w:szCs w:val="21"/>
          <w:highlight w:val="none"/>
          <w:lang w:eastAsia="zh-CN" w:bidi="ar"/>
        </w:rPr>
        <w:t>（</w:t>
      </w:r>
      <w:r>
        <w:rPr>
          <w:rFonts w:hint="eastAsia" w:ascii="Times New Roman" w:hAnsi="Times New Roman" w:eastAsia="宋体" w:cs="宋体"/>
          <w:sz w:val="21"/>
          <w:szCs w:val="21"/>
          <w:highlight w:val="none"/>
          <w:lang w:val="en-US" w:eastAsia="zh-CN" w:bidi="ar"/>
        </w:rPr>
        <w:t>二</w:t>
      </w:r>
      <w:r>
        <w:rPr>
          <w:rFonts w:hint="eastAsia" w:ascii="Times New Roman" w:hAnsi="Times New Roman" w:eastAsia="宋体" w:cs="宋体"/>
          <w:sz w:val="21"/>
          <w:szCs w:val="21"/>
          <w:highlight w:val="none"/>
          <w:lang w:eastAsia="zh-CN" w:bidi="ar"/>
        </w:rPr>
        <w:t>）</w:t>
      </w:r>
      <w:r>
        <w:rPr>
          <w:rFonts w:hint="eastAsia" w:ascii="Times New Roman" w:hAnsi="Times New Roman" w:eastAsia="宋体" w:cs="宋体"/>
          <w:sz w:val="21"/>
          <w:szCs w:val="21"/>
          <w:highlight w:val="none"/>
          <w:lang w:val="en-US" w:eastAsia="zh-CN" w:bidi="ar"/>
        </w:rPr>
        <w:t>乙方应</w:t>
      </w:r>
      <w:r>
        <w:rPr>
          <w:rFonts w:hint="eastAsia" w:ascii="Times New Roman" w:hAnsi="Times New Roman" w:eastAsia="宋体" w:cs="宋体"/>
          <w:sz w:val="21"/>
          <w:szCs w:val="21"/>
          <w:highlight w:val="none"/>
          <w:lang w:bidi="ar"/>
        </w:rPr>
        <w:t>加强对分包</w:t>
      </w:r>
      <w:r>
        <w:rPr>
          <w:rFonts w:hint="eastAsia" w:ascii="Times New Roman" w:hAnsi="Times New Roman" w:eastAsia="宋体" w:cs="宋体"/>
          <w:sz w:val="21"/>
          <w:szCs w:val="21"/>
          <w:highlight w:val="none"/>
          <w:lang w:val="en-US" w:eastAsia="zh-CN" w:bidi="ar"/>
        </w:rPr>
        <w:t>单位</w:t>
      </w:r>
      <w:r>
        <w:rPr>
          <w:rFonts w:hint="eastAsia" w:ascii="Times New Roman" w:hAnsi="Times New Roman" w:eastAsia="宋体" w:cs="宋体"/>
          <w:sz w:val="21"/>
          <w:szCs w:val="21"/>
          <w:highlight w:val="none"/>
          <w:lang w:bidi="ar"/>
        </w:rPr>
        <w:t>的管理，负责对施工现场环境保护</w:t>
      </w:r>
      <w:r>
        <w:rPr>
          <w:rFonts w:hint="eastAsia" w:ascii="Times New Roman" w:hAnsi="Times New Roman" w:eastAsia="宋体" w:cs="宋体"/>
          <w:sz w:val="21"/>
          <w:szCs w:val="21"/>
          <w:highlight w:val="none"/>
          <w:lang w:eastAsia="zh-CN" w:bidi="ar"/>
        </w:rPr>
        <w:t>、</w:t>
      </w:r>
      <w:r>
        <w:rPr>
          <w:rFonts w:hint="eastAsia" w:ascii="Times New Roman" w:hAnsi="Times New Roman" w:eastAsia="宋体" w:cs="宋体"/>
          <w:sz w:val="21"/>
          <w:szCs w:val="21"/>
          <w:highlight w:val="none"/>
          <w:lang w:val="en-US" w:eastAsia="zh-CN" w:bidi="ar"/>
        </w:rPr>
        <w:t>扬尘防治</w:t>
      </w:r>
      <w:r>
        <w:rPr>
          <w:rFonts w:hint="eastAsia" w:ascii="Times New Roman" w:hAnsi="Times New Roman" w:eastAsia="宋体" w:cs="宋体"/>
          <w:sz w:val="21"/>
          <w:szCs w:val="21"/>
          <w:highlight w:val="none"/>
          <w:lang w:bidi="ar"/>
        </w:rPr>
        <w:t>进行全面监督、管理，并对施工现场环境保护</w:t>
      </w:r>
      <w:r>
        <w:rPr>
          <w:rFonts w:hint="eastAsia" w:ascii="Times New Roman" w:hAnsi="Times New Roman" w:eastAsia="宋体" w:cs="宋体"/>
          <w:sz w:val="21"/>
          <w:szCs w:val="21"/>
          <w:highlight w:val="none"/>
          <w:lang w:eastAsia="zh-CN" w:bidi="ar"/>
        </w:rPr>
        <w:t>、</w:t>
      </w:r>
      <w:r>
        <w:rPr>
          <w:rFonts w:hint="eastAsia" w:ascii="Times New Roman" w:hAnsi="Times New Roman" w:eastAsia="宋体" w:cs="宋体"/>
          <w:sz w:val="21"/>
          <w:szCs w:val="21"/>
          <w:highlight w:val="none"/>
          <w:lang w:val="en-US" w:eastAsia="zh-CN" w:bidi="ar"/>
        </w:rPr>
        <w:t>扬尘防治</w:t>
      </w:r>
      <w:r>
        <w:rPr>
          <w:rFonts w:hint="eastAsia" w:ascii="Times New Roman" w:hAnsi="Times New Roman" w:eastAsia="宋体" w:cs="宋体"/>
          <w:sz w:val="21"/>
          <w:szCs w:val="21"/>
          <w:highlight w:val="none"/>
          <w:lang w:bidi="ar"/>
        </w:rPr>
        <w:t>工作进行检查和指导。</w:t>
      </w:r>
    </w:p>
    <w:p w14:paraId="30E473DF">
      <w:pPr>
        <w:pageBreakBefore w:val="0"/>
        <w:kinsoku/>
        <w:wordWrap/>
        <w:overflowPunct/>
        <w:topLinePunct w:val="0"/>
        <w:bidi w:val="0"/>
        <w:adjustRightInd w:val="0"/>
        <w:snapToGrid w:val="0"/>
        <w:spacing w:line="400" w:lineRule="exact"/>
        <w:ind w:firstLine="420" w:firstLineChars="200"/>
        <w:jc w:val="both"/>
        <w:textAlignment w:val="auto"/>
        <w:rPr>
          <w:rFonts w:hint="eastAsia" w:ascii="Times New Roman" w:hAnsi="Times New Roman" w:eastAsia="宋体" w:cs="宋体"/>
          <w:spacing w:val="-1"/>
          <w:kern w:val="0"/>
          <w:sz w:val="21"/>
          <w:szCs w:val="21"/>
          <w:highlight w:val="none"/>
          <w:lang w:bidi="ar"/>
        </w:rPr>
      </w:pPr>
      <w:r>
        <w:rPr>
          <w:rFonts w:hint="eastAsia" w:ascii="Times New Roman" w:hAnsi="Times New Roman" w:eastAsia="宋体" w:cs="宋体"/>
          <w:sz w:val="21"/>
          <w:szCs w:val="21"/>
          <w:highlight w:val="none"/>
          <w:lang w:eastAsia="zh-CN" w:bidi="ar"/>
        </w:rPr>
        <w:t>（</w:t>
      </w:r>
      <w:r>
        <w:rPr>
          <w:rFonts w:hint="eastAsia" w:ascii="Times New Roman" w:hAnsi="Times New Roman" w:eastAsia="宋体" w:cs="宋体"/>
          <w:sz w:val="21"/>
          <w:szCs w:val="21"/>
          <w:highlight w:val="none"/>
          <w:lang w:val="en-US" w:eastAsia="zh-CN" w:bidi="ar"/>
        </w:rPr>
        <w:t>二</w:t>
      </w:r>
      <w:r>
        <w:rPr>
          <w:rFonts w:hint="eastAsia" w:ascii="Times New Roman" w:hAnsi="Times New Roman" w:eastAsia="宋体" w:cs="宋体"/>
          <w:sz w:val="21"/>
          <w:szCs w:val="21"/>
          <w:highlight w:val="none"/>
          <w:lang w:eastAsia="zh-CN" w:bidi="ar"/>
        </w:rPr>
        <w:t>）</w:t>
      </w:r>
      <w:r>
        <w:rPr>
          <w:rFonts w:hint="eastAsia" w:ascii="Times New Roman" w:hAnsi="Times New Roman" w:eastAsia="宋体" w:cs="宋体"/>
          <w:spacing w:val="-1"/>
          <w:kern w:val="0"/>
          <w:sz w:val="21"/>
          <w:szCs w:val="21"/>
          <w:highlight w:val="none"/>
          <w:lang w:bidi="ar"/>
        </w:rPr>
        <w:t>乙方对</w:t>
      </w:r>
      <w:r>
        <w:rPr>
          <w:rFonts w:hint="eastAsia" w:ascii="Times New Roman" w:hAnsi="Times New Roman" w:eastAsia="宋体" w:cs="宋体"/>
          <w:spacing w:val="-1"/>
          <w:kern w:val="0"/>
          <w:sz w:val="21"/>
          <w:szCs w:val="21"/>
          <w:highlight w:val="none"/>
          <w:lang w:val="en-US" w:eastAsia="zh-CN" w:bidi="ar"/>
        </w:rPr>
        <w:t>本</w:t>
      </w:r>
      <w:r>
        <w:rPr>
          <w:rFonts w:hint="eastAsia" w:ascii="Times New Roman" w:hAnsi="Times New Roman" w:eastAsia="宋体" w:cs="宋体"/>
          <w:spacing w:val="-1"/>
          <w:kern w:val="0"/>
          <w:sz w:val="21"/>
          <w:szCs w:val="21"/>
          <w:highlight w:val="none"/>
          <w:lang w:bidi="ar"/>
        </w:rPr>
        <w:t>项目</w:t>
      </w:r>
      <w:r>
        <w:rPr>
          <w:rFonts w:hint="eastAsia" w:ascii="Times New Roman" w:hAnsi="Times New Roman" w:eastAsia="宋体" w:cs="宋体"/>
          <w:spacing w:val="-1"/>
          <w:kern w:val="0"/>
          <w:sz w:val="21"/>
          <w:szCs w:val="21"/>
          <w:highlight w:val="none"/>
          <w:lang w:val="en-US" w:eastAsia="zh-CN" w:bidi="ar"/>
        </w:rPr>
        <w:t>环境保护、</w:t>
      </w:r>
      <w:r>
        <w:rPr>
          <w:rFonts w:hint="eastAsia" w:ascii="Times New Roman" w:hAnsi="Times New Roman" w:eastAsia="宋体" w:cs="宋体"/>
          <w:spacing w:val="-1"/>
          <w:kern w:val="0"/>
          <w:sz w:val="21"/>
          <w:szCs w:val="21"/>
          <w:highlight w:val="none"/>
          <w:lang w:bidi="ar"/>
        </w:rPr>
        <w:t>扬尘</w:t>
      </w:r>
      <w:r>
        <w:rPr>
          <w:rFonts w:hint="eastAsia" w:ascii="Times New Roman" w:hAnsi="Times New Roman" w:eastAsia="宋体" w:cs="宋体"/>
          <w:spacing w:val="-1"/>
          <w:kern w:val="0"/>
          <w:sz w:val="21"/>
          <w:szCs w:val="21"/>
          <w:highlight w:val="none"/>
          <w:lang w:val="en-US" w:eastAsia="zh-CN" w:bidi="ar"/>
        </w:rPr>
        <w:t>防治</w:t>
      </w:r>
      <w:r>
        <w:rPr>
          <w:rFonts w:hint="eastAsia" w:ascii="Times New Roman" w:hAnsi="Times New Roman" w:eastAsia="宋体" w:cs="宋体"/>
          <w:spacing w:val="-1"/>
          <w:kern w:val="0"/>
          <w:sz w:val="21"/>
          <w:szCs w:val="21"/>
          <w:highlight w:val="none"/>
          <w:lang w:bidi="ar"/>
        </w:rPr>
        <w:t>负直接责任</w:t>
      </w:r>
      <w:r>
        <w:rPr>
          <w:rFonts w:hint="eastAsia" w:ascii="Times New Roman" w:hAnsi="Times New Roman" w:eastAsia="宋体" w:cs="宋体"/>
          <w:spacing w:val="-1"/>
          <w:kern w:val="0"/>
          <w:sz w:val="21"/>
          <w:szCs w:val="21"/>
          <w:highlight w:val="none"/>
          <w:lang w:eastAsia="zh-CN" w:bidi="ar"/>
        </w:rPr>
        <w:t>，</w:t>
      </w:r>
      <w:r>
        <w:rPr>
          <w:rFonts w:hint="eastAsia" w:ascii="Times New Roman" w:hAnsi="Times New Roman" w:eastAsia="宋体" w:cs="宋体"/>
          <w:spacing w:val="-1"/>
          <w:kern w:val="0"/>
          <w:sz w:val="21"/>
          <w:szCs w:val="21"/>
          <w:highlight w:val="none"/>
          <w:lang w:val="en-US" w:eastAsia="zh-CN" w:bidi="ar"/>
        </w:rPr>
        <w:t>应</w:t>
      </w:r>
      <w:r>
        <w:rPr>
          <w:rFonts w:hint="eastAsia" w:ascii="Times New Roman" w:hAnsi="Times New Roman" w:eastAsia="宋体" w:cs="宋体"/>
          <w:spacing w:val="-1"/>
          <w:kern w:val="0"/>
          <w:sz w:val="21"/>
          <w:szCs w:val="21"/>
          <w:highlight w:val="none"/>
          <w:lang w:bidi="ar"/>
        </w:rPr>
        <w:t>落实专人具体负责管理工作</w:t>
      </w:r>
      <w:r>
        <w:rPr>
          <w:rFonts w:hint="eastAsia" w:ascii="Times New Roman" w:hAnsi="Times New Roman" w:eastAsia="宋体" w:cs="宋体"/>
          <w:spacing w:val="-1"/>
          <w:kern w:val="0"/>
          <w:sz w:val="21"/>
          <w:szCs w:val="21"/>
          <w:highlight w:val="none"/>
          <w:lang w:eastAsia="zh-CN" w:bidi="ar"/>
        </w:rPr>
        <w:t>，</w:t>
      </w:r>
      <w:r>
        <w:rPr>
          <w:rFonts w:hint="eastAsia" w:ascii="Times New Roman" w:hAnsi="Times New Roman" w:eastAsia="宋体" w:cs="宋体"/>
          <w:spacing w:val="-1"/>
          <w:kern w:val="0"/>
          <w:sz w:val="21"/>
          <w:szCs w:val="21"/>
          <w:highlight w:val="none"/>
          <w:lang w:val="en-US" w:eastAsia="zh-CN" w:bidi="ar"/>
        </w:rPr>
        <w:t>并</w:t>
      </w:r>
      <w:r>
        <w:rPr>
          <w:rFonts w:hint="eastAsia" w:ascii="Times New Roman" w:hAnsi="Times New Roman" w:eastAsia="宋体" w:cs="宋体"/>
          <w:spacing w:val="-1"/>
          <w:kern w:val="0"/>
          <w:sz w:val="21"/>
          <w:szCs w:val="21"/>
          <w:highlight w:val="none"/>
          <w:lang w:bidi="ar"/>
        </w:rPr>
        <w:t>履行日常</w:t>
      </w:r>
      <w:r>
        <w:rPr>
          <w:rFonts w:hint="eastAsia" w:ascii="Times New Roman" w:hAnsi="Times New Roman" w:eastAsia="宋体" w:cs="宋体"/>
          <w:spacing w:val="-1"/>
          <w:kern w:val="0"/>
          <w:sz w:val="21"/>
          <w:szCs w:val="21"/>
          <w:highlight w:val="none"/>
          <w:lang w:val="en-US" w:eastAsia="zh-CN" w:bidi="ar"/>
        </w:rPr>
        <w:t>环境保护、</w:t>
      </w:r>
      <w:r>
        <w:rPr>
          <w:rFonts w:hint="eastAsia" w:ascii="Times New Roman" w:hAnsi="Times New Roman" w:eastAsia="宋体" w:cs="宋体"/>
          <w:spacing w:val="-1"/>
          <w:kern w:val="0"/>
          <w:sz w:val="21"/>
          <w:szCs w:val="21"/>
          <w:highlight w:val="none"/>
          <w:lang w:bidi="ar"/>
        </w:rPr>
        <w:t>扬尘</w:t>
      </w:r>
      <w:r>
        <w:rPr>
          <w:rFonts w:hint="eastAsia" w:ascii="Times New Roman" w:hAnsi="Times New Roman" w:eastAsia="宋体" w:cs="宋体"/>
          <w:spacing w:val="-1"/>
          <w:kern w:val="0"/>
          <w:sz w:val="21"/>
          <w:szCs w:val="21"/>
          <w:highlight w:val="none"/>
          <w:lang w:val="en-US" w:eastAsia="zh-CN" w:bidi="ar"/>
        </w:rPr>
        <w:t>防治</w:t>
      </w:r>
      <w:r>
        <w:rPr>
          <w:rFonts w:hint="eastAsia" w:ascii="Times New Roman" w:hAnsi="Times New Roman" w:eastAsia="宋体" w:cs="宋体"/>
          <w:spacing w:val="-1"/>
          <w:kern w:val="0"/>
          <w:sz w:val="21"/>
          <w:szCs w:val="21"/>
          <w:highlight w:val="none"/>
          <w:lang w:bidi="ar"/>
        </w:rPr>
        <w:t>工作职责，建立相应的责任制度和作业记录台帐。</w:t>
      </w:r>
    </w:p>
    <w:p w14:paraId="13D41928">
      <w:pPr>
        <w:pageBreakBefore w:val="0"/>
        <w:kinsoku/>
        <w:wordWrap/>
        <w:overflowPunct/>
        <w:topLinePunct w:val="0"/>
        <w:bidi w:val="0"/>
        <w:adjustRightInd w:val="0"/>
        <w:snapToGrid w:val="0"/>
        <w:spacing w:line="400" w:lineRule="exact"/>
        <w:ind w:firstLine="416" w:firstLineChars="200"/>
        <w:jc w:val="both"/>
        <w:textAlignment w:val="auto"/>
        <w:rPr>
          <w:rFonts w:hint="eastAsia" w:ascii="Times New Roman" w:hAnsi="Times New Roman" w:eastAsia="宋体" w:cs="宋体"/>
          <w:spacing w:val="-1"/>
          <w:kern w:val="0"/>
          <w:sz w:val="21"/>
          <w:szCs w:val="21"/>
          <w:highlight w:val="none"/>
          <w:lang w:val="en-US" w:eastAsia="zh-CN" w:bidi="ar"/>
        </w:rPr>
      </w:pPr>
      <w:r>
        <w:rPr>
          <w:rFonts w:hint="eastAsia" w:ascii="Times New Roman" w:hAnsi="Times New Roman" w:eastAsia="宋体" w:cs="宋体"/>
          <w:spacing w:val="-1"/>
          <w:kern w:val="0"/>
          <w:sz w:val="21"/>
          <w:szCs w:val="21"/>
          <w:highlight w:val="none"/>
          <w:lang w:val="en-US" w:eastAsia="zh-CN" w:bidi="ar"/>
        </w:rPr>
        <w:t>（三）乙方应做到</w:t>
      </w:r>
      <w:r>
        <w:rPr>
          <w:rFonts w:hint="eastAsia" w:ascii="Times New Roman" w:hAnsi="Times New Roman" w:eastAsia="宋体" w:cs="宋体"/>
          <w:spacing w:val="-1"/>
          <w:kern w:val="0"/>
          <w:sz w:val="21"/>
          <w:szCs w:val="21"/>
          <w:highlight w:val="none"/>
          <w:lang w:bidi="ar"/>
        </w:rPr>
        <w:t>建筑垃圾、生活垃圾分类存放，并应及时清理。</w:t>
      </w:r>
      <w:r>
        <w:rPr>
          <w:rFonts w:hint="eastAsia" w:ascii="Times New Roman" w:hAnsi="Times New Roman" w:eastAsia="宋体" w:cs="宋体"/>
          <w:spacing w:val="-1"/>
          <w:kern w:val="0"/>
          <w:sz w:val="21"/>
          <w:szCs w:val="21"/>
          <w:highlight w:val="none"/>
          <w:lang w:eastAsia="zh-CN" w:bidi="ar"/>
        </w:rPr>
        <w:t>建筑垃圾或渣土运输前，必须选定有资质的建筑垃圾或渣土运输公司并签订合同，</w:t>
      </w:r>
      <w:r>
        <w:rPr>
          <w:rFonts w:hint="eastAsia" w:ascii="Times New Roman" w:hAnsi="Times New Roman" w:eastAsia="宋体" w:cs="宋体"/>
          <w:spacing w:val="-1"/>
          <w:kern w:val="0"/>
          <w:sz w:val="21"/>
          <w:szCs w:val="21"/>
          <w:highlight w:val="none"/>
          <w:lang w:val="en-US" w:eastAsia="zh-CN" w:bidi="ar"/>
        </w:rPr>
        <w:t>同时</w:t>
      </w:r>
      <w:r>
        <w:rPr>
          <w:rFonts w:hint="eastAsia" w:ascii="Times New Roman" w:hAnsi="Times New Roman" w:eastAsia="宋体" w:cs="宋体"/>
          <w:spacing w:val="-1"/>
          <w:kern w:val="0"/>
          <w:sz w:val="21"/>
          <w:szCs w:val="21"/>
          <w:highlight w:val="none"/>
          <w:lang w:eastAsia="zh-CN" w:bidi="ar"/>
        </w:rPr>
        <w:t>在合同中明确防治扬尘污染条款。</w:t>
      </w:r>
    </w:p>
    <w:p w14:paraId="773B3F6F">
      <w:pPr>
        <w:pageBreakBefore w:val="0"/>
        <w:kinsoku/>
        <w:wordWrap/>
        <w:overflowPunct/>
        <w:topLinePunct w:val="0"/>
        <w:bidi w:val="0"/>
        <w:adjustRightInd w:val="0"/>
        <w:snapToGrid w:val="0"/>
        <w:spacing w:line="400" w:lineRule="exact"/>
        <w:ind w:firstLine="416" w:firstLineChars="200"/>
        <w:jc w:val="both"/>
        <w:textAlignment w:val="auto"/>
        <w:rPr>
          <w:rFonts w:hint="eastAsia" w:ascii="Times New Roman" w:hAnsi="Times New Roman" w:eastAsia="宋体" w:cs="宋体"/>
          <w:spacing w:val="-1"/>
          <w:kern w:val="0"/>
          <w:sz w:val="21"/>
          <w:szCs w:val="21"/>
          <w:highlight w:val="none"/>
          <w:lang w:eastAsia="zh-CN" w:bidi="ar"/>
        </w:rPr>
      </w:pPr>
      <w:r>
        <w:rPr>
          <w:rFonts w:hint="eastAsia" w:ascii="Times New Roman" w:hAnsi="Times New Roman" w:eastAsia="宋体" w:cs="宋体"/>
          <w:spacing w:val="-1"/>
          <w:kern w:val="0"/>
          <w:sz w:val="21"/>
          <w:szCs w:val="21"/>
          <w:highlight w:val="none"/>
          <w:lang w:eastAsia="zh-CN" w:bidi="ar"/>
        </w:rPr>
        <w:t>（</w:t>
      </w:r>
      <w:r>
        <w:rPr>
          <w:rFonts w:hint="eastAsia" w:ascii="Times New Roman" w:hAnsi="Times New Roman" w:eastAsia="宋体" w:cs="宋体"/>
          <w:spacing w:val="-1"/>
          <w:kern w:val="0"/>
          <w:sz w:val="21"/>
          <w:szCs w:val="21"/>
          <w:highlight w:val="none"/>
          <w:lang w:val="en-US" w:eastAsia="zh-CN" w:bidi="ar"/>
        </w:rPr>
        <w:t>四</w:t>
      </w:r>
      <w:r>
        <w:rPr>
          <w:rFonts w:hint="eastAsia" w:ascii="Times New Roman" w:hAnsi="Times New Roman" w:eastAsia="宋体" w:cs="宋体"/>
          <w:spacing w:val="-1"/>
          <w:kern w:val="0"/>
          <w:sz w:val="21"/>
          <w:szCs w:val="21"/>
          <w:highlight w:val="none"/>
          <w:lang w:eastAsia="zh-CN" w:bidi="ar"/>
        </w:rPr>
        <w:t>）</w:t>
      </w:r>
      <w:r>
        <w:rPr>
          <w:rFonts w:hint="eastAsia" w:ascii="Times New Roman" w:hAnsi="Times New Roman" w:eastAsia="宋体" w:cs="宋体"/>
          <w:spacing w:val="-1"/>
          <w:kern w:val="0"/>
          <w:sz w:val="21"/>
          <w:szCs w:val="21"/>
          <w:highlight w:val="none"/>
          <w:lang w:val="en-US" w:eastAsia="zh-CN" w:bidi="ar"/>
        </w:rPr>
        <w:t>乙方</w:t>
      </w:r>
      <w:r>
        <w:rPr>
          <w:rFonts w:hint="eastAsia" w:ascii="Times New Roman" w:hAnsi="Times New Roman" w:eastAsia="宋体" w:cs="宋体"/>
          <w:spacing w:val="-1"/>
          <w:kern w:val="0"/>
          <w:sz w:val="21"/>
          <w:szCs w:val="21"/>
          <w:highlight w:val="none"/>
          <w:lang w:eastAsia="zh-CN" w:bidi="ar"/>
        </w:rPr>
        <w:t>存储和使用</w:t>
      </w:r>
      <w:r>
        <w:rPr>
          <w:rFonts w:hint="eastAsia" w:ascii="Times New Roman" w:hAnsi="Times New Roman" w:eastAsia="宋体" w:cs="宋体"/>
          <w:spacing w:val="-1"/>
          <w:kern w:val="0"/>
          <w:sz w:val="21"/>
          <w:szCs w:val="21"/>
          <w:highlight w:val="none"/>
          <w:lang w:val="en-US" w:eastAsia="zh-CN" w:bidi="ar"/>
        </w:rPr>
        <w:t>的</w:t>
      </w:r>
      <w:r>
        <w:rPr>
          <w:rFonts w:hint="eastAsia" w:ascii="Times New Roman" w:hAnsi="Times New Roman" w:eastAsia="宋体" w:cs="宋体"/>
          <w:spacing w:val="-1"/>
          <w:kern w:val="0"/>
          <w:sz w:val="21"/>
          <w:szCs w:val="21"/>
          <w:highlight w:val="none"/>
          <w:lang w:eastAsia="zh-CN" w:bidi="ar"/>
        </w:rPr>
        <w:t>油料应有防止污染土壤、水体和跑、冒、滴、漏措施。食堂污水应有隔油池，定期掏油。</w:t>
      </w:r>
    </w:p>
    <w:p w14:paraId="4AD25CB9">
      <w:pPr>
        <w:pageBreakBefore w:val="0"/>
        <w:kinsoku/>
        <w:wordWrap/>
        <w:overflowPunct/>
        <w:topLinePunct w:val="0"/>
        <w:bidi w:val="0"/>
        <w:adjustRightInd w:val="0"/>
        <w:snapToGrid w:val="0"/>
        <w:spacing w:line="400" w:lineRule="exact"/>
        <w:ind w:firstLine="416" w:firstLineChars="200"/>
        <w:jc w:val="both"/>
        <w:textAlignment w:val="auto"/>
        <w:rPr>
          <w:rFonts w:hint="eastAsia" w:ascii="Times New Roman" w:hAnsi="Times New Roman" w:eastAsia="宋体" w:cs="宋体"/>
          <w:spacing w:val="-1"/>
          <w:kern w:val="0"/>
          <w:sz w:val="21"/>
          <w:szCs w:val="21"/>
          <w:highlight w:val="none"/>
          <w:lang w:eastAsia="zh-CN" w:bidi="ar"/>
        </w:rPr>
      </w:pPr>
      <w:r>
        <w:rPr>
          <w:rFonts w:hint="eastAsia" w:ascii="Times New Roman" w:hAnsi="Times New Roman" w:eastAsia="宋体" w:cs="宋体"/>
          <w:spacing w:val="-1"/>
          <w:kern w:val="0"/>
          <w:sz w:val="21"/>
          <w:szCs w:val="21"/>
          <w:highlight w:val="none"/>
          <w:lang w:eastAsia="zh-CN" w:bidi="ar"/>
        </w:rPr>
        <w:t>（</w:t>
      </w:r>
      <w:r>
        <w:rPr>
          <w:rFonts w:hint="eastAsia" w:ascii="Times New Roman" w:hAnsi="Times New Roman" w:eastAsia="宋体" w:cs="宋体"/>
          <w:spacing w:val="-1"/>
          <w:kern w:val="0"/>
          <w:sz w:val="21"/>
          <w:szCs w:val="21"/>
          <w:highlight w:val="none"/>
          <w:lang w:val="en-US" w:eastAsia="zh-CN" w:bidi="ar"/>
        </w:rPr>
        <w:t>五</w:t>
      </w:r>
      <w:r>
        <w:rPr>
          <w:rFonts w:hint="eastAsia" w:ascii="Times New Roman" w:hAnsi="Times New Roman" w:eastAsia="宋体" w:cs="宋体"/>
          <w:spacing w:val="-1"/>
          <w:kern w:val="0"/>
          <w:sz w:val="21"/>
          <w:szCs w:val="21"/>
          <w:highlight w:val="none"/>
          <w:lang w:eastAsia="zh-CN" w:bidi="ar"/>
        </w:rPr>
        <w:t>）</w:t>
      </w:r>
      <w:r>
        <w:rPr>
          <w:rFonts w:hint="eastAsia" w:ascii="Times New Roman" w:hAnsi="Times New Roman" w:eastAsia="宋体" w:cs="宋体"/>
          <w:spacing w:val="-1"/>
          <w:kern w:val="0"/>
          <w:sz w:val="21"/>
          <w:szCs w:val="21"/>
          <w:highlight w:val="none"/>
          <w:lang w:val="en-US" w:eastAsia="zh-CN" w:bidi="ar"/>
        </w:rPr>
        <w:t>乙方应</w:t>
      </w:r>
      <w:r>
        <w:rPr>
          <w:rFonts w:hint="eastAsia" w:ascii="Times New Roman" w:hAnsi="Times New Roman" w:eastAsia="宋体" w:cs="宋体"/>
          <w:spacing w:val="-1"/>
          <w:kern w:val="0"/>
          <w:sz w:val="21"/>
          <w:szCs w:val="21"/>
          <w:highlight w:val="none"/>
          <w:lang w:eastAsia="zh-CN" w:bidi="ar"/>
        </w:rPr>
        <w:t>严格控制施工噪音排放，不影响社区、单位办公、居民休息。施工现场强噪声机具应采取有效封闭措施，人为活动噪声</w:t>
      </w:r>
      <w:r>
        <w:rPr>
          <w:rFonts w:hint="eastAsia" w:ascii="Times New Roman" w:hAnsi="Times New Roman" w:eastAsia="宋体" w:cs="宋体"/>
          <w:spacing w:val="-1"/>
          <w:kern w:val="0"/>
          <w:sz w:val="21"/>
          <w:szCs w:val="21"/>
          <w:highlight w:val="none"/>
          <w:lang w:val="en-US" w:eastAsia="zh-CN" w:bidi="ar"/>
        </w:rPr>
        <w:t>应制定有效</w:t>
      </w:r>
      <w:r>
        <w:rPr>
          <w:rFonts w:hint="eastAsia" w:ascii="Times New Roman" w:hAnsi="Times New Roman" w:eastAsia="宋体" w:cs="宋体"/>
          <w:spacing w:val="-1"/>
          <w:kern w:val="0"/>
          <w:sz w:val="21"/>
          <w:szCs w:val="21"/>
          <w:highlight w:val="none"/>
          <w:lang w:eastAsia="zh-CN" w:bidi="ar"/>
        </w:rPr>
        <w:t>控制措施。</w:t>
      </w:r>
    </w:p>
    <w:p w14:paraId="2406A8B1">
      <w:pPr>
        <w:pageBreakBefore w:val="0"/>
        <w:kinsoku/>
        <w:wordWrap/>
        <w:overflowPunct/>
        <w:topLinePunct w:val="0"/>
        <w:bidi w:val="0"/>
        <w:adjustRightInd w:val="0"/>
        <w:snapToGrid w:val="0"/>
        <w:spacing w:line="400" w:lineRule="exact"/>
        <w:ind w:firstLine="416" w:firstLineChars="200"/>
        <w:jc w:val="both"/>
        <w:textAlignment w:val="auto"/>
        <w:rPr>
          <w:rFonts w:hint="eastAsia" w:ascii="Times New Roman" w:hAnsi="Times New Roman" w:eastAsia="宋体" w:cs="宋体"/>
          <w:spacing w:val="-1"/>
          <w:kern w:val="0"/>
          <w:sz w:val="21"/>
          <w:szCs w:val="21"/>
          <w:highlight w:val="none"/>
          <w:lang w:eastAsia="zh-CN" w:bidi="ar"/>
        </w:rPr>
      </w:pPr>
      <w:r>
        <w:rPr>
          <w:rFonts w:hint="eastAsia" w:ascii="Times New Roman" w:hAnsi="Times New Roman" w:eastAsia="宋体" w:cs="宋体"/>
          <w:spacing w:val="-1"/>
          <w:kern w:val="0"/>
          <w:sz w:val="21"/>
          <w:szCs w:val="21"/>
          <w:highlight w:val="none"/>
          <w:lang w:eastAsia="zh-CN" w:bidi="ar"/>
        </w:rPr>
        <w:t>（</w:t>
      </w:r>
      <w:r>
        <w:rPr>
          <w:rFonts w:hint="eastAsia" w:ascii="Times New Roman" w:hAnsi="Times New Roman" w:eastAsia="宋体" w:cs="宋体"/>
          <w:spacing w:val="-1"/>
          <w:kern w:val="0"/>
          <w:sz w:val="21"/>
          <w:szCs w:val="21"/>
          <w:highlight w:val="none"/>
          <w:lang w:val="en-US" w:eastAsia="zh-CN" w:bidi="ar"/>
        </w:rPr>
        <w:t>六</w:t>
      </w:r>
      <w:r>
        <w:rPr>
          <w:rFonts w:hint="eastAsia" w:ascii="Times New Roman" w:hAnsi="Times New Roman" w:eastAsia="宋体" w:cs="宋体"/>
          <w:spacing w:val="-1"/>
          <w:kern w:val="0"/>
          <w:sz w:val="21"/>
          <w:szCs w:val="21"/>
          <w:highlight w:val="none"/>
          <w:lang w:eastAsia="zh-CN" w:bidi="ar"/>
        </w:rPr>
        <w:t>）</w:t>
      </w:r>
      <w:r>
        <w:rPr>
          <w:rFonts w:hint="eastAsia" w:ascii="Times New Roman" w:hAnsi="Times New Roman" w:eastAsia="宋体" w:cs="宋体"/>
          <w:spacing w:val="-1"/>
          <w:kern w:val="0"/>
          <w:sz w:val="21"/>
          <w:szCs w:val="21"/>
          <w:highlight w:val="none"/>
          <w:lang w:val="en-US" w:eastAsia="zh-CN" w:bidi="ar"/>
        </w:rPr>
        <w:t>乙方在本工程项目</w:t>
      </w:r>
      <w:r>
        <w:rPr>
          <w:rFonts w:hint="eastAsia" w:ascii="Times New Roman" w:hAnsi="Times New Roman" w:eastAsia="宋体" w:cs="宋体"/>
          <w:spacing w:val="-1"/>
          <w:kern w:val="0"/>
          <w:sz w:val="21"/>
          <w:szCs w:val="21"/>
          <w:highlight w:val="none"/>
          <w:lang w:eastAsia="zh-CN" w:bidi="ar"/>
        </w:rPr>
        <w:t>不</w:t>
      </w:r>
      <w:r>
        <w:rPr>
          <w:rFonts w:hint="eastAsia" w:ascii="Times New Roman" w:hAnsi="Times New Roman" w:eastAsia="宋体" w:cs="宋体"/>
          <w:spacing w:val="-1"/>
          <w:kern w:val="0"/>
          <w:sz w:val="21"/>
          <w:szCs w:val="21"/>
          <w:highlight w:val="none"/>
          <w:lang w:val="en-US" w:eastAsia="zh-CN" w:bidi="ar"/>
        </w:rPr>
        <w:t>得</w:t>
      </w:r>
      <w:r>
        <w:rPr>
          <w:rFonts w:hint="eastAsia" w:ascii="Times New Roman" w:hAnsi="Times New Roman" w:eastAsia="宋体" w:cs="宋体"/>
          <w:spacing w:val="-1"/>
          <w:kern w:val="0"/>
          <w:sz w:val="21"/>
          <w:szCs w:val="21"/>
          <w:highlight w:val="none"/>
          <w:lang w:eastAsia="zh-CN" w:bidi="ar"/>
        </w:rPr>
        <w:t>使用国家、地方明令禁止或对社会环境产生重大影响的设施设备。</w:t>
      </w:r>
      <w:r>
        <w:rPr>
          <w:rFonts w:hint="eastAsia" w:ascii="Times New Roman" w:hAnsi="Times New Roman" w:eastAsia="宋体" w:cs="宋体"/>
          <w:spacing w:val="-1"/>
          <w:kern w:val="0"/>
          <w:sz w:val="21"/>
          <w:szCs w:val="21"/>
          <w:highlight w:val="none"/>
          <w:lang w:val="en-US" w:eastAsia="zh-CN" w:bidi="ar"/>
        </w:rPr>
        <w:t>保证柴油货车或非道路移动机械等机械设备尾气达标排放。</w:t>
      </w:r>
      <w:r>
        <w:rPr>
          <w:rFonts w:hint="eastAsia" w:ascii="Times New Roman" w:hAnsi="Times New Roman" w:eastAsia="宋体" w:cs="宋体"/>
          <w:spacing w:val="-1"/>
          <w:kern w:val="0"/>
          <w:sz w:val="21"/>
          <w:szCs w:val="21"/>
          <w:highlight w:val="none"/>
          <w:lang w:eastAsia="zh-CN" w:bidi="ar"/>
        </w:rPr>
        <w:t>所有自备工具、材料等环境影响特性均须符合环境环卫要求。</w:t>
      </w:r>
    </w:p>
    <w:p w14:paraId="37319876">
      <w:pPr>
        <w:pageBreakBefore w:val="0"/>
        <w:kinsoku/>
        <w:wordWrap/>
        <w:overflowPunct/>
        <w:topLinePunct w:val="0"/>
        <w:bidi w:val="0"/>
        <w:adjustRightInd w:val="0"/>
        <w:snapToGrid w:val="0"/>
        <w:spacing w:line="400" w:lineRule="exact"/>
        <w:ind w:firstLine="416" w:firstLineChars="200"/>
        <w:jc w:val="both"/>
        <w:textAlignment w:val="auto"/>
        <w:rPr>
          <w:rFonts w:hint="eastAsia" w:ascii="Times New Roman" w:hAnsi="Times New Roman" w:eastAsia="宋体" w:cs="宋体"/>
          <w:spacing w:val="-1"/>
          <w:kern w:val="0"/>
          <w:sz w:val="21"/>
          <w:szCs w:val="21"/>
          <w:highlight w:val="none"/>
          <w:lang w:eastAsia="zh-CN" w:bidi="ar"/>
        </w:rPr>
      </w:pPr>
      <w:r>
        <w:rPr>
          <w:rFonts w:hint="eastAsia" w:ascii="Times New Roman" w:hAnsi="Times New Roman" w:eastAsia="宋体" w:cs="宋体"/>
          <w:spacing w:val="-1"/>
          <w:kern w:val="0"/>
          <w:sz w:val="21"/>
          <w:szCs w:val="21"/>
          <w:highlight w:val="none"/>
          <w:lang w:eastAsia="zh-CN" w:bidi="ar"/>
        </w:rPr>
        <w:t>（</w:t>
      </w:r>
      <w:r>
        <w:rPr>
          <w:rFonts w:hint="eastAsia" w:ascii="Times New Roman" w:hAnsi="Times New Roman" w:eastAsia="宋体" w:cs="宋体"/>
          <w:spacing w:val="-1"/>
          <w:kern w:val="0"/>
          <w:sz w:val="21"/>
          <w:szCs w:val="21"/>
          <w:highlight w:val="none"/>
          <w:lang w:val="en-US" w:eastAsia="zh-CN" w:bidi="ar"/>
        </w:rPr>
        <w:t>七</w:t>
      </w:r>
      <w:r>
        <w:rPr>
          <w:rFonts w:hint="eastAsia" w:ascii="Times New Roman" w:hAnsi="Times New Roman" w:eastAsia="宋体" w:cs="宋体"/>
          <w:spacing w:val="-1"/>
          <w:kern w:val="0"/>
          <w:sz w:val="21"/>
          <w:szCs w:val="21"/>
          <w:highlight w:val="none"/>
          <w:lang w:eastAsia="zh-CN" w:bidi="ar"/>
        </w:rPr>
        <w:t>）</w:t>
      </w:r>
      <w:r>
        <w:rPr>
          <w:rFonts w:hint="eastAsia" w:ascii="Times New Roman" w:hAnsi="Times New Roman" w:eastAsia="宋体" w:cs="宋体"/>
          <w:spacing w:val="-1"/>
          <w:kern w:val="0"/>
          <w:sz w:val="21"/>
          <w:szCs w:val="21"/>
          <w:highlight w:val="none"/>
          <w:lang w:val="en-US" w:eastAsia="zh-CN" w:bidi="ar"/>
        </w:rPr>
        <w:t>乙方应</w:t>
      </w:r>
      <w:r>
        <w:rPr>
          <w:rFonts w:hint="eastAsia" w:ascii="Times New Roman" w:hAnsi="Times New Roman" w:eastAsia="宋体" w:cs="宋体"/>
          <w:spacing w:val="-1"/>
          <w:kern w:val="0"/>
          <w:sz w:val="21"/>
          <w:szCs w:val="21"/>
          <w:highlight w:val="none"/>
          <w:lang w:eastAsia="zh-CN" w:bidi="ar"/>
        </w:rPr>
        <w:t>对</w:t>
      </w:r>
      <w:r>
        <w:rPr>
          <w:rFonts w:hint="eastAsia" w:ascii="Times New Roman" w:hAnsi="Times New Roman" w:eastAsia="宋体" w:cs="宋体"/>
          <w:spacing w:val="-1"/>
          <w:kern w:val="0"/>
          <w:sz w:val="21"/>
          <w:szCs w:val="21"/>
          <w:highlight w:val="none"/>
          <w:lang w:val="en-US" w:eastAsia="zh-CN" w:bidi="ar"/>
        </w:rPr>
        <w:t>突发</w:t>
      </w:r>
      <w:r>
        <w:rPr>
          <w:rFonts w:hint="eastAsia" w:ascii="Times New Roman" w:hAnsi="Times New Roman" w:eastAsia="宋体" w:cs="宋体"/>
          <w:spacing w:val="-1"/>
          <w:kern w:val="0"/>
          <w:sz w:val="21"/>
          <w:szCs w:val="21"/>
          <w:highlight w:val="none"/>
          <w:lang w:eastAsia="zh-CN" w:bidi="ar"/>
        </w:rPr>
        <w:t>的环境</w:t>
      </w:r>
      <w:r>
        <w:rPr>
          <w:rFonts w:hint="eastAsia" w:ascii="Times New Roman" w:hAnsi="Times New Roman" w:eastAsia="宋体" w:cs="宋体"/>
          <w:spacing w:val="-1"/>
          <w:kern w:val="0"/>
          <w:sz w:val="21"/>
          <w:szCs w:val="21"/>
          <w:highlight w:val="none"/>
          <w:lang w:val="en-US" w:eastAsia="zh-CN" w:bidi="ar"/>
        </w:rPr>
        <w:t>保护</w:t>
      </w:r>
      <w:r>
        <w:rPr>
          <w:rFonts w:hint="eastAsia" w:ascii="Times New Roman" w:hAnsi="Times New Roman" w:eastAsia="宋体" w:cs="宋体"/>
          <w:spacing w:val="-1"/>
          <w:kern w:val="0"/>
          <w:sz w:val="21"/>
          <w:szCs w:val="21"/>
          <w:highlight w:val="none"/>
          <w:lang w:eastAsia="zh-CN" w:bidi="ar"/>
        </w:rPr>
        <w:t>事故、</w:t>
      </w:r>
      <w:r>
        <w:rPr>
          <w:rFonts w:hint="eastAsia" w:ascii="Times New Roman" w:hAnsi="Times New Roman" w:eastAsia="宋体" w:cs="宋体"/>
          <w:spacing w:val="-1"/>
          <w:kern w:val="0"/>
          <w:sz w:val="21"/>
          <w:szCs w:val="21"/>
          <w:highlight w:val="none"/>
          <w:lang w:val="en-US" w:eastAsia="zh-CN" w:bidi="ar"/>
        </w:rPr>
        <w:t>事件</w:t>
      </w:r>
      <w:r>
        <w:rPr>
          <w:rFonts w:hint="eastAsia" w:ascii="Times New Roman" w:hAnsi="Times New Roman" w:eastAsia="宋体" w:cs="宋体"/>
          <w:spacing w:val="-1"/>
          <w:kern w:val="0"/>
          <w:sz w:val="21"/>
          <w:szCs w:val="21"/>
          <w:highlight w:val="none"/>
          <w:lang w:eastAsia="zh-CN" w:bidi="ar"/>
        </w:rPr>
        <w:t>应按照规定逐级上报，并</w:t>
      </w:r>
      <w:r>
        <w:rPr>
          <w:rFonts w:hint="eastAsia" w:ascii="Times New Roman" w:hAnsi="Times New Roman" w:eastAsia="宋体" w:cs="宋体"/>
          <w:spacing w:val="-1"/>
          <w:kern w:val="0"/>
          <w:sz w:val="21"/>
          <w:szCs w:val="21"/>
          <w:highlight w:val="none"/>
          <w:lang w:val="en-US" w:eastAsia="zh-CN" w:bidi="ar"/>
        </w:rPr>
        <w:t>负责应急</w:t>
      </w:r>
      <w:r>
        <w:rPr>
          <w:rFonts w:hint="eastAsia" w:ascii="Times New Roman" w:hAnsi="Times New Roman" w:eastAsia="宋体" w:cs="宋体"/>
          <w:spacing w:val="-1"/>
          <w:kern w:val="0"/>
          <w:sz w:val="21"/>
          <w:szCs w:val="21"/>
          <w:highlight w:val="none"/>
          <w:lang w:eastAsia="zh-CN" w:bidi="ar"/>
        </w:rPr>
        <w:t>处置。</w:t>
      </w:r>
    </w:p>
    <w:p w14:paraId="08E36AEF">
      <w:pPr>
        <w:pageBreakBefore w:val="0"/>
        <w:kinsoku/>
        <w:wordWrap/>
        <w:overflowPunct/>
        <w:topLinePunct w:val="0"/>
        <w:bidi w:val="0"/>
        <w:adjustRightInd w:val="0"/>
        <w:snapToGrid w:val="0"/>
        <w:spacing w:line="400" w:lineRule="exact"/>
        <w:ind w:firstLine="416" w:firstLineChars="200"/>
        <w:jc w:val="both"/>
        <w:textAlignment w:val="auto"/>
        <w:rPr>
          <w:rFonts w:hint="eastAsia" w:ascii="Times New Roman" w:hAnsi="Times New Roman" w:eastAsia="宋体" w:cs="宋体"/>
          <w:spacing w:val="-1"/>
          <w:kern w:val="0"/>
          <w:sz w:val="21"/>
          <w:szCs w:val="21"/>
          <w:highlight w:val="none"/>
          <w:lang w:val="en-US" w:eastAsia="zh-CN" w:bidi="ar"/>
        </w:rPr>
      </w:pPr>
      <w:r>
        <w:rPr>
          <w:rFonts w:hint="eastAsia" w:ascii="Times New Roman" w:hAnsi="Times New Roman" w:eastAsia="宋体" w:cs="宋体"/>
          <w:spacing w:val="-1"/>
          <w:kern w:val="0"/>
          <w:sz w:val="21"/>
          <w:szCs w:val="21"/>
          <w:highlight w:val="none"/>
          <w:lang w:eastAsia="zh-CN" w:bidi="ar"/>
        </w:rPr>
        <w:t>（</w:t>
      </w:r>
      <w:r>
        <w:rPr>
          <w:rFonts w:hint="eastAsia" w:ascii="Times New Roman" w:hAnsi="Times New Roman" w:eastAsia="宋体" w:cs="宋体"/>
          <w:spacing w:val="-1"/>
          <w:kern w:val="0"/>
          <w:sz w:val="21"/>
          <w:szCs w:val="21"/>
          <w:highlight w:val="none"/>
          <w:lang w:val="en-US" w:eastAsia="zh-CN" w:bidi="ar"/>
        </w:rPr>
        <w:t>八</w:t>
      </w:r>
      <w:r>
        <w:rPr>
          <w:rFonts w:hint="eastAsia" w:ascii="Times New Roman" w:hAnsi="Times New Roman" w:eastAsia="宋体" w:cs="宋体"/>
          <w:spacing w:val="-1"/>
          <w:kern w:val="0"/>
          <w:sz w:val="21"/>
          <w:szCs w:val="21"/>
          <w:highlight w:val="none"/>
          <w:lang w:eastAsia="zh-CN" w:bidi="ar"/>
        </w:rPr>
        <w:t>）</w:t>
      </w:r>
      <w:r>
        <w:rPr>
          <w:rFonts w:hint="eastAsia" w:ascii="Times New Roman" w:hAnsi="Times New Roman" w:eastAsia="宋体" w:cs="宋体"/>
          <w:spacing w:val="-1"/>
          <w:kern w:val="0"/>
          <w:sz w:val="21"/>
          <w:szCs w:val="21"/>
          <w:highlight w:val="none"/>
          <w:lang w:val="en-US" w:eastAsia="zh-CN" w:bidi="ar"/>
        </w:rPr>
        <w:t>乙方</w:t>
      </w:r>
      <w:r>
        <w:rPr>
          <w:rFonts w:hint="eastAsia" w:ascii="Times New Roman" w:hAnsi="Times New Roman" w:eastAsia="宋体" w:cs="宋体"/>
          <w:spacing w:val="-1"/>
          <w:kern w:val="0"/>
          <w:sz w:val="21"/>
          <w:szCs w:val="21"/>
          <w:highlight w:val="none"/>
          <w:lang w:eastAsia="zh-CN" w:bidi="ar"/>
        </w:rPr>
        <w:t>应做到</w:t>
      </w:r>
      <w:r>
        <w:rPr>
          <w:rFonts w:hint="eastAsia" w:ascii="Times New Roman" w:hAnsi="Times New Roman" w:eastAsia="宋体" w:cs="宋体"/>
          <w:spacing w:val="-1"/>
          <w:kern w:val="0"/>
          <w:sz w:val="21"/>
          <w:szCs w:val="21"/>
          <w:highlight w:val="none"/>
          <w:lang w:val="en-US" w:eastAsia="zh-CN" w:bidi="ar"/>
        </w:rPr>
        <w:t>扬尘防治</w:t>
      </w:r>
      <w:r>
        <w:rPr>
          <w:rFonts w:hint="eastAsia" w:ascii="Times New Roman" w:hAnsi="Times New Roman" w:eastAsia="宋体" w:cs="宋体"/>
          <w:spacing w:val="-1"/>
          <w:kern w:val="0"/>
          <w:sz w:val="21"/>
          <w:szCs w:val="21"/>
          <w:highlight w:val="none"/>
          <w:lang w:eastAsia="zh-CN" w:bidi="ar"/>
        </w:rPr>
        <w:t>“六个百分之百”，</w:t>
      </w:r>
      <w:r>
        <w:rPr>
          <w:rFonts w:hint="eastAsia" w:ascii="Times New Roman" w:hAnsi="Times New Roman" w:eastAsia="宋体" w:cs="宋体"/>
          <w:spacing w:val="-1"/>
          <w:kern w:val="0"/>
          <w:sz w:val="21"/>
          <w:szCs w:val="21"/>
          <w:highlight w:val="none"/>
          <w:lang w:val="en-US" w:eastAsia="zh-CN" w:bidi="ar"/>
        </w:rPr>
        <w:t>即：</w:t>
      </w:r>
      <w:r>
        <w:rPr>
          <w:rFonts w:hint="eastAsia" w:ascii="Times New Roman" w:hAnsi="Times New Roman" w:eastAsia="宋体" w:cs="宋体"/>
          <w:spacing w:val="-1"/>
          <w:kern w:val="0"/>
          <w:sz w:val="21"/>
          <w:szCs w:val="21"/>
          <w:highlight w:val="none"/>
          <w:lang w:eastAsia="zh-CN" w:bidi="ar"/>
        </w:rPr>
        <w:t>工地周边围挡、物料堆放覆盖、土方开挖湿法作业、主要道路硬化、出入车辆清洗、渣土车辆密闭运输，</w:t>
      </w:r>
      <w:r>
        <w:rPr>
          <w:rFonts w:hint="eastAsia" w:ascii="Times New Roman" w:hAnsi="Times New Roman" w:eastAsia="宋体" w:cs="宋体"/>
          <w:spacing w:val="-1"/>
          <w:kern w:val="0"/>
          <w:sz w:val="21"/>
          <w:szCs w:val="21"/>
          <w:highlight w:val="none"/>
          <w:lang w:val="en-US" w:eastAsia="zh-CN" w:bidi="ar"/>
        </w:rPr>
        <w:t>并满足</w:t>
      </w:r>
      <w:r>
        <w:rPr>
          <w:rFonts w:hint="eastAsia" w:ascii="Times New Roman" w:hAnsi="Times New Roman" w:eastAsia="宋体" w:cs="宋体"/>
          <w:sz w:val="21"/>
          <w:szCs w:val="21"/>
          <w:highlight w:val="none"/>
          <w:lang w:eastAsia="zh-CN" w:bidi="ar"/>
        </w:rPr>
        <w:t>《关于做好连云港市施工围挡设置和管理工作的意见》（连政办发〔</w:t>
      </w:r>
      <w:r>
        <w:rPr>
          <w:rFonts w:hint="eastAsia" w:ascii="Times New Roman" w:hAnsi="Times New Roman" w:eastAsia="宋体" w:cs="宋体"/>
          <w:sz w:val="21"/>
          <w:szCs w:val="21"/>
          <w:highlight w:val="none"/>
          <w:lang w:val="en-US" w:eastAsia="zh-CN" w:bidi="ar"/>
        </w:rPr>
        <w:t>2018</w:t>
      </w:r>
      <w:r>
        <w:rPr>
          <w:rFonts w:hint="eastAsia" w:ascii="Times New Roman" w:hAnsi="Times New Roman" w:eastAsia="宋体" w:cs="宋体"/>
          <w:sz w:val="21"/>
          <w:szCs w:val="21"/>
          <w:highlight w:val="none"/>
          <w:lang w:eastAsia="zh-CN" w:bidi="ar"/>
        </w:rPr>
        <w:t>〕147号）、</w:t>
      </w:r>
      <w:r>
        <w:rPr>
          <w:rFonts w:hint="eastAsia" w:ascii="Times New Roman" w:hAnsi="Times New Roman" w:eastAsia="宋体" w:cs="宋体"/>
          <w:sz w:val="21"/>
          <w:szCs w:val="21"/>
          <w:highlight w:val="none"/>
          <w:lang w:bidi="ar"/>
        </w:rPr>
        <w:t>《徐圩新区建筑工地扬尘管控工作方案</w:t>
      </w:r>
      <w:r>
        <w:rPr>
          <w:rFonts w:hint="eastAsia" w:ascii="Times New Roman" w:hAnsi="Times New Roman" w:eastAsia="宋体" w:cs="宋体"/>
          <w:sz w:val="21"/>
          <w:szCs w:val="21"/>
          <w:highlight w:val="none"/>
          <w:lang w:eastAsia="zh-CN" w:bidi="ar"/>
        </w:rPr>
        <w:t>（</w:t>
      </w:r>
      <w:r>
        <w:rPr>
          <w:rFonts w:hint="eastAsia" w:ascii="Times New Roman" w:hAnsi="Times New Roman" w:eastAsia="宋体" w:cs="宋体"/>
          <w:sz w:val="21"/>
          <w:szCs w:val="21"/>
          <w:highlight w:val="none"/>
          <w:lang w:bidi="ar"/>
        </w:rPr>
        <w:t>2020版</w:t>
      </w:r>
      <w:r>
        <w:rPr>
          <w:rFonts w:hint="eastAsia" w:ascii="Times New Roman" w:hAnsi="Times New Roman" w:eastAsia="宋体" w:cs="宋体"/>
          <w:sz w:val="21"/>
          <w:szCs w:val="21"/>
          <w:highlight w:val="none"/>
          <w:lang w:eastAsia="zh-CN" w:bidi="ar"/>
        </w:rPr>
        <w:t>）</w:t>
      </w:r>
      <w:r>
        <w:rPr>
          <w:rFonts w:hint="eastAsia" w:ascii="Times New Roman" w:hAnsi="Times New Roman" w:eastAsia="宋体" w:cs="宋体"/>
          <w:sz w:val="21"/>
          <w:szCs w:val="21"/>
          <w:highlight w:val="none"/>
          <w:lang w:bidi="ar"/>
        </w:rPr>
        <w:t>》</w:t>
      </w:r>
      <w:r>
        <w:rPr>
          <w:rFonts w:hint="eastAsia" w:ascii="Times New Roman" w:hAnsi="Times New Roman" w:eastAsia="宋体" w:cs="宋体"/>
          <w:sz w:val="21"/>
          <w:szCs w:val="21"/>
          <w:highlight w:val="none"/>
          <w:lang w:eastAsia="zh-CN" w:bidi="ar"/>
        </w:rPr>
        <w:t>（示范区建发〔2020〕93号）</w:t>
      </w:r>
      <w:r>
        <w:rPr>
          <w:rFonts w:hint="eastAsia" w:ascii="Times New Roman" w:hAnsi="Times New Roman" w:eastAsia="宋体" w:cs="宋体"/>
          <w:sz w:val="21"/>
          <w:szCs w:val="21"/>
          <w:highlight w:val="none"/>
          <w:lang w:val="en-US" w:eastAsia="zh-CN" w:bidi="ar"/>
        </w:rPr>
        <w:t>相关要求。</w:t>
      </w:r>
    </w:p>
    <w:p w14:paraId="67D8DFBD">
      <w:pPr>
        <w:pageBreakBefore w:val="0"/>
        <w:kinsoku/>
        <w:wordWrap/>
        <w:overflowPunct/>
        <w:topLinePunct w:val="0"/>
        <w:bidi w:val="0"/>
        <w:adjustRightInd w:val="0"/>
        <w:snapToGrid w:val="0"/>
        <w:spacing w:line="400" w:lineRule="exact"/>
        <w:ind w:firstLine="416" w:firstLineChars="200"/>
        <w:jc w:val="both"/>
        <w:textAlignment w:val="auto"/>
        <w:rPr>
          <w:rFonts w:hint="eastAsia" w:ascii="Times New Roman" w:hAnsi="Times New Roman" w:eastAsia="宋体" w:cs="宋体"/>
          <w:spacing w:val="-1"/>
          <w:kern w:val="0"/>
          <w:sz w:val="21"/>
          <w:szCs w:val="21"/>
          <w:highlight w:val="none"/>
          <w:lang w:eastAsia="zh-CN" w:bidi="ar"/>
        </w:rPr>
      </w:pPr>
      <w:r>
        <w:rPr>
          <w:rFonts w:hint="eastAsia" w:ascii="Times New Roman" w:hAnsi="Times New Roman" w:eastAsia="宋体" w:cs="宋体"/>
          <w:spacing w:val="-1"/>
          <w:kern w:val="0"/>
          <w:sz w:val="21"/>
          <w:szCs w:val="21"/>
          <w:highlight w:val="none"/>
          <w:lang w:eastAsia="zh-CN" w:bidi="ar"/>
        </w:rPr>
        <w:t>（</w:t>
      </w:r>
      <w:r>
        <w:rPr>
          <w:rFonts w:hint="eastAsia" w:ascii="Times New Roman" w:hAnsi="Times New Roman" w:eastAsia="宋体" w:cs="宋体"/>
          <w:spacing w:val="-1"/>
          <w:kern w:val="0"/>
          <w:sz w:val="21"/>
          <w:szCs w:val="21"/>
          <w:highlight w:val="none"/>
          <w:lang w:val="en-US" w:eastAsia="zh-CN" w:bidi="ar"/>
        </w:rPr>
        <w:t>九</w:t>
      </w:r>
      <w:r>
        <w:rPr>
          <w:rFonts w:hint="eastAsia" w:ascii="Times New Roman" w:hAnsi="Times New Roman" w:eastAsia="宋体" w:cs="宋体"/>
          <w:spacing w:val="-1"/>
          <w:kern w:val="0"/>
          <w:sz w:val="21"/>
          <w:szCs w:val="21"/>
          <w:highlight w:val="none"/>
          <w:lang w:eastAsia="zh-CN" w:bidi="ar"/>
        </w:rPr>
        <w:t>）</w:t>
      </w:r>
      <w:r>
        <w:rPr>
          <w:rFonts w:hint="eastAsia" w:ascii="Times New Roman" w:hAnsi="Times New Roman" w:eastAsia="宋体" w:cs="宋体"/>
          <w:spacing w:val="-1"/>
          <w:kern w:val="0"/>
          <w:sz w:val="21"/>
          <w:szCs w:val="21"/>
          <w:highlight w:val="none"/>
          <w:lang w:val="en-US" w:eastAsia="zh-CN" w:bidi="ar"/>
        </w:rPr>
        <w:t>乙方应在施工过程当中应落实</w:t>
      </w:r>
      <w:r>
        <w:rPr>
          <w:rFonts w:hint="eastAsia" w:ascii="Times New Roman" w:hAnsi="Times New Roman" w:eastAsia="宋体" w:cs="宋体"/>
          <w:spacing w:val="-1"/>
          <w:kern w:val="0"/>
          <w:sz w:val="21"/>
          <w:szCs w:val="21"/>
          <w:highlight w:val="none"/>
          <w:lang w:eastAsia="zh-CN" w:bidi="ar"/>
        </w:rPr>
        <w:t>工地喷淋、洒水抑尘设施全覆盖</w:t>
      </w:r>
      <w:r>
        <w:rPr>
          <w:rFonts w:hint="eastAsia" w:ascii="Times New Roman" w:hAnsi="Times New Roman" w:eastAsia="宋体" w:cs="宋体"/>
          <w:spacing w:val="-1"/>
          <w:kern w:val="0"/>
          <w:sz w:val="21"/>
          <w:szCs w:val="21"/>
          <w:highlight w:val="none"/>
          <w:lang w:val="en-US" w:eastAsia="zh-CN" w:bidi="ar"/>
        </w:rPr>
        <w:t>等措施</w:t>
      </w:r>
      <w:r>
        <w:rPr>
          <w:rFonts w:hint="eastAsia" w:ascii="Times New Roman" w:hAnsi="Times New Roman" w:eastAsia="宋体" w:cs="宋体"/>
          <w:spacing w:val="-1"/>
          <w:kern w:val="0"/>
          <w:sz w:val="21"/>
          <w:szCs w:val="21"/>
          <w:highlight w:val="none"/>
          <w:lang w:eastAsia="zh-CN" w:bidi="ar"/>
        </w:rPr>
        <w:t>，</w:t>
      </w:r>
      <w:r>
        <w:rPr>
          <w:rFonts w:hint="eastAsia" w:ascii="Times New Roman" w:hAnsi="Times New Roman" w:eastAsia="宋体" w:cs="宋体"/>
          <w:sz w:val="21"/>
          <w:szCs w:val="21"/>
          <w:highlight w:val="none"/>
          <w:lang w:bidi="ar"/>
        </w:rPr>
        <w:t>建筑垃圾、工地运输车辆、混凝土罐车、渣土运输处置</w:t>
      </w:r>
      <w:r>
        <w:rPr>
          <w:rFonts w:hint="eastAsia" w:ascii="Times New Roman" w:hAnsi="Times New Roman" w:eastAsia="宋体" w:cs="宋体"/>
          <w:sz w:val="21"/>
          <w:szCs w:val="21"/>
          <w:highlight w:val="none"/>
          <w:lang w:val="en-US" w:eastAsia="zh-CN" w:bidi="ar"/>
        </w:rPr>
        <w:t>过程当中，</w:t>
      </w:r>
      <w:r>
        <w:rPr>
          <w:rFonts w:hint="eastAsia" w:ascii="Times New Roman" w:hAnsi="Times New Roman" w:eastAsia="宋体" w:cs="宋体"/>
          <w:sz w:val="21"/>
          <w:szCs w:val="21"/>
          <w:highlight w:val="none"/>
          <w:lang w:bidi="ar"/>
        </w:rPr>
        <w:t>禁止抛洒滴漏。</w:t>
      </w:r>
    </w:p>
    <w:p w14:paraId="68065313">
      <w:pPr>
        <w:pageBreakBefore w:val="0"/>
        <w:kinsoku/>
        <w:wordWrap/>
        <w:overflowPunct/>
        <w:topLinePunct w:val="0"/>
        <w:bidi w:val="0"/>
        <w:adjustRightInd w:val="0"/>
        <w:snapToGrid w:val="0"/>
        <w:spacing w:line="400" w:lineRule="exact"/>
        <w:ind w:firstLine="416" w:firstLineChars="200"/>
        <w:jc w:val="both"/>
        <w:textAlignment w:val="auto"/>
        <w:rPr>
          <w:rFonts w:hint="eastAsia" w:ascii="Times New Roman" w:hAnsi="Times New Roman" w:eastAsia="宋体" w:cs="宋体"/>
          <w:spacing w:val="-1"/>
          <w:kern w:val="0"/>
          <w:sz w:val="21"/>
          <w:szCs w:val="21"/>
          <w:highlight w:val="none"/>
          <w:lang w:eastAsia="zh-CN" w:bidi="ar"/>
        </w:rPr>
      </w:pPr>
      <w:r>
        <w:rPr>
          <w:rFonts w:hint="eastAsia" w:ascii="Times New Roman" w:hAnsi="Times New Roman" w:eastAsia="宋体" w:cs="宋体"/>
          <w:spacing w:val="-1"/>
          <w:kern w:val="0"/>
          <w:sz w:val="21"/>
          <w:szCs w:val="21"/>
          <w:highlight w:val="none"/>
          <w:lang w:eastAsia="zh-CN" w:bidi="ar"/>
        </w:rPr>
        <w:t>（</w:t>
      </w:r>
      <w:r>
        <w:rPr>
          <w:rFonts w:hint="eastAsia" w:ascii="Times New Roman" w:hAnsi="Times New Roman" w:eastAsia="宋体" w:cs="宋体"/>
          <w:spacing w:val="-1"/>
          <w:kern w:val="0"/>
          <w:sz w:val="21"/>
          <w:szCs w:val="21"/>
          <w:highlight w:val="none"/>
          <w:lang w:val="en-US" w:eastAsia="zh-CN" w:bidi="ar"/>
        </w:rPr>
        <w:t>十</w:t>
      </w:r>
      <w:r>
        <w:rPr>
          <w:rFonts w:hint="eastAsia" w:ascii="Times New Roman" w:hAnsi="Times New Roman" w:eastAsia="宋体" w:cs="宋体"/>
          <w:spacing w:val="-1"/>
          <w:kern w:val="0"/>
          <w:sz w:val="21"/>
          <w:szCs w:val="21"/>
          <w:highlight w:val="none"/>
          <w:lang w:eastAsia="zh-CN" w:bidi="ar"/>
        </w:rPr>
        <w:t>）</w:t>
      </w:r>
      <w:r>
        <w:rPr>
          <w:rFonts w:hint="eastAsia" w:ascii="Times New Roman" w:hAnsi="Times New Roman" w:eastAsia="宋体" w:cs="宋体"/>
          <w:spacing w:val="-1"/>
          <w:kern w:val="0"/>
          <w:sz w:val="21"/>
          <w:szCs w:val="21"/>
          <w:highlight w:val="none"/>
          <w:lang w:val="en-US" w:eastAsia="zh-CN" w:bidi="ar"/>
        </w:rPr>
        <w:t>乙方应</w:t>
      </w:r>
      <w:r>
        <w:rPr>
          <w:rFonts w:hint="eastAsia" w:ascii="Times New Roman" w:hAnsi="Times New Roman" w:eastAsia="宋体" w:cs="宋体"/>
          <w:spacing w:val="-1"/>
          <w:kern w:val="0"/>
          <w:sz w:val="21"/>
          <w:szCs w:val="21"/>
          <w:highlight w:val="none"/>
          <w:lang w:eastAsia="zh-CN" w:bidi="ar"/>
        </w:rPr>
        <w:t>安装覆盖全部施工现场的远程视频监控和符合要求的扬尘在线监测设备，积极实施绿色智慧工地建设。</w:t>
      </w:r>
    </w:p>
    <w:p w14:paraId="476F5054">
      <w:pPr>
        <w:pageBreakBefore w:val="0"/>
        <w:numPr>
          <w:ilvl w:val="0"/>
          <w:numId w:val="8"/>
        </w:numPr>
        <w:kinsoku/>
        <w:wordWrap/>
        <w:overflowPunct/>
        <w:topLinePunct w:val="0"/>
        <w:bidi w:val="0"/>
        <w:adjustRightInd w:val="0"/>
        <w:snapToGrid w:val="0"/>
        <w:spacing w:line="400" w:lineRule="exact"/>
        <w:ind w:firstLine="422" w:firstLineChars="200"/>
        <w:jc w:val="left"/>
        <w:textAlignment w:val="auto"/>
        <w:rPr>
          <w:rFonts w:hint="eastAsia" w:ascii="Times New Roman" w:hAnsi="Times New Roman" w:eastAsia="宋体" w:cs="宋体"/>
          <w:b/>
          <w:sz w:val="21"/>
          <w:szCs w:val="21"/>
          <w:highlight w:val="none"/>
          <w:lang w:val="en-US" w:eastAsia="zh-CN" w:bidi="ar"/>
        </w:rPr>
      </w:pPr>
      <w:r>
        <w:rPr>
          <w:rFonts w:hint="eastAsia" w:ascii="Times New Roman" w:hAnsi="Times New Roman" w:eastAsia="宋体" w:cs="宋体"/>
          <w:b/>
          <w:sz w:val="21"/>
          <w:szCs w:val="21"/>
          <w:highlight w:val="none"/>
          <w:lang w:val="en-US" w:eastAsia="zh-CN" w:bidi="ar"/>
        </w:rPr>
        <w:t>对乙方的违约索赔条款</w:t>
      </w:r>
    </w:p>
    <w:p w14:paraId="587C5983">
      <w:pPr>
        <w:pageBreakBefore w:val="0"/>
        <w:numPr>
          <w:ilvl w:val="0"/>
          <w:numId w:val="11"/>
        </w:numPr>
        <w:kinsoku/>
        <w:wordWrap/>
        <w:overflowPunct/>
        <w:topLinePunct w:val="0"/>
        <w:bidi w:val="0"/>
        <w:adjustRightInd w:val="0"/>
        <w:snapToGrid w:val="0"/>
        <w:spacing w:line="400" w:lineRule="exact"/>
        <w:ind w:firstLine="420" w:firstLineChars="200"/>
        <w:jc w:val="left"/>
        <w:textAlignment w:val="auto"/>
        <w:rPr>
          <w:rFonts w:hint="eastAsia" w:ascii="Times New Roman" w:hAnsi="Times New Roman" w:eastAsia="宋体" w:cs="宋体"/>
          <w:spacing w:val="-1"/>
          <w:kern w:val="0"/>
          <w:sz w:val="21"/>
          <w:szCs w:val="21"/>
          <w:highlight w:val="none"/>
          <w:lang w:eastAsia="zh-CN" w:bidi="ar"/>
        </w:rPr>
      </w:pPr>
      <w:r>
        <w:rPr>
          <w:rFonts w:hint="eastAsia" w:ascii="Times New Roman" w:hAnsi="Times New Roman" w:eastAsia="宋体" w:cs="宋体"/>
          <w:sz w:val="21"/>
          <w:szCs w:val="21"/>
          <w:highlight w:val="none"/>
          <w:lang w:bidi="ar"/>
        </w:rPr>
        <w:t>如乙方</w:t>
      </w:r>
      <w:r>
        <w:rPr>
          <w:rFonts w:hint="eastAsia" w:ascii="Times New Roman" w:hAnsi="Times New Roman" w:eastAsia="宋体" w:cs="宋体"/>
          <w:sz w:val="21"/>
          <w:szCs w:val="21"/>
          <w:highlight w:val="none"/>
          <w:lang w:val="en-US" w:eastAsia="zh-CN" w:bidi="ar"/>
        </w:rPr>
        <w:t>的环境保护与扬尘防治管理工作</w:t>
      </w:r>
      <w:r>
        <w:rPr>
          <w:rFonts w:hint="eastAsia" w:ascii="Times New Roman" w:hAnsi="Times New Roman" w:eastAsia="宋体" w:cs="宋体"/>
          <w:sz w:val="21"/>
          <w:szCs w:val="21"/>
          <w:highlight w:val="none"/>
          <w:lang w:bidi="ar"/>
        </w:rPr>
        <w:t>未按照本协议要求执行，并在</w:t>
      </w:r>
      <w:r>
        <w:rPr>
          <w:rFonts w:hint="eastAsia" w:ascii="Times New Roman" w:hAnsi="Times New Roman" w:eastAsia="宋体" w:cs="宋体"/>
          <w:spacing w:val="-1"/>
          <w:kern w:val="0"/>
          <w:sz w:val="21"/>
          <w:szCs w:val="21"/>
          <w:highlight w:val="none"/>
          <w:lang w:bidi="ar"/>
        </w:rPr>
        <w:t>一年内被甲方及相关主管部门查实达3次及上的</w:t>
      </w:r>
      <w:r>
        <w:rPr>
          <w:rFonts w:hint="eastAsia" w:ascii="Times New Roman" w:hAnsi="Times New Roman" w:eastAsia="宋体" w:cs="宋体"/>
          <w:spacing w:val="-1"/>
          <w:kern w:val="0"/>
          <w:sz w:val="21"/>
          <w:szCs w:val="21"/>
          <w:highlight w:val="none"/>
          <w:lang w:eastAsia="zh-CN" w:bidi="ar"/>
        </w:rPr>
        <w:t>，</w:t>
      </w:r>
      <w:r>
        <w:rPr>
          <w:rFonts w:hint="eastAsia" w:ascii="Times New Roman" w:hAnsi="Times New Roman" w:eastAsia="宋体" w:cs="宋体"/>
          <w:spacing w:val="-1"/>
          <w:kern w:val="0"/>
          <w:sz w:val="21"/>
          <w:szCs w:val="21"/>
          <w:highlight w:val="none"/>
          <w:lang w:bidi="ar"/>
        </w:rPr>
        <w:t>甲方将上报相关行政主管部门</w:t>
      </w:r>
      <w:r>
        <w:rPr>
          <w:rFonts w:hint="eastAsia" w:ascii="Times New Roman" w:hAnsi="Times New Roman" w:eastAsia="宋体" w:cs="宋体"/>
          <w:spacing w:val="-1"/>
          <w:kern w:val="0"/>
          <w:sz w:val="21"/>
          <w:szCs w:val="21"/>
          <w:highlight w:val="none"/>
          <w:lang w:val="en-US" w:eastAsia="zh-CN" w:bidi="ar"/>
        </w:rPr>
        <w:t>进行处置</w:t>
      </w:r>
      <w:r>
        <w:rPr>
          <w:rFonts w:hint="eastAsia" w:ascii="Times New Roman" w:hAnsi="Times New Roman" w:eastAsia="宋体" w:cs="宋体"/>
          <w:spacing w:val="-1"/>
          <w:kern w:val="0"/>
          <w:sz w:val="21"/>
          <w:szCs w:val="21"/>
          <w:highlight w:val="none"/>
          <w:lang w:eastAsia="zh-CN" w:bidi="ar"/>
        </w:rPr>
        <w:t>。</w:t>
      </w:r>
    </w:p>
    <w:p w14:paraId="5A09A7DC">
      <w:pPr>
        <w:pageBreakBefore w:val="0"/>
        <w:numPr>
          <w:ilvl w:val="0"/>
          <w:numId w:val="11"/>
        </w:numPr>
        <w:kinsoku/>
        <w:wordWrap/>
        <w:overflowPunct/>
        <w:topLinePunct w:val="0"/>
        <w:bidi w:val="0"/>
        <w:adjustRightInd w:val="0"/>
        <w:snapToGrid w:val="0"/>
        <w:spacing w:line="400" w:lineRule="exact"/>
        <w:ind w:firstLine="416" w:firstLineChars="200"/>
        <w:jc w:val="left"/>
        <w:textAlignment w:val="auto"/>
        <w:rPr>
          <w:rFonts w:hint="eastAsia" w:ascii="Times New Roman" w:hAnsi="Times New Roman" w:eastAsia="宋体" w:cs="宋体"/>
          <w:spacing w:val="-1"/>
          <w:kern w:val="0"/>
          <w:sz w:val="21"/>
          <w:szCs w:val="21"/>
          <w:highlight w:val="none"/>
          <w:lang w:eastAsia="zh-CN" w:bidi="ar"/>
        </w:rPr>
      </w:pPr>
      <w:r>
        <w:rPr>
          <w:rFonts w:hint="eastAsia" w:ascii="Times New Roman" w:hAnsi="Times New Roman" w:eastAsia="宋体" w:cs="宋体"/>
          <w:spacing w:val="-1"/>
          <w:kern w:val="0"/>
          <w:sz w:val="21"/>
          <w:szCs w:val="21"/>
          <w:highlight w:val="none"/>
          <w:lang w:eastAsia="zh-CN" w:bidi="ar"/>
        </w:rPr>
        <w:t>发生环境</w:t>
      </w:r>
      <w:r>
        <w:rPr>
          <w:rFonts w:hint="eastAsia" w:ascii="Times New Roman" w:hAnsi="Times New Roman" w:eastAsia="宋体" w:cs="宋体"/>
          <w:spacing w:val="-1"/>
          <w:kern w:val="0"/>
          <w:sz w:val="21"/>
          <w:szCs w:val="21"/>
          <w:highlight w:val="none"/>
          <w:lang w:val="en-US" w:eastAsia="zh-CN" w:bidi="ar"/>
        </w:rPr>
        <w:t>污染</w:t>
      </w:r>
      <w:r>
        <w:rPr>
          <w:rFonts w:hint="eastAsia" w:ascii="Times New Roman" w:hAnsi="Times New Roman" w:eastAsia="宋体" w:cs="宋体"/>
          <w:spacing w:val="-1"/>
          <w:kern w:val="0"/>
          <w:sz w:val="21"/>
          <w:szCs w:val="21"/>
          <w:highlight w:val="none"/>
          <w:lang w:eastAsia="zh-CN" w:bidi="ar"/>
        </w:rPr>
        <w:t>事故、事件，造成社会不良影响，或给甲方造成经济、名誉损失的，每起</w:t>
      </w:r>
      <w:r>
        <w:rPr>
          <w:rFonts w:hint="eastAsia" w:ascii="Times New Roman" w:hAnsi="Times New Roman" w:eastAsia="宋体" w:cs="宋体"/>
          <w:spacing w:val="-1"/>
          <w:kern w:val="0"/>
          <w:sz w:val="21"/>
          <w:szCs w:val="21"/>
          <w:highlight w:val="none"/>
          <w:lang w:val="en-US" w:eastAsia="zh-CN" w:bidi="ar"/>
        </w:rPr>
        <w:t>按</w:t>
      </w:r>
      <w:r>
        <w:rPr>
          <w:rFonts w:hint="eastAsia" w:ascii="Times New Roman" w:hAnsi="Times New Roman" w:eastAsia="宋体" w:cs="宋体"/>
          <w:sz w:val="21"/>
          <w:szCs w:val="21"/>
          <w:highlight w:val="none"/>
          <w:lang w:eastAsia="zh-CN" w:bidi="ar"/>
        </w:rPr>
        <w:t>100000元</w:t>
      </w:r>
      <w:r>
        <w:rPr>
          <w:rFonts w:hint="eastAsia" w:ascii="Times New Roman" w:hAnsi="Times New Roman" w:eastAsia="宋体" w:cs="宋体"/>
          <w:sz w:val="21"/>
          <w:szCs w:val="21"/>
          <w:highlight w:val="none"/>
          <w:lang w:val="en-US" w:eastAsia="zh-CN" w:bidi="ar"/>
        </w:rPr>
        <w:t>支付违约金</w:t>
      </w:r>
      <w:r>
        <w:rPr>
          <w:rFonts w:hint="eastAsia" w:ascii="Times New Roman" w:hAnsi="Times New Roman" w:eastAsia="宋体" w:cs="宋体"/>
          <w:spacing w:val="-1"/>
          <w:kern w:val="0"/>
          <w:sz w:val="21"/>
          <w:szCs w:val="21"/>
          <w:highlight w:val="none"/>
          <w:lang w:eastAsia="zh-CN" w:bidi="ar"/>
        </w:rPr>
        <w:t>。</w:t>
      </w:r>
    </w:p>
    <w:p w14:paraId="2F53C4F6">
      <w:pPr>
        <w:pageBreakBefore w:val="0"/>
        <w:numPr>
          <w:ilvl w:val="0"/>
          <w:numId w:val="11"/>
        </w:numPr>
        <w:kinsoku/>
        <w:wordWrap/>
        <w:overflowPunct/>
        <w:topLinePunct w:val="0"/>
        <w:bidi w:val="0"/>
        <w:adjustRightInd w:val="0"/>
        <w:snapToGrid w:val="0"/>
        <w:spacing w:line="400" w:lineRule="exact"/>
        <w:ind w:firstLine="416" w:firstLineChars="200"/>
        <w:jc w:val="left"/>
        <w:textAlignment w:val="auto"/>
        <w:rPr>
          <w:rFonts w:hint="eastAsia" w:ascii="Times New Roman" w:hAnsi="Times New Roman" w:eastAsia="宋体" w:cs="宋体"/>
          <w:spacing w:val="-1"/>
          <w:kern w:val="0"/>
          <w:sz w:val="21"/>
          <w:szCs w:val="21"/>
          <w:highlight w:val="none"/>
          <w:lang w:eastAsia="zh-CN" w:bidi="ar"/>
        </w:rPr>
      </w:pPr>
      <w:r>
        <w:rPr>
          <w:rFonts w:hint="eastAsia" w:ascii="Times New Roman" w:hAnsi="Times New Roman" w:eastAsia="宋体" w:cs="宋体"/>
          <w:spacing w:val="-1"/>
          <w:kern w:val="0"/>
          <w:sz w:val="21"/>
          <w:szCs w:val="21"/>
          <w:highlight w:val="none"/>
          <w:lang w:eastAsia="zh-CN" w:bidi="ar"/>
        </w:rPr>
        <w:t>建筑垃圾未按要求与符合资质的处置单位签订协议，或者随意交给个人或未经核准的单位处置的，</w:t>
      </w:r>
      <w:r>
        <w:rPr>
          <w:rFonts w:hint="eastAsia" w:ascii="Times New Roman" w:hAnsi="Times New Roman" w:eastAsia="宋体" w:cs="宋体"/>
          <w:color w:val="auto"/>
          <w:sz w:val="21"/>
          <w:szCs w:val="21"/>
          <w:highlight w:val="none"/>
          <w:lang w:val="en-US" w:eastAsia="zh-CN"/>
        </w:rPr>
        <w:t>按</w:t>
      </w:r>
      <w:r>
        <w:rPr>
          <w:rFonts w:hint="eastAsia" w:ascii="Times New Roman" w:hAnsi="Times New Roman" w:eastAsia="宋体" w:cs="宋体"/>
          <w:spacing w:val="-1"/>
          <w:kern w:val="0"/>
          <w:sz w:val="21"/>
          <w:szCs w:val="21"/>
          <w:highlight w:val="none"/>
          <w:lang w:val="en-US" w:eastAsia="zh-CN" w:bidi="ar"/>
        </w:rPr>
        <w:t>1</w:t>
      </w:r>
      <w:r>
        <w:rPr>
          <w:rFonts w:hint="eastAsia" w:ascii="Times New Roman" w:hAnsi="Times New Roman" w:eastAsia="宋体" w:cs="宋体"/>
          <w:spacing w:val="-1"/>
          <w:kern w:val="0"/>
          <w:sz w:val="21"/>
          <w:szCs w:val="21"/>
          <w:highlight w:val="none"/>
          <w:lang w:eastAsia="zh-CN" w:bidi="ar"/>
        </w:rPr>
        <w:t>0000元/起</w:t>
      </w:r>
      <w:r>
        <w:rPr>
          <w:rFonts w:hint="eastAsia" w:ascii="Times New Roman" w:hAnsi="Times New Roman" w:eastAsia="宋体" w:cs="宋体"/>
          <w:spacing w:val="-1"/>
          <w:kern w:val="0"/>
          <w:sz w:val="21"/>
          <w:szCs w:val="21"/>
          <w:highlight w:val="none"/>
          <w:lang w:val="en-US" w:eastAsia="zh-CN" w:bidi="ar"/>
        </w:rPr>
        <w:t>支付违约金</w:t>
      </w:r>
      <w:r>
        <w:rPr>
          <w:rFonts w:hint="eastAsia" w:ascii="Times New Roman" w:hAnsi="Times New Roman" w:eastAsia="宋体" w:cs="宋体"/>
          <w:spacing w:val="-1"/>
          <w:kern w:val="0"/>
          <w:sz w:val="21"/>
          <w:szCs w:val="21"/>
          <w:highlight w:val="none"/>
          <w:lang w:eastAsia="zh-CN" w:bidi="ar"/>
        </w:rPr>
        <w:t>。</w:t>
      </w:r>
    </w:p>
    <w:p w14:paraId="5E1266C7">
      <w:pPr>
        <w:pageBreakBefore w:val="0"/>
        <w:numPr>
          <w:ilvl w:val="0"/>
          <w:numId w:val="11"/>
        </w:numPr>
        <w:kinsoku/>
        <w:wordWrap/>
        <w:overflowPunct/>
        <w:topLinePunct w:val="0"/>
        <w:bidi w:val="0"/>
        <w:adjustRightInd w:val="0"/>
        <w:snapToGrid w:val="0"/>
        <w:spacing w:line="400" w:lineRule="exact"/>
        <w:ind w:firstLine="416" w:firstLineChars="200"/>
        <w:jc w:val="left"/>
        <w:textAlignment w:val="auto"/>
        <w:rPr>
          <w:rFonts w:hint="eastAsia" w:ascii="Times New Roman" w:hAnsi="Times New Roman" w:eastAsia="宋体" w:cs="宋体"/>
          <w:spacing w:val="-1"/>
          <w:kern w:val="0"/>
          <w:sz w:val="21"/>
          <w:szCs w:val="21"/>
          <w:highlight w:val="none"/>
          <w:lang w:eastAsia="zh-CN" w:bidi="ar"/>
        </w:rPr>
      </w:pPr>
      <w:r>
        <w:rPr>
          <w:rFonts w:hint="eastAsia" w:ascii="Times New Roman" w:hAnsi="Times New Roman" w:eastAsia="宋体" w:cs="宋体"/>
          <w:spacing w:val="-1"/>
          <w:kern w:val="0"/>
          <w:sz w:val="21"/>
          <w:szCs w:val="21"/>
          <w:highlight w:val="none"/>
          <w:lang w:val="en-US" w:eastAsia="zh-CN" w:bidi="ar"/>
        </w:rPr>
        <w:t>危险废物</w:t>
      </w:r>
      <w:r>
        <w:rPr>
          <w:rFonts w:hint="eastAsia" w:ascii="Times New Roman" w:hAnsi="Times New Roman" w:eastAsia="宋体" w:cs="宋体"/>
          <w:spacing w:val="-1"/>
          <w:kern w:val="0"/>
          <w:sz w:val="21"/>
          <w:szCs w:val="21"/>
          <w:highlight w:val="none"/>
          <w:lang w:eastAsia="zh-CN" w:bidi="ar"/>
        </w:rPr>
        <w:t>未按要求与符合资质的处置单位签订协议，或者随意交给个人或未经核准的单位处置的，</w:t>
      </w:r>
      <w:r>
        <w:rPr>
          <w:rFonts w:hint="eastAsia" w:ascii="Times New Roman" w:hAnsi="Times New Roman" w:eastAsia="宋体" w:cs="宋体"/>
          <w:spacing w:val="-1"/>
          <w:kern w:val="0"/>
          <w:sz w:val="21"/>
          <w:szCs w:val="21"/>
          <w:highlight w:val="none"/>
          <w:lang w:val="en-US" w:eastAsia="zh-CN" w:bidi="ar"/>
        </w:rPr>
        <w:t>按2</w:t>
      </w:r>
      <w:r>
        <w:rPr>
          <w:rFonts w:hint="eastAsia" w:ascii="Times New Roman" w:hAnsi="Times New Roman" w:eastAsia="宋体" w:cs="宋体"/>
          <w:spacing w:val="-1"/>
          <w:kern w:val="0"/>
          <w:sz w:val="21"/>
          <w:szCs w:val="21"/>
          <w:highlight w:val="none"/>
          <w:lang w:eastAsia="zh-CN" w:bidi="ar"/>
        </w:rPr>
        <w:t>0000元/起</w:t>
      </w:r>
      <w:r>
        <w:rPr>
          <w:rFonts w:hint="eastAsia" w:ascii="Times New Roman" w:hAnsi="Times New Roman" w:eastAsia="宋体" w:cs="宋体"/>
          <w:spacing w:val="-1"/>
          <w:kern w:val="0"/>
          <w:sz w:val="21"/>
          <w:szCs w:val="21"/>
          <w:highlight w:val="none"/>
          <w:lang w:val="en-US" w:eastAsia="zh-CN" w:bidi="ar"/>
        </w:rPr>
        <w:t>支付违约金</w:t>
      </w:r>
      <w:r>
        <w:rPr>
          <w:rFonts w:hint="eastAsia" w:ascii="Times New Roman" w:hAnsi="Times New Roman" w:eastAsia="宋体" w:cs="宋体"/>
          <w:spacing w:val="-1"/>
          <w:kern w:val="0"/>
          <w:sz w:val="21"/>
          <w:szCs w:val="21"/>
          <w:highlight w:val="none"/>
          <w:lang w:eastAsia="zh-CN" w:bidi="ar"/>
        </w:rPr>
        <w:t>。</w:t>
      </w:r>
    </w:p>
    <w:p w14:paraId="3C783E35">
      <w:pPr>
        <w:pageBreakBefore w:val="0"/>
        <w:numPr>
          <w:ilvl w:val="0"/>
          <w:numId w:val="11"/>
        </w:numPr>
        <w:kinsoku/>
        <w:wordWrap/>
        <w:overflowPunct/>
        <w:topLinePunct w:val="0"/>
        <w:bidi w:val="0"/>
        <w:adjustRightInd w:val="0"/>
        <w:snapToGrid w:val="0"/>
        <w:spacing w:line="400" w:lineRule="exact"/>
        <w:ind w:firstLine="416" w:firstLineChars="200"/>
        <w:jc w:val="left"/>
        <w:textAlignment w:val="auto"/>
        <w:rPr>
          <w:rFonts w:hint="eastAsia" w:ascii="Times New Roman" w:hAnsi="Times New Roman" w:eastAsia="宋体" w:cs="宋体"/>
          <w:sz w:val="21"/>
          <w:szCs w:val="21"/>
          <w:highlight w:val="none"/>
          <w:lang w:bidi="ar"/>
        </w:rPr>
      </w:pPr>
      <w:r>
        <w:rPr>
          <w:rFonts w:hint="eastAsia" w:ascii="Times New Roman" w:hAnsi="Times New Roman" w:eastAsia="宋体" w:cs="宋体"/>
          <w:spacing w:val="-1"/>
          <w:kern w:val="0"/>
          <w:sz w:val="21"/>
          <w:szCs w:val="21"/>
          <w:highlight w:val="none"/>
          <w:lang w:eastAsia="zh-CN" w:bidi="ar"/>
        </w:rPr>
        <w:t>建筑垃圾未经核准，擅自以填埋、焚烧、倾倒等方式处置或者处置超出核准范围的，按10000元/起</w:t>
      </w:r>
      <w:r>
        <w:rPr>
          <w:rFonts w:hint="eastAsia" w:ascii="Times New Roman" w:hAnsi="Times New Roman" w:eastAsia="宋体" w:cs="宋体"/>
          <w:sz w:val="21"/>
          <w:szCs w:val="21"/>
          <w:highlight w:val="none"/>
          <w:lang w:val="en-US" w:eastAsia="zh-CN" w:bidi="ar"/>
        </w:rPr>
        <w:t>支付违约金</w:t>
      </w:r>
      <w:r>
        <w:rPr>
          <w:rFonts w:hint="eastAsia" w:ascii="Times New Roman" w:hAnsi="Times New Roman" w:eastAsia="宋体" w:cs="宋体"/>
          <w:spacing w:val="-1"/>
          <w:kern w:val="0"/>
          <w:sz w:val="21"/>
          <w:szCs w:val="21"/>
          <w:highlight w:val="none"/>
          <w:lang w:eastAsia="zh-CN" w:bidi="ar"/>
        </w:rPr>
        <w:t>。</w:t>
      </w:r>
    </w:p>
    <w:p w14:paraId="76CF2F59">
      <w:pPr>
        <w:pageBreakBefore w:val="0"/>
        <w:numPr>
          <w:ilvl w:val="0"/>
          <w:numId w:val="11"/>
        </w:numPr>
        <w:kinsoku/>
        <w:wordWrap/>
        <w:overflowPunct/>
        <w:topLinePunct w:val="0"/>
        <w:bidi w:val="0"/>
        <w:adjustRightInd w:val="0"/>
        <w:snapToGrid w:val="0"/>
        <w:spacing w:line="400" w:lineRule="exact"/>
        <w:ind w:firstLine="420" w:firstLineChars="200"/>
        <w:jc w:val="left"/>
        <w:textAlignment w:val="auto"/>
        <w:rPr>
          <w:rFonts w:hint="eastAsia" w:ascii="Times New Roman" w:hAnsi="Times New Roman" w:eastAsia="宋体" w:cs="宋体"/>
          <w:sz w:val="21"/>
          <w:szCs w:val="21"/>
          <w:highlight w:val="none"/>
          <w:lang w:bidi="ar"/>
        </w:rPr>
      </w:pPr>
      <w:r>
        <w:rPr>
          <w:rFonts w:hint="eastAsia" w:ascii="Times New Roman" w:hAnsi="Times New Roman" w:eastAsia="宋体" w:cs="宋体"/>
          <w:sz w:val="21"/>
          <w:szCs w:val="21"/>
          <w:highlight w:val="none"/>
          <w:lang w:val="en-US" w:eastAsia="zh-CN" w:bidi="ar"/>
        </w:rPr>
        <w:t>因环境保护和扬尘防治问题，</w:t>
      </w:r>
      <w:r>
        <w:rPr>
          <w:rFonts w:hint="eastAsia" w:ascii="Times New Roman" w:hAnsi="Times New Roman" w:eastAsia="宋体" w:cs="宋体"/>
          <w:sz w:val="21"/>
          <w:szCs w:val="21"/>
          <w:highlight w:val="none"/>
          <w:lang w:bidi="ar"/>
        </w:rPr>
        <w:t>被</w:t>
      </w:r>
      <w:r>
        <w:rPr>
          <w:rFonts w:hint="eastAsia" w:ascii="Times New Roman" w:hAnsi="Times New Roman" w:eastAsia="宋体" w:cs="宋体"/>
          <w:sz w:val="21"/>
          <w:szCs w:val="21"/>
          <w:highlight w:val="none"/>
          <w:lang w:val="en-US" w:eastAsia="zh-CN" w:bidi="ar"/>
        </w:rPr>
        <w:t>省级政府主管部门或</w:t>
      </w:r>
      <w:r>
        <w:rPr>
          <w:rFonts w:hint="eastAsia" w:ascii="Times New Roman" w:hAnsi="Times New Roman" w:eastAsia="宋体" w:cs="宋体"/>
          <w:sz w:val="21"/>
          <w:szCs w:val="21"/>
          <w:highlight w:val="none"/>
          <w:lang w:bidi="ar"/>
        </w:rPr>
        <w:t>相关主管部门查实</w:t>
      </w:r>
      <w:r>
        <w:rPr>
          <w:rFonts w:hint="eastAsia" w:ascii="Times New Roman" w:hAnsi="Times New Roman" w:eastAsia="宋体" w:cs="宋体"/>
          <w:sz w:val="21"/>
          <w:szCs w:val="21"/>
          <w:highlight w:val="none"/>
          <w:lang w:val="en-US" w:eastAsia="zh-CN" w:bidi="ar"/>
        </w:rPr>
        <w:t>并通报</w:t>
      </w:r>
      <w:r>
        <w:rPr>
          <w:rFonts w:hint="eastAsia" w:ascii="Times New Roman" w:hAnsi="Times New Roman" w:eastAsia="宋体" w:cs="宋体"/>
          <w:sz w:val="21"/>
          <w:szCs w:val="21"/>
          <w:highlight w:val="none"/>
          <w:lang w:bidi="ar"/>
        </w:rPr>
        <w:t>的，</w:t>
      </w:r>
      <w:r>
        <w:rPr>
          <w:rFonts w:hint="eastAsia" w:ascii="Times New Roman" w:hAnsi="Times New Roman" w:eastAsia="宋体" w:cs="宋体"/>
          <w:sz w:val="21"/>
          <w:szCs w:val="21"/>
          <w:highlight w:val="none"/>
          <w:lang w:val="en-US" w:eastAsia="zh-CN" w:bidi="ar"/>
        </w:rPr>
        <w:t>按</w:t>
      </w:r>
      <w:r>
        <w:rPr>
          <w:rFonts w:hint="eastAsia" w:ascii="Times New Roman" w:hAnsi="Times New Roman" w:eastAsia="宋体" w:cs="宋体"/>
          <w:spacing w:val="-1"/>
          <w:kern w:val="0"/>
          <w:sz w:val="21"/>
          <w:szCs w:val="21"/>
          <w:highlight w:val="none"/>
          <w:lang w:val="en-US" w:eastAsia="zh-CN" w:bidi="ar"/>
        </w:rPr>
        <w:t>100000</w:t>
      </w:r>
      <w:r>
        <w:rPr>
          <w:rFonts w:hint="eastAsia" w:ascii="Times New Roman" w:hAnsi="Times New Roman" w:eastAsia="宋体" w:cs="宋体"/>
          <w:spacing w:val="-1"/>
          <w:kern w:val="0"/>
          <w:sz w:val="21"/>
          <w:szCs w:val="21"/>
          <w:highlight w:val="none"/>
          <w:lang w:eastAsia="zh-CN" w:bidi="ar"/>
        </w:rPr>
        <w:t>元</w:t>
      </w:r>
      <w:r>
        <w:rPr>
          <w:rFonts w:hint="eastAsia" w:ascii="Times New Roman" w:hAnsi="Times New Roman" w:eastAsia="宋体" w:cs="宋体"/>
          <w:spacing w:val="-1"/>
          <w:kern w:val="0"/>
          <w:sz w:val="21"/>
          <w:szCs w:val="21"/>
          <w:highlight w:val="none"/>
          <w:lang w:val="en-US" w:eastAsia="zh-CN" w:bidi="ar"/>
        </w:rPr>
        <w:t>/起</w:t>
      </w:r>
      <w:r>
        <w:rPr>
          <w:rFonts w:hint="eastAsia" w:ascii="Times New Roman" w:hAnsi="Times New Roman" w:eastAsia="宋体" w:cs="宋体"/>
          <w:sz w:val="21"/>
          <w:szCs w:val="21"/>
          <w:highlight w:val="none"/>
          <w:lang w:val="en-US" w:eastAsia="zh-CN" w:bidi="ar"/>
        </w:rPr>
        <w:t>支付违约金；被市级政府主管部门或相关部门查实并通报的，按50000元/起支付违约金；被徐圩新区管委会主管部门或相关部门查实并通报的，按20000元/起支付违约金；被方洋集团有关部门查实并通报的，按5000元/起支付违约金</w:t>
      </w:r>
      <w:r>
        <w:rPr>
          <w:rFonts w:hint="eastAsia" w:ascii="Times New Roman" w:hAnsi="Times New Roman" w:eastAsia="宋体" w:cs="宋体"/>
          <w:sz w:val="21"/>
          <w:szCs w:val="21"/>
          <w:highlight w:val="none"/>
          <w:lang w:bidi="ar"/>
        </w:rPr>
        <w:t>。</w:t>
      </w:r>
    </w:p>
    <w:p w14:paraId="21945B8C">
      <w:pPr>
        <w:pageBreakBefore w:val="0"/>
        <w:numPr>
          <w:ilvl w:val="0"/>
          <w:numId w:val="11"/>
        </w:numPr>
        <w:kinsoku/>
        <w:wordWrap/>
        <w:overflowPunct/>
        <w:topLinePunct w:val="0"/>
        <w:bidi w:val="0"/>
        <w:adjustRightInd w:val="0"/>
        <w:snapToGrid w:val="0"/>
        <w:spacing w:line="400" w:lineRule="exact"/>
        <w:ind w:firstLine="420" w:firstLineChars="200"/>
        <w:jc w:val="left"/>
        <w:textAlignment w:val="auto"/>
        <w:rPr>
          <w:rFonts w:hint="eastAsia" w:ascii="Times New Roman" w:hAnsi="Times New Roman" w:eastAsia="宋体" w:cs="宋体"/>
          <w:sz w:val="21"/>
          <w:szCs w:val="21"/>
          <w:highlight w:val="none"/>
          <w:lang w:bidi="ar"/>
        </w:rPr>
      </w:pPr>
      <w:r>
        <w:rPr>
          <w:rFonts w:hint="eastAsia" w:ascii="Times New Roman" w:hAnsi="Times New Roman" w:eastAsia="宋体" w:cs="宋体"/>
          <w:sz w:val="21"/>
          <w:szCs w:val="21"/>
          <w:highlight w:val="none"/>
          <w:lang w:bidi="ar"/>
        </w:rPr>
        <w:t>含</w:t>
      </w:r>
      <w:r>
        <w:rPr>
          <w:rFonts w:hint="eastAsia" w:ascii="Times New Roman" w:hAnsi="Times New Roman" w:eastAsia="宋体" w:cs="宋体"/>
          <w:sz w:val="21"/>
          <w:szCs w:val="21"/>
          <w:highlight w:val="none"/>
          <w:lang w:val="en-US" w:eastAsia="zh-CN" w:bidi="ar"/>
        </w:rPr>
        <w:t>柴油、机油、食用废油等</w:t>
      </w:r>
      <w:r>
        <w:rPr>
          <w:rFonts w:hint="eastAsia" w:ascii="Times New Roman" w:hAnsi="Times New Roman" w:eastAsia="宋体" w:cs="宋体"/>
          <w:sz w:val="21"/>
          <w:szCs w:val="21"/>
          <w:highlight w:val="none"/>
          <w:lang w:bidi="ar"/>
        </w:rPr>
        <w:t>污水违规排放的，</w:t>
      </w:r>
      <w:r>
        <w:rPr>
          <w:rFonts w:hint="eastAsia" w:ascii="Times New Roman" w:hAnsi="Times New Roman" w:eastAsia="宋体" w:cs="宋体"/>
          <w:sz w:val="21"/>
          <w:szCs w:val="21"/>
          <w:highlight w:val="none"/>
          <w:lang w:eastAsia="zh-CN" w:bidi="ar"/>
        </w:rPr>
        <w:t>按</w:t>
      </w:r>
      <w:r>
        <w:rPr>
          <w:rFonts w:hint="eastAsia" w:ascii="Times New Roman" w:hAnsi="Times New Roman" w:eastAsia="宋体" w:cs="宋体"/>
          <w:sz w:val="21"/>
          <w:szCs w:val="21"/>
          <w:highlight w:val="none"/>
          <w:lang w:bidi="ar"/>
        </w:rPr>
        <w:t>5000元/起</w:t>
      </w:r>
      <w:r>
        <w:rPr>
          <w:rFonts w:hint="eastAsia" w:ascii="Times New Roman" w:hAnsi="Times New Roman" w:eastAsia="宋体" w:cs="宋体"/>
          <w:sz w:val="21"/>
          <w:szCs w:val="21"/>
          <w:highlight w:val="none"/>
          <w:lang w:val="en-US" w:eastAsia="zh-CN" w:bidi="ar"/>
        </w:rPr>
        <w:t>支付违约金</w:t>
      </w:r>
      <w:r>
        <w:rPr>
          <w:rFonts w:hint="eastAsia" w:ascii="Times New Roman" w:hAnsi="Times New Roman" w:eastAsia="宋体" w:cs="宋体"/>
          <w:sz w:val="21"/>
          <w:szCs w:val="21"/>
          <w:highlight w:val="none"/>
          <w:lang w:bidi="ar"/>
        </w:rPr>
        <w:t>。</w:t>
      </w:r>
    </w:p>
    <w:p w14:paraId="35B799E2">
      <w:pPr>
        <w:pageBreakBefore w:val="0"/>
        <w:numPr>
          <w:ilvl w:val="0"/>
          <w:numId w:val="11"/>
        </w:numPr>
        <w:kinsoku/>
        <w:wordWrap/>
        <w:overflowPunct/>
        <w:topLinePunct w:val="0"/>
        <w:bidi w:val="0"/>
        <w:adjustRightInd w:val="0"/>
        <w:snapToGrid w:val="0"/>
        <w:spacing w:line="400" w:lineRule="exact"/>
        <w:ind w:firstLine="420" w:firstLineChars="200"/>
        <w:jc w:val="left"/>
        <w:textAlignment w:val="auto"/>
        <w:rPr>
          <w:rFonts w:hint="eastAsia" w:ascii="Times New Roman" w:hAnsi="Times New Roman" w:eastAsia="宋体" w:cs="宋体"/>
          <w:sz w:val="21"/>
          <w:szCs w:val="21"/>
          <w:highlight w:val="none"/>
          <w:lang w:bidi="ar"/>
        </w:rPr>
      </w:pPr>
      <w:r>
        <w:rPr>
          <w:rFonts w:hint="eastAsia" w:ascii="Times New Roman" w:hAnsi="Times New Roman" w:eastAsia="宋体" w:cs="宋体"/>
          <w:sz w:val="21"/>
          <w:szCs w:val="21"/>
          <w:highlight w:val="none"/>
          <w:lang w:bidi="ar"/>
        </w:rPr>
        <w:t>未有效管控施工噪音，或其他因环保问题受到市民举报的，</w:t>
      </w:r>
      <w:r>
        <w:rPr>
          <w:rFonts w:hint="eastAsia" w:ascii="Times New Roman" w:hAnsi="Times New Roman" w:eastAsia="宋体" w:cs="宋体"/>
          <w:sz w:val="21"/>
          <w:szCs w:val="21"/>
          <w:highlight w:val="none"/>
          <w:lang w:eastAsia="zh-CN" w:bidi="ar"/>
        </w:rPr>
        <w:t>按</w:t>
      </w:r>
      <w:r>
        <w:rPr>
          <w:rFonts w:hint="eastAsia" w:ascii="Times New Roman" w:hAnsi="Times New Roman" w:eastAsia="宋体" w:cs="宋体"/>
          <w:sz w:val="21"/>
          <w:szCs w:val="21"/>
          <w:highlight w:val="none"/>
          <w:lang w:bidi="ar"/>
        </w:rPr>
        <w:t>5000元/起</w:t>
      </w:r>
      <w:r>
        <w:rPr>
          <w:rFonts w:hint="eastAsia" w:ascii="Times New Roman" w:hAnsi="Times New Roman" w:eastAsia="宋体" w:cs="宋体"/>
          <w:sz w:val="21"/>
          <w:szCs w:val="21"/>
          <w:highlight w:val="none"/>
          <w:lang w:val="en-US" w:eastAsia="zh-CN" w:bidi="ar"/>
        </w:rPr>
        <w:t>支付违约金</w:t>
      </w:r>
      <w:r>
        <w:rPr>
          <w:rFonts w:hint="eastAsia" w:ascii="Times New Roman" w:hAnsi="Times New Roman" w:eastAsia="宋体" w:cs="宋体"/>
          <w:sz w:val="21"/>
          <w:szCs w:val="21"/>
          <w:highlight w:val="none"/>
          <w:lang w:bidi="ar"/>
        </w:rPr>
        <w:t>，情节严重的参考第一条违约索赔条款。</w:t>
      </w:r>
    </w:p>
    <w:p w14:paraId="65537FD9">
      <w:pPr>
        <w:pageBreakBefore w:val="0"/>
        <w:numPr>
          <w:ilvl w:val="0"/>
          <w:numId w:val="11"/>
        </w:numPr>
        <w:kinsoku/>
        <w:wordWrap/>
        <w:overflowPunct/>
        <w:topLinePunct w:val="0"/>
        <w:bidi w:val="0"/>
        <w:adjustRightInd w:val="0"/>
        <w:snapToGrid w:val="0"/>
        <w:spacing w:line="400" w:lineRule="exact"/>
        <w:ind w:firstLine="420" w:firstLineChars="200"/>
        <w:jc w:val="left"/>
        <w:textAlignment w:val="auto"/>
        <w:rPr>
          <w:rFonts w:hint="eastAsia" w:ascii="Times New Roman" w:hAnsi="Times New Roman" w:eastAsia="宋体" w:cs="宋体"/>
          <w:sz w:val="21"/>
          <w:szCs w:val="21"/>
          <w:highlight w:val="none"/>
          <w:lang w:bidi="ar"/>
        </w:rPr>
      </w:pPr>
      <w:r>
        <w:rPr>
          <w:rFonts w:hint="eastAsia" w:ascii="Times New Roman" w:hAnsi="Times New Roman" w:eastAsia="宋体" w:cs="宋体"/>
          <w:sz w:val="21"/>
          <w:szCs w:val="21"/>
          <w:highlight w:val="none"/>
          <w:lang w:bidi="ar"/>
        </w:rPr>
        <w:t>柴油货车或非道路移动机械等机械设备尾气超标排放，或未按新区环保局要求定期上报监测的，</w:t>
      </w:r>
      <w:r>
        <w:rPr>
          <w:rFonts w:hint="eastAsia" w:ascii="Times New Roman" w:hAnsi="Times New Roman" w:eastAsia="宋体" w:cs="宋体"/>
          <w:sz w:val="21"/>
          <w:szCs w:val="21"/>
          <w:highlight w:val="none"/>
          <w:lang w:eastAsia="zh-CN" w:bidi="ar"/>
        </w:rPr>
        <w:t>按</w:t>
      </w:r>
      <w:r>
        <w:rPr>
          <w:rFonts w:hint="eastAsia" w:ascii="Times New Roman" w:hAnsi="Times New Roman" w:eastAsia="宋体" w:cs="宋体"/>
          <w:sz w:val="21"/>
          <w:szCs w:val="21"/>
          <w:highlight w:val="none"/>
          <w:lang w:bidi="ar"/>
        </w:rPr>
        <w:t>2000元/台</w:t>
      </w:r>
      <w:r>
        <w:rPr>
          <w:rFonts w:hint="eastAsia" w:ascii="Times New Roman" w:hAnsi="Times New Roman" w:eastAsia="宋体" w:cs="宋体"/>
          <w:sz w:val="21"/>
          <w:szCs w:val="21"/>
          <w:highlight w:val="none"/>
          <w:lang w:val="en-US" w:eastAsia="zh-CN" w:bidi="ar"/>
        </w:rPr>
        <w:t>支付违约金</w:t>
      </w:r>
      <w:r>
        <w:rPr>
          <w:rFonts w:hint="eastAsia" w:ascii="Times New Roman" w:hAnsi="Times New Roman" w:eastAsia="宋体" w:cs="宋体"/>
          <w:sz w:val="21"/>
          <w:szCs w:val="21"/>
          <w:highlight w:val="none"/>
          <w:lang w:bidi="ar"/>
        </w:rPr>
        <w:t>。</w:t>
      </w:r>
    </w:p>
    <w:p w14:paraId="42E1F791">
      <w:pPr>
        <w:pageBreakBefore w:val="0"/>
        <w:numPr>
          <w:ilvl w:val="0"/>
          <w:numId w:val="11"/>
        </w:numPr>
        <w:kinsoku/>
        <w:wordWrap/>
        <w:overflowPunct/>
        <w:topLinePunct w:val="0"/>
        <w:bidi w:val="0"/>
        <w:adjustRightInd w:val="0"/>
        <w:snapToGrid w:val="0"/>
        <w:spacing w:line="400" w:lineRule="exact"/>
        <w:ind w:firstLine="416" w:firstLineChars="200"/>
        <w:jc w:val="left"/>
        <w:textAlignment w:val="auto"/>
        <w:rPr>
          <w:rFonts w:hint="eastAsia" w:ascii="Times New Roman" w:hAnsi="Times New Roman" w:eastAsia="宋体" w:cs="宋体"/>
          <w:sz w:val="21"/>
          <w:szCs w:val="21"/>
          <w:highlight w:val="none"/>
          <w:lang w:bidi="ar"/>
        </w:rPr>
      </w:pPr>
      <w:r>
        <w:rPr>
          <w:rFonts w:hint="eastAsia" w:ascii="Times New Roman" w:hAnsi="Times New Roman" w:eastAsia="宋体" w:cs="宋体"/>
          <w:spacing w:val="-1"/>
          <w:kern w:val="0"/>
          <w:sz w:val="21"/>
          <w:szCs w:val="21"/>
          <w:highlight w:val="none"/>
          <w:lang w:val="en-US" w:eastAsia="zh-CN" w:bidi="ar"/>
        </w:rPr>
        <w:t>各类施工垃圾废料不得随意乱倒，必须送到指定的垃圾堆放点及废料点，未严格执行的按1000元/起</w:t>
      </w:r>
      <w:r>
        <w:rPr>
          <w:rFonts w:hint="eastAsia" w:ascii="Times New Roman" w:hAnsi="Times New Roman" w:eastAsia="宋体" w:cs="宋体"/>
          <w:sz w:val="21"/>
          <w:szCs w:val="21"/>
          <w:highlight w:val="none"/>
          <w:lang w:val="en-US" w:eastAsia="zh-CN" w:bidi="ar"/>
        </w:rPr>
        <w:t>支付违约金</w:t>
      </w:r>
      <w:r>
        <w:rPr>
          <w:rFonts w:hint="eastAsia" w:ascii="Times New Roman" w:hAnsi="Times New Roman" w:eastAsia="宋体" w:cs="宋体"/>
          <w:spacing w:val="-1"/>
          <w:kern w:val="0"/>
          <w:sz w:val="21"/>
          <w:szCs w:val="21"/>
          <w:highlight w:val="none"/>
          <w:lang w:val="en-US" w:eastAsia="zh-CN" w:bidi="ar"/>
        </w:rPr>
        <w:t>。</w:t>
      </w:r>
    </w:p>
    <w:p w14:paraId="085BC8A2">
      <w:pPr>
        <w:pageBreakBefore w:val="0"/>
        <w:numPr>
          <w:ilvl w:val="0"/>
          <w:numId w:val="11"/>
        </w:numPr>
        <w:kinsoku/>
        <w:wordWrap/>
        <w:overflowPunct/>
        <w:topLinePunct w:val="0"/>
        <w:bidi w:val="0"/>
        <w:adjustRightInd w:val="0"/>
        <w:snapToGrid w:val="0"/>
        <w:spacing w:line="400" w:lineRule="exact"/>
        <w:ind w:firstLine="420" w:firstLineChars="200"/>
        <w:jc w:val="left"/>
        <w:textAlignment w:val="auto"/>
        <w:rPr>
          <w:rFonts w:hint="eastAsia" w:ascii="Times New Roman" w:hAnsi="Times New Roman" w:eastAsia="宋体" w:cs="宋体"/>
          <w:sz w:val="21"/>
          <w:szCs w:val="21"/>
          <w:highlight w:val="none"/>
          <w:lang w:bidi="ar"/>
        </w:rPr>
      </w:pPr>
      <w:r>
        <w:rPr>
          <w:rFonts w:hint="eastAsia" w:ascii="Times New Roman" w:hAnsi="Times New Roman" w:eastAsia="宋体" w:cs="宋体"/>
          <w:sz w:val="21"/>
          <w:szCs w:val="21"/>
          <w:highlight w:val="none"/>
          <w:lang w:val="en-US" w:eastAsia="zh-CN" w:bidi="ar"/>
        </w:rPr>
        <w:t>未落实以下扬尘防治管理措施的，按1000元/项支付违约金，并限期整改，乙方超期未整改的按100元/天向甲方支付逾期未整改到位违约金：</w:t>
      </w:r>
    </w:p>
    <w:p w14:paraId="1FC607C5">
      <w:pPr>
        <w:pageBreakBefore w:val="0"/>
        <w:numPr>
          <w:ilvl w:val="0"/>
          <w:numId w:val="12"/>
        </w:numPr>
        <w:kinsoku/>
        <w:wordWrap/>
        <w:overflowPunct/>
        <w:topLinePunct w:val="0"/>
        <w:bidi w:val="0"/>
        <w:adjustRightInd w:val="0"/>
        <w:snapToGrid w:val="0"/>
        <w:spacing w:line="400" w:lineRule="exact"/>
        <w:ind w:left="0" w:leftChars="0" w:firstLine="420" w:firstLineChars="200"/>
        <w:jc w:val="left"/>
        <w:textAlignment w:val="auto"/>
        <w:rPr>
          <w:rFonts w:hint="eastAsia" w:ascii="Times New Roman" w:hAnsi="Times New Roman" w:eastAsia="宋体" w:cs="宋体"/>
          <w:sz w:val="21"/>
          <w:szCs w:val="21"/>
          <w:highlight w:val="none"/>
          <w:lang w:val="en-US" w:eastAsia="zh-CN" w:bidi="ar"/>
        </w:rPr>
      </w:pPr>
      <w:r>
        <w:rPr>
          <w:rFonts w:hint="eastAsia" w:ascii="Times New Roman" w:hAnsi="Times New Roman" w:eastAsia="宋体" w:cs="宋体"/>
          <w:sz w:val="21"/>
          <w:szCs w:val="21"/>
          <w:highlight w:val="none"/>
          <w:lang w:val="en-US" w:eastAsia="zh-CN" w:bidi="ar"/>
        </w:rPr>
        <w:t>建立扬尘防治责任制且经责任人签字确认，制定专人负责扬尘防治管理；</w:t>
      </w:r>
    </w:p>
    <w:p w14:paraId="405406E6">
      <w:pPr>
        <w:pageBreakBefore w:val="0"/>
        <w:numPr>
          <w:ilvl w:val="0"/>
          <w:numId w:val="12"/>
        </w:numPr>
        <w:kinsoku/>
        <w:wordWrap/>
        <w:overflowPunct/>
        <w:topLinePunct w:val="0"/>
        <w:bidi w:val="0"/>
        <w:adjustRightInd w:val="0"/>
        <w:snapToGrid w:val="0"/>
        <w:spacing w:line="400" w:lineRule="exact"/>
        <w:ind w:left="0" w:leftChars="0" w:firstLine="420" w:firstLineChars="200"/>
        <w:jc w:val="left"/>
        <w:textAlignment w:val="auto"/>
        <w:rPr>
          <w:rFonts w:hint="eastAsia" w:ascii="Times New Roman" w:hAnsi="Times New Roman" w:eastAsia="宋体" w:cs="宋体"/>
          <w:sz w:val="21"/>
          <w:szCs w:val="21"/>
          <w:highlight w:val="none"/>
          <w:lang w:val="en-US" w:eastAsia="zh-CN" w:bidi="ar"/>
        </w:rPr>
      </w:pPr>
      <w:r>
        <w:rPr>
          <w:rFonts w:hint="eastAsia" w:ascii="Times New Roman" w:hAnsi="Times New Roman" w:eastAsia="宋体" w:cs="宋体"/>
          <w:sz w:val="21"/>
          <w:szCs w:val="21"/>
          <w:highlight w:val="none"/>
          <w:lang w:val="en-US" w:eastAsia="zh-CN" w:bidi="ar"/>
        </w:rPr>
        <w:t>乙方与分包单位签订扬尘防治协议；</w:t>
      </w:r>
    </w:p>
    <w:p w14:paraId="4A4B87C8">
      <w:pPr>
        <w:pageBreakBefore w:val="0"/>
        <w:numPr>
          <w:ilvl w:val="0"/>
          <w:numId w:val="12"/>
        </w:numPr>
        <w:kinsoku/>
        <w:wordWrap/>
        <w:overflowPunct/>
        <w:topLinePunct w:val="0"/>
        <w:bidi w:val="0"/>
        <w:adjustRightInd w:val="0"/>
        <w:snapToGrid w:val="0"/>
        <w:spacing w:line="400" w:lineRule="exact"/>
        <w:ind w:left="0" w:leftChars="0" w:firstLine="420" w:firstLineChars="200"/>
        <w:jc w:val="left"/>
        <w:textAlignment w:val="auto"/>
        <w:rPr>
          <w:rFonts w:hint="eastAsia" w:ascii="Times New Roman" w:hAnsi="Times New Roman" w:eastAsia="宋体" w:cs="宋体"/>
          <w:sz w:val="21"/>
          <w:szCs w:val="21"/>
          <w:highlight w:val="none"/>
          <w:lang w:val="en-US" w:eastAsia="zh-CN" w:bidi="ar"/>
        </w:rPr>
      </w:pPr>
      <w:r>
        <w:rPr>
          <w:rFonts w:hint="eastAsia" w:ascii="Times New Roman" w:hAnsi="Times New Roman" w:eastAsia="宋体" w:cs="宋体"/>
          <w:sz w:val="21"/>
          <w:szCs w:val="21"/>
          <w:highlight w:val="none"/>
          <w:lang w:val="en-US" w:eastAsia="zh-CN" w:bidi="ar"/>
        </w:rPr>
        <w:t>供应商在投标时充分考虑扬尘防止措施费用，编制扬尘防治资金使用计划或未按计划实施；</w:t>
      </w:r>
    </w:p>
    <w:p w14:paraId="78FCE470">
      <w:pPr>
        <w:pageBreakBefore w:val="0"/>
        <w:numPr>
          <w:ilvl w:val="0"/>
          <w:numId w:val="12"/>
        </w:numPr>
        <w:kinsoku/>
        <w:wordWrap/>
        <w:overflowPunct/>
        <w:topLinePunct w:val="0"/>
        <w:bidi w:val="0"/>
        <w:adjustRightInd w:val="0"/>
        <w:snapToGrid w:val="0"/>
        <w:spacing w:line="400" w:lineRule="exact"/>
        <w:ind w:left="0" w:leftChars="0" w:firstLine="420" w:firstLineChars="200"/>
        <w:jc w:val="left"/>
        <w:textAlignment w:val="auto"/>
        <w:rPr>
          <w:rFonts w:hint="eastAsia" w:ascii="Times New Roman" w:hAnsi="Times New Roman" w:eastAsia="宋体" w:cs="宋体"/>
          <w:sz w:val="21"/>
          <w:szCs w:val="21"/>
          <w:highlight w:val="none"/>
          <w:lang w:val="en-US" w:eastAsia="zh-CN" w:bidi="ar"/>
        </w:rPr>
      </w:pPr>
      <w:r>
        <w:rPr>
          <w:rFonts w:hint="eastAsia" w:ascii="Times New Roman" w:hAnsi="Times New Roman" w:eastAsia="宋体" w:cs="宋体"/>
          <w:sz w:val="21"/>
          <w:szCs w:val="21"/>
          <w:highlight w:val="none"/>
          <w:lang w:val="en-US" w:eastAsia="zh-CN" w:bidi="ar"/>
        </w:rPr>
        <w:t>开工前根据采购文件要求进一步细化编制扬尘防治专项方案，方案标准不得低于采购文件要求；</w:t>
      </w:r>
    </w:p>
    <w:p w14:paraId="774303CE">
      <w:pPr>
        <w:pageBreakBefore w:val="0"/>
        <w:numPr>
          <w:ilvl w:val="0"/>
          <w:numId w:val="12"/>
        </w:numPr>
        <w:kinsoku/>
        <w:wordWrap/>
        <w:overflowPunct/>
        <w:topLinePunct w:val="0"/>
        <w:bidi w:val="0"/>
        <w:adjustRightInd w:val="0"/>
        <w:snapToGrid w:val="0"/>
        <w:spacing w:line="400" w:lineRule="exact"/>
        <w:ind w:left="0" w:leftChars="0" w:firstLine="420" w:firstLineChars="200"/>
        <w:jc w:val="left"/>
        <w:textAlignment w:val="auto"/>
        <w:rPr>
          <w:rFonts w:hint="eastAsia" w:ascii="Times New Roman" w:hAnsi="Times New Roman" w:eastAsia="宋体" w:cs="宋体"/>
          <w:sz w:val="21"/>
          <w:szCs w:val="21"/>
          <w:highlight w:val="none"/>
          <w:lang w:val="en-US" w:eastAsia="zh-CN" w:bidi="ar"/>
        </w:rPr>
      </w:pPr>
      <w:r>
        <w:rPr>
          <w:rFonts w:hint="eastAsia" w:ascii="Times New Roman" w:hAnsi="Times New Roman" w:eastAsia="宋体" w:cs="宋体"/>
          <w:sz w:val="21"/>
          <w:szCs w:val="21"/>
          <w:highlight w:val="none"/>
          <w:lang w:val="en-US" w:eastAsia="zh-CN" w:bidi="ar"/>
        </w:rPr>
        <w:t>扬尘防治专项方案经施工单位负责人、总监理工程师审核后上报建设单位审批；</w:t>
      </w:r>
    </w:p>
    <w:p w14:paraId="0889D3F5">
      <w:pPr>
        <w:pageBreakBefore w:val="0"/>
        <w:numPr>
          <w:ilvl w:val="0"/>
          <w:numId w:val="12"/>
        </w:numPr>
        <w:kinsoku/>
        <w:wordWrap/>
        <w:overflowPunct/>
        <w:topLinePunct w:val="0"/>
        <w:bidi w:val="0"/>
        <w:adjustRightInd w:val="0"/>
        <w:snapToGrid w:val="0"/>
        <w:spacing w:line="400" w:lineRule="exact"/>
        <w:ind w:left="0" w:leftChars="0" w:firstLine="420" w:firstLineChars="200"/>
        <w:jc w:val="left"/>
        <w:textAlignment w:val="auto"/>
        <w:rPr>
          <w:rFonts w:hint="eastAsia" w:ascii="Times New Roman" w:hAnsi="Times New Roman" w:eastAsia="宋体" w:cs="宋体"/>
          <w:sz w:val="21"/>
          <w:szCs w:val="21"/>
          <w:highlight w:val="none"/>
          <w:lang w:val="en-US" w:eastAsia="zh-CN" w:bidi="ar"/>
        </w:rPr>
      </w:pPr>
      <w:r>
        <w:rPr>
          <w:rFonts w:hint="eastAsia" w:ascii="Times New Roman" w:hAnsi="Times New Roman" w:eastAsia="宋体" w:cs="宋体"/>
          <w:sz w:val="21"/>
          <w:szCs w:val="21"/>
          <w:highlight w:val="none"/>
          <w:lang w:val="en-US" w:eastAsia="zh-CN" w:bidi="ar"/>
        </w:rPr>
        <w:t>入口处设置扬尘防治制度及渣土运输公示牌、设置责任人公示牌、尘防治设施平面布置图及徐圩新区建设局统一模板的《徐圩新区建筑工地扬尘管控公示牌》；</w:t>
      </w:r>
    </w:p>
    <w:p w14:paraId="62F6D7E5">
      <w:pPr>
        <w:pageBreakBefore w:val="0"/>
        <w:numPr>
          <w:ilvl w:val="0"/>
          <w:numId w:val="12"/>
        </w:numPr>
        <w:kinsoku/>
        <w:wordWrap/>
        <w:overflowPunct/>
        <w:topLinePunct w:val="0"/>
        <w:bidi w:val="0"/>
        <w:adjustRightInd w:val="0"/>
        <w:snapToGrid w:val="0"/>
        <w:spacing w:line="400" w:lineRule="exact"/>
        <w:ind w:left="0" w:leftChars="0" w:firstLine="420" w:firstLineChars="200"/>
        <w:jc w:val="left"/>
        <w:textAlignment w:val="auto"/>
        <w:rPr>
          <w:rFonts w:hint="eastAsia" w:ascii="Times New Roman" w:hAnsi="Times New Roman" w:eastAsia="宋体" w:cs="宋体"/>
          <w:sz w:val="21"/>
          <w:szCs w:val="21"/>
          <w:highlight w:val="none"/>
          <w:lang w:val="en-US" w:eastAsia="zh-CN" w:bidi="ar"/>
        </w:rPr>
      </w:pPr>
      <w:r>
        <w:rPr>
          <w:rFonts w:hint="eastAsia" w:ascii="Times New Roman" w:hAnsi="Times New Roman" w:eastAsia="宋体" w:cs="宋体"/>
          <w:sz w:val="21"/>
          <w:szCs w:val="21"/>
          <w:highlight w:val="none"/>
          <w:lang w:val="en-US" w:eastAsia="zh-CN" w:bidi="ar"/>
        </w:rPr>
        <w:t>编制扬尘预警响应预案，制定扬尘预警响应措施；</w:t>
      </w:r>
    </w:p>
    <w:p w14:paraId="0724925B">
      <w:pPr>
        <w:pageBreakBefore w:val="0"/>
        <w:numPr>
          <w:ilvl w:val="0"/>
          <w:numId w:val="12"/>
        </w:numPr>
        <w:kinsoku/>
        <w:wordWrap/>
        <w:overflowPunct/>
        <w:topLinePunct w:val="0"/>
        <w:bidi w:val="0"/>
        <w:adjustRightInd w:val="0"/>
        <w:snapToGrid w:val="0"/>
        <w:spacing w:line="400" w:lineRule="exact"/>
        <w:ind w:left="0" w:leftChars="0" w:firstLine="420" w:firstLineChars="200"/>
        <w:jc w:val="left"/>
        <w:textAlignment w:val="auto"/>
        <w:rPr>
          <w:rFonts w:hint="eastAsia" w:ascii="Times New Roman" w:hAnsi="Times New Roman" w:eastAsia="宋体" w:cs="宋体"/>
          <w:sz w:val="21"/>
          <w:szCs w:val="21"/>
          <w:highlight w:val="none"/>
          <w:lang w:val="en-US" w:eastAsia="zh-CN" w:bidi="ar"/>
        </w:rPr>
      </w:pPr>
      <w:r>
        <w:rPr>
          <w:rFonts w:hint="eastAsia" w:ascii="Times New Roman" w:hAnsi="Times New Roman" w:eastAsia="宋体" w:cs="宋体"/>
          <w:sz w:val="21"/>
          <w:szCs w:val="21"/>
          <w:highlight w:val="none"/>
          <w:lang w:val="en-US" w:eastAsia="zh-CN" w:bidi="ar"/>
        </w:rPr>
        <w:t>安装在线监测和视频监控，并与徐圩新区主管部门及“方洋集团智慧工地一体化监管平台”联网；</w:t>
      </w:r>
    </w:p>
    <w:p w14:paraId="0F56DA00">
      <w:pPr>
        <w:pageBreakBefore w:val="0"/>
        <w:numPr>
          <w:ilvl w:val="0"/>
          <w:numId w:val="12"/>
        </w:numPr>
        <w:kinsoku/>
        <w:wordWrap/>
        <w:overflowPunct/>
        <w:topLinePunct w:val="0"/>
        <w:bidi w:val="0"/>
        <w:adjustRightInd w:val="0"/>
        <w:snapToGrid w:val="0"/>
        <w:spacing w:line="400" w:lineRule="exact"/>
        <w:ind w:left="0" w:leftChars="0" w:firstLine="420" w:firstLineChars="200"/>
        <w:jc w:val="left"/>
        <w:textAlignment w:val="auto"/>
        <w:rPr>
          <w:rFonts w:hint="eastAsia" w:ascii="Times New Roman" w:hAnsi="Times New Roman" w:eastAsia="宋体" w:cs="宋体"/>
          <w:sz w:val="21"/>
          <w:szCs w:val="21"/>
          <w:highlight w:val="none"/>
          <w:lang w:val="en-US" w:eastAsia="zh-CN" w:bidi="ar"/>
        </w:rPr>
      </w:pPr>
      <w:r>
        <w:rPr>
          <w:rFonts w:hint="eastAsia" w:ascii="Times New Roman" w:hAnsi="Times New Roman" w:eastAsia="宋体" w:cs="宋体"/>
          <w:sz w:val="21"/>
          <w:szCs w:val="21"/>
          <w:highlight w:val="none"/>
          <w:lang w:val="en-US" w:eastAsia="zh-CN" w:bidi="ar"/>
        </w:rPr>
        <w:t>对易扬尘部位定期保洁、洒水、湿润，定期保洁、洒水、湿润并记录入档的。</w:t>
      </w:r>
    </w:p>
    <w:p w14:paraId="58043BFE">
      <w:pPr>
        <w:pageBreakBefore w:val="0"/>
        <w:numPr>
          <w:ilvl w:val="0"/>
          <w:numId w:val="11"/>
        </w:numPr>
        <w:kinsoku/>
        <w:wordWrap/>
        <w:overflowPunct/>
        <w:topLinePunct w:val="0"/>
        <w:bidi w:val="0"/>
        <w:adjustRightInd w:val="0"/>
        <w:snapToGrid w:val="0"/>
        <w:spacing w:line="400" w:lineRule="exact"/>
        <w:ind w:firstLine="420" w:firstLineChars="200"/>
        <w:jc w:val="left"/>
        <w:textAlignment w:val="auto"/>
        <w:rPr>
          <w:rFonts w:hint="eastAsia" w:ascii="Times New Roman" w:hAnsi="Times New Roman" w:eastAsia="宋体" w:cs="宋体"/>
          <w:sz w:val="21"/>
          <w:szCs w:val="21"/>
          <w:highlight w:val="none"/>
          <w:lang w:val="en-US" w:eastAsia="zh-CN" w:bidi="ar"/>
        </w:rPr>
      </w:pPr>
      <w:r>
        <w:rPr>
          <w:rFonts w:hint="eastAsia" w:ascii="Times New Roman" w:hAnsi="Times New Roman" w:eastAsia="宋体" w:cs="宋体"/>
          <w:sz w:val="21"/>
          <w:szCs w:val="21"/>
          <w:highlight w:val="none"/>
          <w:lang w:val="en-US" w:eastAsia="zh-CN" w:bidi="ar"/>
        </w:rPr>
        <w:t>未落实以下现场扬尘防治措施的，按2000元/项支付违约金，并限期整改，乙方超期未整改的按200元/天向甲方支付逾期未整改到位违约金：</w:t>
      </w:r>
    </w:p>
    <w:p w14:paraId="3E721776">
      <w:pPr>
        <w:pageBreakBefore w:val="0"/>
        <w:numPr>
          <w:ilvl w:val="0"/>
          <w:numId w:val="13"/>
        </w:numPr>
        <w:kinsoku/>
        <w:wordWrap/>
        <w:overflowPunct/>
        <w:topLinePunct w:val="0"/>
        <w:bidi w:val="0"/>
        <w:adjustRightInd w:val="0"/>
        <w:snapToGrid w:val="0"/>
        <w:spacing w:line="400" w:lineRule="exact"/>
        <w:ind w:left="0" w:leftChars="0" w:firstLine="420" w:firstLineChars="200"/>
        <w:jc w:val="left"/>
        <w:textAlignment w:val="auto"/>
        <w:rPr>
          <w:rFonts w:hint="eastAsia" w:ascii="Times New Roman" w:hAnsi="Times New Roman" w:eastAsia="宋体" w:cs="宋体"/>
          <w:sz w:val="21"/>
          <w:szCs w:val="21"/>
          <w:highlight w:val="none"/>
          <w:lang w:val="en-US" w:eastAsia="zh-CN" w:bidi="ar"/>
        </w:rPr>
      </w:pPr>
      <w:r>
        <w:rPr>
          <w:rFonts w:hint="eastAsia" w:ascii="Times New Roman" w:hAnsi="Times New Roman" w:eastAsia="宋体" w:cs="宋体"/>
          <w:sz w:val="21"/>
          <w:szCs w:val="21"/>
          <w:highlight w:val="none"/>
          <w:lang w:val="en-US" w:eastAsia="zh-CN" w:bidi="ar"/>
        </w:rPr>
        <w:t>与外部道路交叉口采用U字形封闭，封闭长度要确保无关车辆和人员不能进入施工场地；</w:t>
      </w:r>
    </w:p>
    <w:p w14:paraId="3F3C4141">
      <w:pPr>
        <w:pageBreakBefore w:val="0"/>
        <w:numPr>
          <w:ilvl w:val="0"/>
          <w:numId w:val="13"/>
        </w:numPr>
        <w:kinsoku/>
        <w:wordWrap/>
        <w:overflowPunct/>
        <w:topLinePunct w:val="0"/>
        <w:bidi w:val="0"/>
        <w:adjustRightInd w:val="0"/>
        <w:snapToGrid w:val="0"/>
        <w:spacing w:line="400" w:lineRule="exact"/>
        <w:ind w:left="0" w:leftChars="0" w:firstLine="420" w:firstLineChars="200"/>
        <w:jc w:val="left"/>
        <w:textAlignment w:val="auto"/>
        <w:rPr>
          <w:rFonts w:hint="eastAsia" w:ascii="Times New Roman" w:hAnsi="Times New Roman" w:eastAsia="宋体" w:cs="宋体"/>
          <w:sz w:val="21"/>
          <w:szCs w:val="21"/>
          <w:highlight w:val="none"/>
          <w:lang w:val="en-US" w:eastAsia="zh-CN" w:bidi="ar"/>
        </w:rPr>
      </w:pPr>
      <w:r>
        <w:rPr>
          <w:rFonts w:hint="eastAsia" w:ascii="Times New Roman" w:hAnsi="Times New Roman" w:eastAsia="宋体" w:cs="宋体"/>
          <w:sz w:val="21"/>
          <w:szCs w:val="21"/>
          <w:highlight w:val="none"/>
          <w:lang w:val="en-US" w:eastAsia="zh-CN" w:bidi="ar"/>
        </w:rPr>
        <w:t>粉喷桩、高压旋喷桩及其他易产生扬尘的作业区域采用全封闭；</w:t>
      </w:r>
    </w:p>
    <w:p w14:paraId="76AD0A08">
      <w:pPr>
        <w:pageBreakBefore w:val="0"/>
        <w:numPr>
          <w:ilvl w:val="0"/>
          <w:numId w:val="13"/>
        </w:numPr>
        <w:kinsoku/>
        <w:wordWrap/>
        <w:overflowPunct/>
        <w:topLinePunct w:val="0"/>
        <w:bidi w:val="0"/>
        <w:adjustRightInd w:val="0"/>
        <w:snapToGrid w:val="0"/>
        <w:spacing w:line="400" w:lineRule="exact"/>
        <w:ind w:left="0" w:leftChars="0" w:firstLine="420" w:firstLineChars="200"/>
        <w:jc w:val="left"/>
        <w:textAlignment w:val="auto"/>
        <w:rPr>
          <w:rFonts w:hint="eastAsia" w:ascii="Times New Roman" w:hAnsi="Times New Roman" w:eastAsia="宋体" w:cs="宋体"/>
          <w:sz w:val="21"/>
          <w:szCs w:val="21"/>
          <w:highlight w:val="none"/>
          <w:lang w:val="en-US" w:eastAsia="zh-CN" w:bidi="ar"/>
        </w:rPr>
      </w:pPr>
      <w:r>
        <w:rPr>
          <w:rFonts w:hint="eastAsia" w:ascii="Times New Roman" w:hAnsi="Times New Roman" w:eastAsia="宋体" w:cs="宋体"/>
          <w:sz w:val="21"/>
          <w:szCs w:val="21"/>
          <w:highlight w:val="none"/>
          <w:lang w:val="en-US" w:eastAsia="zh-CN" w:bidi="ar"/>
        </w:rPr>
        <w:t>连续设置实心围挡，构造上采用钢构式结构或砖砌式结构，一般路段的围墙围挡高度不低于1.8米（云湖核心区高度不低于2.5米），围挡外采用绿色防尘网覆盖，上挂安全或创文等宣传标语；</w:t>
      </w:r>
    </w:p>
    <w:p w14:paraId="40CF7F75">
      <w:pPr>
        <w:pageBreakBefore w:val="0"/>
        <w:numPr>
          <w:ilvl w:val="0"/>
          <w:numId w:val="13"/>
        </w:numPr>
        <w:kinsoku/>
        <w:wordWrap/>
        <w:overflowPunct/>
        <w:topLinePunct w:val="0"/>
        <w:bidi w:val="0"/>
        <w:adjustRightInd w:val="0"/>
        <w:snapToGrid w:val="0"/>
        <w:spacing w:line="400" w:lineRule="exact"/>
        <w:ind w:left="0" w:leftChars="0" w:firstLine="420" w:firstLineChars="200"/>
        <w:jc w:val="left"/>
        <w:textAlignment w:val="auto"/>
        <w:rPr>
          <w:rFonts w:hint="eastAsia" w:ascii="Times New Roman" w:hAnsi="Times New Roman" w:eastAsia="宋体" w:cs="宋体"/>
          <w:sz w:val="21"/>
          <w:szCs w:val="21"/>
          <w:highlight w:val="none"/>
          <w:lang w:val="en-US" w:eastAsia="zh-CN" w:bidi="ar"/>
        </w:rPr>
      </w:pPr>
      <w:r>
        <w:rPr>
          <w:rFonts w:hint="eastAsia" w:ascii="Times New Roman" w:hAnsi="Times New Roman" w:eastAsia="宋体" w:cs="宋体"/>
          <w:sz w:val="21"/>
          <w:szCs w:val="21"/>
          <w:highlight w:val="none"/>
          <w:lang w:val="en-US" w:eastAsia="zh-CN" w:bidi="ar"/>
        </w:rPr>
        <w:t>围挡靠道路段需设置爆闪灯、警示牌及警示柱；</w:t>
      </w:r>
    </w:p>
    <w:p w14:paraId="3A9F3141">
      <w:pPr>
        <w:pageBreakBefore w:val="0"/>
        <w:numPr>
          <w:ilvl w:val="0"/>
          <w:numId w:val="13"/>
        </w:numPr>
        <w:kinsoku/>
        <w:wordWrap/>
        <w:overflowPunct/>
        <w:topLinePunct w:val="0"/>
        <w:bidi w:val="0"/>
        <w:adjustRightInd w:val="0"/>
        <w:snapToGrid w:val="0"/>
        <w:spacing w:line="400" w:lineRule="exact"/>
        <w:ind w:left="0" w:leftChars="0" w:firstLine="420" w:firstLineChars="200"/>
        <w:jc w:val="left"/>
        <w:textAlignment w:val="auto"/>
        <w:rPr>
          <w:rFonts w:hint="eastAsia" w:ascii="Times New Roman" w:hAnsi="Times New Roman" w:eastAsia="宋体" w:cs="宋体"/>
          <w:sz w:val="21"/>
          <w:szCs w:val="21"/>
          <w:highlight w:val="none"/>
          <w:lang w:val="en-US" w:eastAsia="zh-CN" w:bidi="ar"/>
        </w:rPr>
      </w:pPr>
      <w:r>
        <w:rPr>
          <w:rFonts w:hint="eastAsia" w:ascii="Times New Roman" w:hAnsi="Times New Roman" w:eastAsia="宋体" w:cs="宋体"/>
          <w:sz w:val="21"/>
          <w:szCs w:val="21"/>
          <w:highlight w:val="none"/>
          <w:lang w:val="en-US" w:eastAsia="zh-CN" w:bidi="ar"/>
        </w:rPr>
        <w:t>出入口设置大门，24小时配置专人值守；</w:t>
      </w:r>
    </w:p>
    <w:p w14:paraId="4B3CD754">
      <w:pPr>
        <w:pageBreakBefore w:val="0"/>
        <w:numPr>
          <w:ilvl w:val="0"/>
          <w:numId w:val="13"/>
        </w:numPr>
        <w:kinsoku/>
        <w:wordWrap/>
        <w:overflowPunct/>
        <w:topLinePunct w:val="0"/>
        <w:bidi w:val="0"/>
        <w:adjustRightInd w:val="0"/>
        <w:snapToGrid w:val="0"/>
        <w:spacing w:line="400" w:lineRule="exact"/>
        <w:ind w:left="0" w:leftChars="0" w:firstLine="420" w:firstLineChars="200"/>
        <w:jc w:val="left"/>
        <w:textAlignment w:val="auto"/>
        <w:rPr>
          <w:rFonts w:hint="eastAsia" w:ascii="Times New Roman" w:hAnsi="Times New Roman" w:eastAsia="宋体" w:cs="宋体"/>
          <w:sz w:val="21"/>
          <w:szCs w:val="21"/>
          <w:highlight w:val="none"/>
          <w:lang w:val="en-US" w:eastAsia="zh-CN" w:bidi="ar"/>
        </w:rPr>
      </w:pPr>
      <w:r>
        <w:rPr>
          <w:rFonts w:hint="eastAsia" w:ascii="Times New Roman" w:hAnsi="Times New Roman" w:eastAsia="宋体" w:cs="宋体"/>
          <w:sz w:val="21"/>
          <w:szCs w:val="21"/>
          <w:highlight w:val="none"/>
          <w:lang w:val="en-US" w:eastAsia="zh-CN" w:bidi="ar"/>
        </w:rPr>
        <w:t>市政工程出入口采取混凝土硬化，取土工程便道采取铺垫钢板硬化；</w:t>
      </w:r>
    </w:p>
    <w:p w14:paraId="54929DF9">
      <w:pPr>
        <w:pageBreakBefore w:val="0"/>
        <w:numPr>
          <w:ilvl w:val="0"/>
          <w:numId w:val="13"/>
        </w:numPr>
        <w:kinsoku/>
        <w:wordWrap/>
        <w:overflowPunct/>
        <w:topLinePunct w:val="0"/>
        <w:bidi w:val="0"/>
        <w:adjustRightInd w:val="0"/>
        <w:snapToGrid w:val="0"/>
        <w:spacing w:line="400" w:lineRule="exact"/>
        <w:ind w:left="0" w:leftChars="0" w:firstLine="420" w:firstLineChars="200"/>
        <w:jc w:val="left"/>
        <w:textAlignment w:val="auto"/>
        <w:rPr>
          <w:rFonts w:hint="eastAsia" w:ascii="Times New Roman" w:hAnsi="Times New Roman" w:eastAsia="宋体" w:cs="宋体"/>
          <w:sz w:val="21"/>
          <w:szCs w:val="21"/>
          <w:highlight w:val="none"/>
          <w:lang w:val="en-US" w:eastAsia="zh-CN" w:bidi="ar"/>
        </w:rPr>
      </w:pPr>
      <w:r>
        <w:rPr>
          <w:rFonts w:hint="eastAsia" w:ascii="Times New Roman" w:hAnsi="Times New Roman" w:eastAsia="宋体" w:cs="宋体"/>
          <w:sz w:val="21"/>
          <w:szCs w:val="21"/>
          <w:highlight w:val="none"/>
          <w:lang w:val="en-US" w:eastAsia="zh-CN" w:bidi="ar"/>
        </w:rPr>
        <w:t>硬化道路承载力满足车辆行驶和抗压要求，出入口混凝土标号为C30及以上；</w:t>
      </w:r>
    </w:p>
    <w:p w14:paraId="30EA6089">
      <w:pPr>
        <w:pageBreakBefore w:val="0"/>
        <w:numPr>
          <w:ilvl w:val="0"/>
          <w:numId w:val="13"/>
        </w:numPr>
        <w:kinsoku/>
        <w:wordWrap/>
        <w:overflowPunct/>
        <w:topLinePunct w:val="0"/>
        <w:bidi w:val="0"/>
        <w:adjustRightInd w:val="0"/>
        <w:snapToGrid w:val="0"/>
        <w:spacing w:line="400" w:lineRule="exact"/>
        <w:ind w:left="0" w:leftChars="0" w:firstLine="420" w:firstLineChars="200"/>
        <w:jc w:val="left"/>
        <w:textAlignment w:val="auto"/>
        <w:rPr>
          <w:rFonts w:hint="eastAsia" w:ascii="Times New Roman" w:hAnsi="Times New Roman" w:eastAsia="宋体" w:cs="宋体"/>
          <w:sz w:val="21"/>
          <w:szCs w:val="21"/>
          <w:highlight w:val="none"/>
          <w:lang w:val="en-US" w:eastAsia="zh-CN" w:bidi="ar"/>
        </w:rPr>
      </w:pPr>
      <w:r>
        <w:rPr>
          <w:rFonts w:hint="eastAsia" w:ascii="Times New Roman" w:hAnsi="Times New Roman" w:eastAsia="宋体" w:cs="宋体"/>
          <w:sz w:val="21"/>
          <w:szCs w:val="21"/>
          <w:highlight w:val="none"/>
          <w:lang w:val="en-US" w:eastAsia="zh-CN" w:bidi="ar"/>
        </w:rPr>
        <w:t>材料堆放区、加工区及大模板存放区等采用C20及以上混凝土硬化；</w:t>
      </w:r>
    </w:p>
    <w:p w14:paraId="5B03E1DB">
      <w:pPr>
        <w:pageBreakBefore w:val="0"/>
        <w:numPr>
          <w:ilvl w:val="0"/>
          <w:numId w:val="13"/>
        </w:numPr>
        <w:kinsoku/>
        <w:wordWrap/>
        <w:overflowPunct/>
        <w:topLinePunct w:val="0"/>
        <w:bidi w:val="0"/>
        <w:adjustRightInd w:val="0"/>
        <w:snapToGrid w:val="0"/>
        <w:spacing w:line="400" w:lineRule="exact"/>
        <w:ind w:left="0" w:leftChars="0" w:firstLine="420" w:firstLineChars="200"/>
        <w:jc w:val="left"/>
        <w:textAlignment w:val="auto"/>
        <w:rPr>
          <w:rFonts w:hint="eastAsia" w:ascii="Times New Roman" w:hAnsi="Times New Roman" w:eastAsia="宋体" w:cs="宋体"/>
          <w:sz w:val="21"/>
          <w:szCs w:val="21"/>
          <w:highlight w:val="none"/>
          <w:lang w:val="en-US" w:eastAsia="zh-CN" w:bidi="ar"/>
        </w:rPr>
      </w:pPr>
      <w:r>
        <w:rPr>
          <w:rFonts w:hint="eastAsia" w:ascii="Times New Roman" w:hAnsi="Times New Roman" w:eastAsia="宋体" w:cs="宋体"/>
          <w:sz w:val="21"/>
          <w:szCs w:val="21"/>
          <w:highlight w:val="none"/>
          <w:lang w:val="en-US" w:eastAsia="zh-CN" w:bidi="ar"/>
        </w:rPr>
        <w:t>出入口配备水冲洗设施，对出场车辆进行冲洗；</w:t>
      </w:r>
    </w:p>
    <w:p w14:paraId="52E1FF15">
      <w:pPr>
        <w:pageBreakBefore w:val="0"/>
        <w:numPr>
          <w:ilvl w:val="0"/>
          <w:numId w:val="13"/>
        </w:numPr>
        <w:kinsoku/>
        <w:wordWrap/>
        <w:overflowPunct/>
        <w:topLinePunct w:val="0"/>
        <w:bidi w:val="0"/>
        <w:adjustRightInd w:val="0"/>
        <w:snapToGrid w:val="0"/>
        <w:spacing w:line="400" w:lineRule="exact"/>
        <w:ind w:left="0" w:leftChars="0" w:firstLine="420" w:firstLineChars="200"/>
        <w:jc w:val="left"/>
        <w:textAlignment w:val="auto"/>
        <w:rPr>
          <w:rFonts w:hint="eastAsia" w:ascii="Times New Roman" w:hAnsi="Times New Roman" w:eastAsia="宋体" w:cs="宋体"/>
          <w:sz w:val="21"/>
          <w:szCs w:val="21"/>
          <w:highlight w:val="none"/>
          <w:lang w:val="en-US" w:eastAsia="zh-CN" w:bidi="ar"/>
        </w:rPr>
      </w:pPr>
      <w:r>
        <w:rPr>
          <w:rFonts w:hint="eastAsia" w:ascii="Times New Roman" w:hAnsi="Times New Roman" w:eastAsia="宋体" w:cs="宋体"/>
          <w:sz w:val="21"/>
          <w:szCs w:val="21"/>
          <w:highlight w:val="none"/>
          <w:lang w:val="en-US" w:eastAsia="zh-CN" w:bidi="ar"/>
        </w:rPr>
        <w:t>冲洗设备为自动高压喷冲设备，满足工程车辆外围尺寸要求并设置沉淀池。不得采取简单的人工水枪等简易设施。确保车辆不带泥上路；</w:t>
      </w:r>
    </w:p>
    <w:p w14:paraId="110799FE">
      <w:pPr>
        <w:pageBreakBefore w:val="0"/>
        <w:numPr>
          <w:ilvl w:val="0"/>
          <w:numId w:val="13"/>
        </w:numPr>
        <w:kinsoku/>
        <w:wordWrap/>
        <w:overflowPunct/>
        <w:topLinePunct w:val="0"/>
        <w:bidi w:val="0"/>
        <w:adjustRightInd w:val="0"/>
        <w:snapToGrid w:val="0"/>
        <w:spacing w:line="400" w:lineRule="exact"/>
        <w:ind w:left="0" w:leftChars="0" w:firstLine="420" w:firstLineChars="200"/>
        <w:jc w:val="left"/>
        <w:textAlignment w:val="auto"/>
        <w:rPr>
          <w:rFonts w:hint="eastAsia" w:ascii="Times New Roman" w:hAnsi="Times New Roman" w:eastAsia="宋体" w:cs="宋体"/>
          <w:sz w:val="21"/>
          <w:szCs w:val="21"/>
          <w:highlight w:val="none"/>
          <w:lang w:val="en-US" w:eastAsia="zh-CN" w:bidi="ar"/>
        </w:rPr>
      </w:pPr>
      <w:r>
        <w:rPr>
          <w:rFonts w:hint="eastAsia" w:ascii="Times New Roman" w:hAnsi="Times New Roman" w:eastAsia="宋体" w:cs="宋体"/>
          <w:sz w:val="21"/>
          <w:szCs w:val="21"/>
          <w:highlight w:val="none"/>
          <w:lang w:val="en-US" w:eastAsia="zh-CN" w:bidi="ar"/>
        </w:rPr>
        <w:t>土石方及其他易扬尘车辆运输必须做到平仓出场、帆布覆盖，不沿途抛洒。</w:t>
      </w:r>
    </w:p>
    <w:p w14:paraId="7D9935B6">
      <w:pPr>
        <w:pageBreakBefore w:val="0"/>
        <w:numPr>
          <w:ilvl w:val="0"/>
          <w:numId w:val="13"/>
        </w:numPr>
        <w:kinsoku/>
        <w:wordWrap/>
        <w:overflowPunct/>
        <w:topLinePunct w:val="0"/>
        <w:bidi w:val="0"/>
        <w:adjustRightInd w:val="0"/>
        <w:snapToGrid w:val="0"/>
        <w:spacing w:line="400" w:lineRule="exact"/>
        <w:ind w:left="0" w:leftChars="0" w:firstLine="420" w:firstLineChars="200"/>
        <w:jc w:val="left"/>
        <w:textAlignment w:val="auto"/>
        <w:rPr>
          <w:rFonts w:hint="eastAsia" w:ascii="Times New Roman" w:hAnsi="Times New Roman" w:eastAsia="宋体" w:cs="宋体"/>
          <w:sz w:val="21"/>
          <w:szCs w:val="21"/>
          <w:highlight w:val="none"/>
          <w:lang w:val="en-US" w:eastAsia="zh-CN" w:bidi="ar"/>
        </w:rPr>
      </w:pPr>
      <w:r>
        <w:rPr>
          <w:rFonts w:hint="eastAsia" w:ascii="Times New Roman" w:hAnsi="Times New Roman" w:eastAsia="宋体" w:cs="宋体"/>
          <w:sz w:val="21"/>
          <w:szCs w:val="21"/>
          <w:highlight w:val="none"/>
          <w:lang w:val="en-US" w:eastAsia="zh-CN" w:bidi="ar"/>
        </w:rPr>
        <w:t>裸露场地、土堆、道路两侧、基坑开挖采取覆盖或固化措施；</w:t>
      </w:r>
    </w:p>
    <w:p w14:paraId="4E86A30A">
      <w:pPr>
        <w:pageBreakBefore w:val="0"/>
        <w:numPr>
          <w:ilvl w:val="0"/>
          <w:numId w:val="13"/>
        </w:numPr>
        <w:kinsoku/>
        <w:wordWrap/>
        <w:overflowPunct/>
        <w:topLinePunct w:val="0"/>
        <w:bidi w:val="0"/>
        <w:adjustRightInd w:val="0"/>
        <w:snapToGrid w:val="0"/>
        <w:spacing w:line="400" w:lineRule="exact"/>
        <w:ind w:left="0" w:leftChars="0" w:firstLine="420" w:firstLineChars="200"/>
        <w:jc w:val="left"/>
        <w:textAlignment w:val="auto"/>
        <w:rPr>
          <w:rFonts w:hint="eastAsia" w:ascii="Times New Roman" w:hAnsi="Times New Roman" w:eastAsia="宋体" w:cs="宋体"/>
          <w:sz w:val="21"/>
          <w:szCs w:val="21"/>
          <w:highlight w:val="none"/>
          <w:lang w:val="en-US" w:eastAsia="zh-CN" w:bidi="ar"/>
        </w:rPr>
      </w:pPr>
      <w:r>
        <w:rPr>
          <w:rFonts w:hint="eastAsia" w:ascii="Times New Roman" w:hAnsi="Times New Roman" w:eastAsia="宋体" w:cs="宋体"/>
          <w:sz w:val="21"/>
          <w:szCs w:val="21"/>
          <w:highlight w:val="none"/>
          <w:lang w:val="en-US" w:eastAsia="zh-CN" w:bidi="ar"/>
        </w:rPr>
        <w:t>覆盖采用4针目以上绿色防尘网，严禁拉伸和土压；</w:t>
      </w:r>
    </w:p>
    <w:p w14:paraId="48E82A96">
      <w:pPr>
        <w:pageBreakBefore w:val="0"/>
        <w:numPr>
          <w:ilvl w:val="0"/>
          <w:numId w:val="13"/>
        </w:numPr>
        <w:kinsoku/>
        <w:wordWrap/>
        <w:overflowPunct/>
        <w:topLinePunct w:val="0"/>
        <w:bidi w:val="0"/>
        <w:adjustRightInd w:val="0"/>
        <w:snapToGrid w:val="0"/>
        <w:spacing w:line="400" w:lineRule="exact"/>
        <w:ind w:left="0" w:leftChars="0" w:firstLine="420" w:firstLineChars="200"/>
        <w:jc w:val="left"/>
        <w:textAlignment w:val="auto"/>
        <w:rPr>
          <w:rFonts w:hint="eastAsia" w:ascii="Times New Roman" w:hAnsi="Times New Roman" w:eastAsia="宋体" w:cs="宋体"/>
          <w:sz w:val="21"/>
          <w:szCs w:val="21"/>
          <w:highlight w:val="none"/>
          <w:lang w:val="en-US" w:eastAsia="zh-CN" w:bidi="ar"/>
        </w:rPr>
      </w:pPr>
      <w:r>
        <w:rPr>
          <w:rFonts w:hint="eastAsia" w:ascii="Times New Roman" w:hAnsi="Times New Roman" w:eastAsia="宋体" w:cs="宋体"/>
          <w:sz w:val="21"/>
          <w:szCs w:val="21"/>
          <w:highlight w:val="none"/>
          <w:lang w:val="en-US" w:eastAsia="zh-CN" w:bidi="ar"/>
        </w:rPr>
        <w:t>开挖或机械运输导致覆盖被破坏后必须及时进行补充覆盖；</w:t>
      </w:r>
    </w:p>
    <w:p w14:paraId="4818B07B">
      <w:pPr>
        <w:pageBreakBefore w:val="0"/>
        <w:numPr>
          <w:ilvl w:val="0"/>
          <w:numId w:val="13"/>
        </w:numPr>
        <w:kinsoku/>
        <w:wordWrap/>
        <w:overflowPunct/>
        <w:topLinePunct w:val="0"/>
        <w:bidi w:val="0"/>
        <w:adjustRightInd w:val="0"/>
        <w:snapToGrid w:val="0"/>
        <w:spacing w:line="400" w:lineRule="exact"/>
        <w:ind w:left="0" w:leftChars="0" w:firstLine="420" w:firstLineChars="200"/>
        <w:jc w:val="left"/>
        <w:textAlignment w:val="auto"/>
        <w:rPr>
          <w:rFonts w:hint="eastAsia" w:ascii="Times New Roman" w:hAnsi="Times New Roman" w:eastAsia="宋体" w:cs="宋体"/>
          <w:sz w:val="21"/>
          <w:szCs w:val="21"/>
          <w:highlight w:val="none"/>
          <w:lang w:val="en-US" w:eastAsia="zh-CN" w:bidi="ar"/>
        </w:rPr>
      </w:pPr>
      <w:r>
        <w:rPr>
          <w:rFonts w:hint="eastAsia" w:ascii="Times New Roman" w:hAnsi="Times New Roman" w:eastAsia="宋体" w:cs="宋体"/>
          <w:sz w:val="21"/>
          <w:szCs w:val="21"/>
          <w:highlight w:val="none"/>
          <w:lang w:val="en-US" w:eastAsia="zh-CN" w:bidi="ar"/>
        </w:rPr>
        <w:t>砂、石等建筑材料露天堆放采取帆布覆盖；</w:t>
      </w:r>
    </w:p>
    <w:p w14:paraId="4912914D">
      <w:pPr>
        <w:pageBreakBefore w:val="0"/>
        <w:numPr>
          <w:ilvl w:val="0"/>
          <w:numId w:val="13"/>
        </w:numPr>
        <w:kinsoku/>
        <w:wordWrap/>
        <w:overflowPunct/>
        <w:topLinePunct w:val="0"/>
        <w:bidi w:val="0"/>
        <w:adjustRightInd w:val="0"/>
        <w:snapToGrid w:val="0"/>
        <w:spacing w:line="400" w:lineRule="exact"/>
        <w:ind w:left="0" w:leftChars="0" w:firstLine="420" w:firstLineChars="200"/>
        <w:jc w:val="left"/>
        <w:textAlignment w:val="auto"/>
        <w:rPr>
          <w:rFonts w:hint="eastAsia" w:ascii="Times New Roman" w:hAnsi="Times New Roman" w:eastAsia="宋体" w:cs="宋体"/>
          <w:sz w:val="21"/>
          <w:szCs w:val="21"/>
          <w:highlight w:val="none"/>
          <w:lang w:val="en-US" w:eastAsia="zh-CN" w:bidi="ar"/>
        </w:rPr>
      </w:pPr>
      <w:r>
        <w:rPr>
          <w:rFonts w:hint="eastAsia" w:ascii="Times New Roman" w:hAnsi="Times New Roman" w:eastAsia="宋体" w:cs="宋体"/>
          <w:sz w:val="21"/>
          <w:szCs w:val="21"/>
          <w:highlight w:val="none"/>
          <w:lang w:val="en-US" w:eastAsia="zh-CN" w:bidi="ar"/>
        </w:rPr>
        <w:t>细颗粒建筑材料封闭存放；</w:t>
      </w:r>
    </w:p>
    <w:p w14:paraId="0D008D09">
      <w:pPr>
        <w:pageBreakBefore w:val="0"/>
        <w:numPr>
          <w:ilvl w:val="0"/>
          <w:numId w:val="13"/>
        </w:numPr>
        <w:kinsoku/>
        <w:wordWrap/>
        <w:overflowPunct/>
        <w:topLinePunct w:val="0"/>
        <w:bidi w:val="0"/>
        <w:adjustRightInd w:val="0"/>
        <w:snapToGrid w:val="0"/>
        <w:spacing w:line="400" w:lineRule="exact"/>
        <w:ind w:left="0" w:leftChars="0" w:firstLine="420" w:firstLineChars="200"/>
        <w:jc w:val="left"/>
        <w:textAlignment w:val="auto"/>
        <w:rPr>
          <w:rFonts w:hint="eastAsia" w:ascii="Times New Roman" w:hAnsi="Times New Roman" w:eastAsia="宋体" w:cs="宋体"/>
          <w:sz w:val="21"/>
          <w:szCs w:val="21"/>
          <w:highlight w:val="none"/>
          <w:lang w:val="en-US" w:eastAsia="zh-CN" w:bidi="ar"/>
        </w:rPr>
      </w:pPr>
      <w:r>
        <w:rPr>
          <w:rFonts w:hint="eastAsia" w:ascii="Times New Roman" w:hAnsi="Times New Roman" w:eastAsia="宋体" w:cs="宋体"/>
          <w:sz w:val="21"/>
          <w:szCs w:val="21"/>
          <w:highlight w:val="none"/>
          <w:lang w:val="en-US" w:eastAsia="zh-CN" w:bidi="ar"/>
        </w:rPr>
        <w:t>搅拌设备、储罐四周设置封闭围挡。</w:t>
      </w:r>
    </w:p>
    <w:p w14:paraId="5FA42F86">
      <w:pPr>
        <w:pageBreakBefore w:val="0"/>
        <w:numPr>
          <w:ilvl w:val="0"/>
          <w:numId w:val="11"/>
        </w:numPr>
        <w:kinsoku/>
        <w:wordWrap/>
        <w:overflowPunct/>
        <w:topLinePunct w:val="0"/>
        <w:bidi w:val="0"/>
        <w:adjustRightInd w:val="0"/>
        <w:snapToGrid w:val="0"/>
        <w:spacing w:line="400" w:lineRule="exact"/>
        <w:ind w:firstLine="420" w:firstLineChars="200"/>
        <w:jc w:val="left"/>
        <w:textAlignment w:val="auto"/>
        <w:rPr>
          <w:rFonts w:hint="eastAsia" w:ascii="Times New Roman" w:hAnsi="Times New Roman" w:eastAsia="宋体" w:cs="宋体"/>
          <w:sz w:val="21"/>
          <w:szCs w:val="21"/>
          <w:highlight w:val="none"/>
          <w:lang w:val="en-US" w:eastAsia="zh-CN" w:bidi="ar"/>
        </w:rPr>
      </w:pPr>
      <w:r>
        <w:rPr>
          <w:rFonts w:hint="eastAsia" w:ascii="Times New Roman" w:hAnsi="Times New Roman" w:eastAsia="宋体" w:cs="宋体"/>
          <w:sz w:val="21"/>
          <w:szCs w:val="21"/>
          <w:highlight w:val="none"/>
          <w:lang w:val="en-US" w:eastAsia="zh-CN" w:bidi="ar"/>
        </w:rPr>
        <w:t>其他扬尘防治措施落实不到位，导致产生扬尘污染的，根据情节严重予以2000元/次-10000元/次处罚。</w:t>
      </w:r>
    </w:p>
    <w:p w14:paraId="445739CA">
      <w:pPr>
        <w:pageBreakBefore w:val="0"/>
        <w:numPr>
          <w:ilvl w:val="0"/>
          <w:numId w:val="11"/>
        </w:numPr>
        <w:kinsoku/>
        <w:wordWrap/>
        <w:overflowPunct/>
        <w:topLinePunct w:val="0"/>
        <w:bidi w:val="0"/>
        <w:adjustRightInd w:val="0"/>
        <w:snapToGrid w:val="0"/>
        <w:spacing w:line="400" w:lineRule="exact"/>
        <w:ind w:firstLine="420" w:firstLineChars="200"/>
        <w:jc w:val="left"/>
        <w:textAlignment w:val="auto"/>
        <w:rPr>
          <w:rFonts w:hint="eastAsia" w:ascii="Times New Roman" w:hAnsi="Times New Roman" w:eastAsia="宋体" w:cs="宋体"/>
          <w:sz w:val="21"/>
          <w:szCs w:val="21"/>
          <w:highlight w:val="none"/>
          <w:lang w:val="en-US" w:eastAsia="zh-CN" w:bidi="ar"/>
        </w:rPr>
      </w:pPr>
      <w:r>
        <w:rPr>
          <w:rFonts w:hint="eastAsia" w:ascii="Times New Roman" w:hAnsi="Times New Roman" w:eastAsia="宋体" w:cs="宋体"/>
          <w:sz w:val="21"/>
          <w:szCs w:val="21"/>
          <w:highlight w:val="none"/>
          <w:lang w:val="en-US" w:eastAsia="zh-CN"/>
        </w:rPr>
        <w:t>甲方有权直接从应付未付工程款中扣除乙方上述违约金，如以上情形</w:t>
      </w:r>
      <w:r>
        <w:rPr>
          <w:rFonts w:hint="eastAsia" w:ascii="Times New Roman" w:hAnsi="Times New Roman" w:eastAsia="宋体" w:cs="宋体"/>
          <w:sz w:val="21"/>
          <w:szCs w:val="21"/>
          <w:highlight w:val="none"/>
        </w:rPr>
        <w:t>违约金不足以弥补甲方所遭受损失的，</w:t>
      </w:r>
      <w:r>
        <w:rPr>
          <w:rFonts w:hint="eastAsia" w:ascii="Times New Roman" w:hAnsi="Times New Roman" w:eastAsia="宋体" w:cs="宋体"/>
          <w:sz w:val="21"/>
          <w:szCs w:val="21"/>
          <w:highlight w:val="none"/>
          <w:lang w:eastAsia="zh-CN"/>
        </w:rPr>
        <w:t>乙方对甲方损失负有补足责任</w:t>
      </w:r>
      <w:r>
        <w:rPr>
          <w:rFonts w:hint="eastAsia" w:ascii="Times New Roman" w:hAnsi="Times New Roman" w:eastAsia="宋体" w:cs="宋体"/>
          <w:sz w:val="21"/>
          <w:szCs w:val="21"/>
          <w:highlight w:val="none"/>
        </w:rPr>
        <w:t>。</w:t>
      </w:r>
      <w:r>
        <w:rPr>
          <w:rFonts w:hint="eastAsia" w:ascii="Times New Roman" w:hAnsi="Times New Roman" w:eastAsia="宋体" w:cs="宋体"/>
          <w:sz w:val="21"/>
          <w:szCs w:val="21"/>
          <w:highlight w:val="none"/>
          <w:lang w:val="en-US" w:eastAsia="zh-CN" w:bidi="ar"/>
        </w:rPr>
        <w:t xml:space="preserve"> </w:t>
      </w:r>
    </w:p>
    <w:p w14:paraId="296B9704">
      <w:pPr>
        <w:pageBreakBefore w:val="0"/>
        <w:kinsoku/>
        <w:wordWrap/>
        <w:overflowPunct/>
        <w:topLinePunct w:val="0"/>
        <w:bidi w:val="0"/>
        <w:adjustRightInd w:val="0"/>
        <w:snapToGrid w:val="0"/>
        <w:spacing w:line="400" w:lineRule="exact"/>
        <w:ind w:firstLine="420" w:firstLineChars="200"/>
        <w:jc w:val="left"/>
        <w:textAlignment w:val="auto"/>
        <w:rPr>
          <w:rFonts w:hint="eastAsia" w:ascii="Times New Roman" w:hAnsi="Times New Roman" w:eastAsia="宋体" w:cs="宋体"/>
          <w:sz w:val="21"/>
          <w:szCs w:val="21"/>
          <w:highlight w:val="none"/>
        </w:rPr>
      </w:pPr>
      <w:r>
        <w:rPr>
          <w:rFonts w:hint="eastAsia" w:ascii="Times New Roman" w:hAnsi="Times New Roman" w:eastAsia="宋体" w:cs="宋体"/>
          <w:sz w:val="21"/>
          <w:szCs w:val="21"/>
          <w:highlight w:val="none"/>
          <w:lang w:eastAsia="zh-CN"/>
        </w:rPr>
        <w:t>（以下无正文）</w:t>
      </w:r>
    </w:p>
    <w:p w14:paraId="11BF48B8">
      <w:pPr>
        <w:pageBreakBefore w:val="0"/>
        <w:kinsoku/>
        <w:wordWrap/>
        <w:overflowPunct/>
        <w:topLinePunct w:val="0"/>
        <w:bidi w:val="0"/>
        <w:spacing w:line="400" w:lineRule="exact"/>
        <w:ind w:firstLine="0" w:firstLineChars="0"/>
        <w:textAlignment w:val="auto"/>
        <w:rPr>
          <w:rFonts w:hint="eastAsia" w:ascii="Times New Roman" w:hAnsi="Times New Roman" w:eastAsia="宋体" w:cs="宋体"/>
          <w:sz w:val="21"/>
          <w:szCs w:val="21"/>
          <w:highlight w:val="none"/>
          <w:lang w:eastAsia="zh-CN"/>
        </w:rPr>
      </w:pPr>
    </w:p>
    <w:p w14:paraId="06160CDA">
      <w:pPr>
        <w:pageBreakBefore w:val="0"/>
        <w:widowControl/>
        <w:kinsoku/>
        <w:wordWrap/>
        <w:overflowPunct/>
        <w:topLinePunct w:val="0"/>
        <w:bidi w:val="0"/>
        <w:adjustRightInd w:val="0"/>
        <w:snapToGrid w:val="0"/>
        <w:spacing w:line="400" w:lineRule="exact"/>
        <w:ind w:firstLine="630" w:firstLineChars="300"/>
        <w:jc w:val="left"/>
        <w:textAlignment w:val="auto"/>
        <w:rPr>
          <w:rFonts w:hint="eastAsia" w:ascii="Times New Roman" w:hAnsi="Times New Roman" w:eastAsia="宋体" w:cs="宋体"/>
          <w:sz w:val="21"/>
          <w:szCs w:val="21"/>
          <w:highlight w:val="none"/>
        </w:rPr>
      </w:pPr>
      <w:r>
        <w:rPr>
          <w:rFonts w:hint="eastAsia" w:ascii="Times New Roman" w:hAnsi="Times New Roman" w:eastAsia="宋体" w:cs="宋体"/>
          <w:sz w:val="21"/>
          <w:szCs w:val="21"/>
          <w:highlight w:val="none"/>
          <w:lang w:eastAsia="zh-CN"/>
        </w:rPr>
        <w:t>甲方</w:t>
      </w:r>
      <w:r>
        <w:rPr>
          <w:rFonts w:hint="eastAsia" w:ascii="Times New Roman" w:hAnsi="Times New Roman" w:eastAsia="宋体" w:cs="宋体"/>
          <w:sz w:val="21"/>
          <w:szCs w:val="21"/>
          <w:highlight w:val="none"/>
        </w:rPr>
        <w:t xml:space="preserve">：（盖章）           </w:t>
      </w:r>
      <w:r>
        <w:rPr>
          <w:rFonts w:hint="eastAsia" w:ascii="Times New Roman" w:hAnsi="Times New Roman" w:eastAsia="宋体" w:cs="宋体"/>
          <w:sz w:val="21"/>
          <w:szCs w:val="21"/>
          <w:highlight w:val="none"/>
          <w:lang w:val="en-US" w:eastAsia="zh-CN"/>
        </w:rPr>
        <w:t xml:space="preserve">                   </w:t>
      </w:r>
      <w:r>
        <w:rPr>
          <w:rFonts w:hint="eastAsia" w:ascii="Times New Roman" w:hAnsi="Times New Roman" w:eastAsia="宋体" w:cs="宋体"/>
          <w:sz w:val="21"/>
          <w:szCs w:val="21"/>
          <w:highlight w:val="none"/>
          <w:lang w:eastAsia="zh-CN"/>
        </w:rPr>
        <w:t>乙方</w:t>
      </w:r>
      <w:r>
        <w:rPr>
          <w:rFonts w:hint="eastAsia" w:ascii="Times New Roman" w:hAnsi="Times New Roman" w:eastAsia="宋体" w:cs="宋体"/>
          <w:sz w:val="21"/>
          <w:szCs w:val="21"/>
          <w:highlight w:val="none"/>
        </w:rPr>
        <w:t>：（盖章）</w:t>
      </w:r>
    </w:p>
    <w:p w14:paraId="27826D48">
      <w:pPr>
        <w:pageBreakBefore w:val="0"/>
        <w:widowControl/>
        <w:kinsoku/>
        <w:wordWrap/>
        <w:overflowPunct/>
        <w:topLinePunct w:val="0"/>
        <w:bidi w:val="0"/>
        <w:adjustRightInd w:val="0"/>
        <w:snapToGrid w:val="0"/>
        <w:spacing w:line="400" w:lineRule="exact"/>
        <w:ind w:left="0" w:leftChars="0" w:firstLine="630" w:firstLineChars="300"/>
        <w:jc w:val="left"/>
        <w:textAlignment w:val="auto"/>
        <w:rPr>
          <w:rFonts w:hint="eastAsia" w:ascii="Times New Roman" w:hAnsi="Times New Roman" w:eastAsia="宋体" w:cs="宋体"/>
          <w:sz w:val="21"/>
          <w:szCs w:val="21"/>
          <w:highlight w:val="none"/>
        </w:rPr>
      </w:pPr>
    </w:p>
    <w:p w14:paraId="50F70526">
      <w:pPr>
        <w:pageBreakBefore w:val="0"/>
        <w:widowControl/>
        <w:kinsoku/>
        <w:wordWrap/>
        <w:overflowPunct/>
        <w:topLinePunct w:val="0"/>
        <w:bidi w:val="0"/>
        <w:adjustRightInd w:val="0"/>
        <w:snapToGrid w:val="0"/>
        <w:spacing w:line="400" w:lineRule="exact"/>
        <w:ind w:left="0" w:leftChars="0" w:firstLine="630" w:firstLineChars="300"/>
        <w:jc w:val="left"/>
        <w:textAlignment w:val="auto"/>
        <w:rPr>
          <w:rFonts w:hint="eastAsia" w:ascii="Times New Roman" w:hAnsi="Times New Roman" w:eastAsia="宋体" w:cs="宋体"/>
          <w:sz w:val="21"/>
          <w:szCs w:val="21"/>
          <w:highlight w:val="none"/>
          <w:lang w:val="en-US" w:eastAsia="zh-CN"/>
        </w:rPr>
      </w:pPr>
      <w:r>
        <w:rPr>
          <w:rFonts w:hint="eastAsia" w:ascii="Times New Roman" w:hAnsi="Times New Roman" w:eastAsia="宋体" w:cs="宋体"/>
          <w:sz w:val="21"/>
          <w:szCs w:val="21"/>
          <w:highlight w:val="none"/>
        </w:rPr>
        <w:t>法定代表人或其委托代理人：</w:t>
      </w:r>
      <w:r>
        <w:rPr>
          <w:rFonts w:hint="eastAsia" w:ascii="Times New Roman" w:hAnsi="Times New Roman" w:eastAsia="宋体" w:cs="宋体"/>
          <w:sz w:val="21"/>
          <w:szCs w:val="21"/>
          <w:highlight w:val="none"/>
          <w:lang w:val="en-US" w:eastAsia="zh-CN"/>
        </w:rPr>
        <w:t xml:space="preserve">                  </w:t>
      </w:r>
      <w:r>
        <w:rPr>
          <w:rFonts w:hint="eastAsia" w:ascii="Times New Roman" w:hAnsi="Times New Roman" w:eastAsia="宋体" w:cs="宋体"/>
          <w:sz w:val="21"/>
          <w:szCs w:val="21"/>
          <w:highlight w:val="none"/>
        </w:rPr>
        <w:t>法定代表人或其委托代理人：</w:t>
      </w:r>
    </w:p>
    <w:p w14:paraId="534908D3">
      <w:pPr>
        <w:keepNext w:val="0"/>
        <w:keepLines w:val="0"/>
        <w:pageBreakBefore w:val="0"/>
        <w:kinsoku/>
        <w:wordWrap/>
        <w:overflowPunct/>
        <w:topLinePunct w:val="0"/>
        <w:autoSpaceDE/>
        <w:autoSpaceDN/>
        <w:bidi w:val="0"/>
        <w:spacing w:line="360" w:lineRule="auto"/>
        <w:ind w:left="0" w:leftChars="0" w:firstLine="630" w:firstLineChars="300"/>
        <w:textAlignment w:val="auto"/>
        <w:rPr>
          <w:rFonts w:hint="eastAsia" w:ascii="Times New Roman" w:hAnsi="Times New Roman" w:eastAsia="宋体" w:cs="宋体"/>
          <w:sz w:val="21"/>
          <w:szCs w:val="21"/>
          <w:highlight w:val="none"/>
          <w:lang w:eastAsia="zh-CN"/>
        </w:rPr>
      </w:pPr>
      <w:r>
        <w:rPr>
          <w:rFonts w:hint="eastAsia" w:ascii="Times New Roman" w:hAnsi="Times New Roman" w:eastAsia="宋体" w:cs="宋体"/>
          <w:sz w:val="21"/>
          <w:szCs w:val="21"/>
          <w:highlight w:val="none"/>
          <w:lang w:eastAsia="zh-CN"/>
        </w:rPr>
        <w:t>（签字或盖章）</w:t>
      </w:r>
      <w:r>
        <w:rPr>
          <w:rFonts w:hint="eastAsia" w:ascii="Times New Roman" w:hAnsi="Times New Roman" w:eastAsia="宋体" w:cs="宋体"/>
          <w:sz w:val="21"/>
          <w:szCs w:val="21"/>
          <w:highlight w:val="none"/>
        </w:rPr>
        <w:t xml:space="preserve">     </w:t>
      </w:r>
      <w:r>
        <w:rPr>
          <w:rFonts w:hint="eastAsia" w:ascii="Times New Roman" w:hAnsi="Times New Roman" w:eastAsia="宋体" w:cs="宋体"/>
          <w:sz w:val="21"/>
          <w:szCs w:val="21"/>
          <w:highlight w:val="none"/>
          <w:lang w:val="en-US" w:eastAsia="zh-CN"/>
        </w:rPr>
        <w:t xml:space="preserve">                         </w:t>
      </w:r>
      <w:r>
        <w:rPr>
          <w:rFonts w:hint="eastAsia" w:ascii="Times New Roman" w:hAnsi="Times New Roman" w:eastAsia="宋体" w:cs="宋体"/>
          <w:sz w:val="21"/>
          <w:szCs w:val="21"/>
          <w:highlight w:val="none"/>
          <w:lang w:eastAsia="zh-CN"/>
        </w:rPr>
        <w:t>（签字或盖章）</w:t>
      </w:r>
    </w:p>
    <w:p w14:paraId="1EFE8134">
      <w:pPr>
        <w:pageBreakBefore w:val="0"/>
        <w:widowControl/>
        <w:kinsoku/>
        <w:wordWrap/>
        <w:overflowPunct/>
        <w:topLinePunct w:val="0"/>
        <w:bidi w:val="0"/>
        <w:adjustRightInd w:val="0"/>
        <w:snapToGrid w:val="0"/>
        <w:spacing w:line="400" w:lineRule="exact"/>
        <w:ind w:firstLine="0" w:firstLineChars="0"/>
        <w:jc w:val="left"/>
        <w:textAlignment w:val="auto"/>
        <w:rPr>
          <w:rFonts w:hint="eastAsia" w:ascii="Times New Roman" w:hAnsi="Times New Roman" w:eastAsia="宋体" w:cs="宋体"/>
          <w:sz w:val="21"/>
          <w:szCs w:val="21"/>
          <w:highlight w:val="none"/>
        </w:rPr>
      </w:pPr>
    </w:p>
    <w:p w14:paraId="758388CA">
      <w:pPr>
        <w:spacing w:line="240" w:lineRule="auto"/>
        <w:ind w:firstLine="0" w:firstLineChars="0"/>
        <w:rPr>
          <w:rFonts w:hint="eastAsia" w:ascii="Times New Roman" w:hAnsi="Times New Roman" w:eastAsia="宋体" w:cs="宋体"/>
          <w:color w:val="auto"/>
          <w:spacing w:val="-11"/>
          <w:szCs w:val="21"/>
          <w:highlight w:val="none"/>
          <w:shd w:val="clear" w:color="auto" w:fill="auto"/>
        </w:rPr>
      </w:pPr>
      <w:r>
        <w:rPr>
          <w:rFonts w:hint="eastAsia" w:ascii="Times New Roman" w:hAnsi="Times New Roman" w:eastAsia="宋体" w:cs="宋体"/>
          <w:color w:val="auto"/>
          <w:spacing w:val="-11"/>
          <w:szCs w:val="21"/>
          <w:highlight w:val="none"/>
          <w:shd w:val="clear" w:color="auto" w:fill="auto"/>
        </w:rPr>
        <w:br w:type="page"/>
      </w:r>
    </w:p>
    <w:p w14:paraId="270B609F">
      <w:pPr>
        <w:pageBreakBefore w:val="0"/>
        <w:kinsoku/>
        <w:wordWrap/>
        <w:overflowPunct/>
        <w:topLinePunct w:val="0"/>
        <w:bidi w:val="0"/>
        <w:spacing w:line="360" w:lineRule="auto"/>
        <w:ind w:right="147" w:firstLine="0" w:firstLineChars="0"/>
        <w:jc w:val="left"/>
        <w:rPr>
          <w:rFonts w:hint="eastAsia" w:ascii="宋体" w:hAnsi="宋体" w:eastAsia="宋体" w:cs="宋体"/>
          <w:b/>
          <w:color w:val="000000"/>
          <w:szCs w:val="21"/>
          <w:highlight w:val="none"/>
          <w:lang w:val="en-US" w:eastAsia="zh-CN"/>
        </w:rPr>
      </w:pPr>
      <w:r>
        <w:rPr>
          <w:rFonts w:hint="eastAsia" w:ascii="宋体" w:hAnsi="宋体" w:eastAsia="宋体" w:cs="宋体"/>
          <w:b/>
          <w:color w:val="000000"/>
          <w:szCs w:val="21"/>
          <w:highlight w:val="none"/>
        </w:rPr>
        <w:t>附件</w:t>
      </w:r>
      <w:r>
        <w:rPr>
          <w:rFonts w:hint="eastAsia" w:ascii="宋体" w:hAnsi="宋体" w:eastAsia="宋体" w:cs="宋体"/>
          <w:b/>
          <w:color w:val="000000"/>
          <w:szCs w:val="21"/>
          <w:highlight w:val="none"/>
          <w:lang w:val="en-US" w:eastAsia="zh-CN"/>
        </w:rPr>
        <w:t>9：</w:t>
      </w:r>
    </w:p>
    <w:p w14:paraId="09596998">
      <w:pPr>
        <w:pageBreakBefore w:val="0"/>
        <w:kinsoku/>
        <w:wordWrap/>
        <w:overflowPunct/>
        <w:topLinePunct w:val="0"/>
        <w:bidi w:val="0"/>
        <w:spacing w:line="360" w:lineRule="auto"/>
        <w:ind w:right="147" w:firstLine="0" w:firstLineChars="0"/>
        <w:jc w:val="center"/>
        <w:rPr>
          <w:rFonts w:hint="eastAsia" w:ascii="黑体" w:hAnsi="黑体" w:eastAsia="黑体" w:cs="黑体"/>
          <w:bCs/>
          <w:color w:val="000000"/>
          <w:sz w:val="28"/>
          <w:szCs w:val="28"/>
          <w:highlight w:val="none"/>
        </w:rPr>
      </w:pPr>
      <w:r>
        <w:rPr>
          <w:rFonts w:hint="eastAsia" w:ascii="宋体" w:hAnsi="宋体" w:eastAsia="宋体" w:cs="宋体"/>
          <w:b/>
          <w:color w:val="000000"/>
          <w:sz w:val="28"/>
          <w:szCs w:val="28"/>
          <w:highlight w:val="none"/>
          <w:lang w:val="en-US" w:eastAsia="zh-CN"/>
        </w:rPr>
        <w:t xml:space="preserve"> </w:t>
      </w:r>
      <w:r>
        <w:rPr>
          <w:rFonts w:hint="eastAsia" w:ascii="宋体" w:hAnsi="宋体" w:eastAsia="宋体" w:cs="宋体"/>
          <w:b/>
          <w:color w:val="000000"/>
          <w:sz w:val="28"/>
          <w:szCs w:val="28"/>
          <w:highlight w:val="none"/>
        </w:rPr>
        <w:t>质量施工违约赔偿协议（试行）</w:t>
      </w:r>
    </w:p>
    <w:p w14:paraId="13583B5F">
      <w:pPr>
        <w:pageBreakBefore w:val="0"/>
        <w:kinsoku/>
        <w:wordWrap/>
        <w:overflowPunct/>
        <w:topLinePunct w:val="0"/>
        <w:bidi w:val="0"/>
        <w:spacing w:line="360" w:lineRule="auto"/>
        <w:ind w:firstLine="0" w:firstLineChars="0"/>
        <w:rPr>
          <w:rFonts w:ascii="宋体" w:hAnsi="宋体" w:eastAsia="宋体" w:cs="Times New Roman"/>
          <w:b/>
          <w:color w:val="000000"/>
          <w:szCs w:val="21"/>
          <w:highlight w:val="none"/>
        </w:rPr>
      </w:pPr>
    </w:p>
    <w:p w14:paraId="35DD3225">
      <w:pPr>
        <w:pageBreakBefore w:val="0"/>
        <w:kinsoku/>
        <w:wordWrap/>
        <w:overflowPunct/>
        <w:topLinePunct w:val="0"/>
        <w:bidi w:val="0"/>
        <w:adjustRightInd w:val="0"/>
        <w:snapToGrid w:val="0"/>
        <w:spacing w:line="360" w:lineRule="auto"/>
        <w:ind w:firstLine="420" w:firstLineChars="200"/>
        <w:jc w:val="left"/>
        <w:rPr>
          <w:rFonts w:hint="eastAsia" w:ascii="宋体" w:hAnsi="宋体" w:eastAsia="宋体" w:cs="宋体"/>
          <w:color w:val="000000"/>
          <w:sz w:val="21"/>
          <w:szCs w:val="21"/>
          <w:highlight w:val="none"/>
          <w:lang w:val="en-US" w:eastAsia="zh-CN" w:bidi="ar"/>
        </w:rPr>
      </w:pPr>
      <w:r>
        <w:rPr>
          <w:rFonts w:hint="eastAsia" w:ascii="宋体" w:hAnsi="宋体" w:eastAsia="宋体" w:cs="宋体"/>
          <w:color w:val="000000"/>
          <w:sz w:val="21"/>
          <w:szCs w:val="21"/>
          <w:highlight w:val="none"/>
          <w:lang w:val="en-US" w:eastAsia="zh-CN" w:bidi="ar"/>
        </w:rPr>
        <w:t>甲方：</w:t>
      </w:r>
      <w:r>
        <w:rPr>
          <w:rFonts w:hint="eastAsia" w:ascii="宋体" w:hAnsi="宋体" w:eastAsia="宋体" w:cs="宋体"/>
          <w:b/>
          <w:bCs/>
          <w:color w:val="000000"/>
          <w:sz w:val="21"/>
          <w:szCs w:val="21"/>
          <w:highlight w:val="none"/>
          <w:u w:val="single"/>
          <w:lang w:val="en-US" w:eastAsia="zh-CN"/>
        </w:rPr>
        <w:t>连云港徐圩城建工程有限公司</w:t>
      </w:r>
      <w:r>
        <w:rPr>
          <w:rFonts w:hint="eastAsia" w:ascii="宋体" w:hAnsi="宋体" w:eastAsia="宋体" w:cs="宋体"/>
          <w:color w:val="000000"/>
          <w:sz w:val="21"/>
          <w:szCs w:val="21"/>
          <w:highlight w:val="none"/>
          <w:lang w:val="en-US" w:eastAsia="zh-CN" w:bidi="ar"/>
        </w:rPr>
        <w:t xml:space="preserve"> </w:t>
      </w:r>
    </w:p>
    <w:p w14:paraId="57FAD9F3">
      <w:pPr>
        <w:pageBreakBefore w:val="0"/>
        <w:kinsoku/>
        <w:wordWrap/>
        <w:overflowPunct/>
        <w:topLinePunct w:val="0"/>
        <w:bidi w:val="0"/>
        <w:adjustRightInd w:val="0"/>
        <w:snapToGrid w:val="0"/>
        <w:spacing w:line="360" w:lineRule="auto"/>
        <w:ind w:firstLine="420" w:firstLineChars="200"/>
        <w:jc w:val="left"/>
        <w:rPr>
          <w:rFonts w:hint="eastAsia" w:ascii="宋体" w:hAnsi="宋体" w:eastAsia="宋体" w:cs="宋体"/>
          <w:color w:val="000000"/>
          <w:sz w:val="21"/>
          <w:szCs w:val="21"/>
          <w:highlight w:val="none"/>
          <w:lang w:val="en-US" w:eastAsia="zh-CN" w:bidi="ar"/>
        </w:rPr>
      </w:pPr>
      <w:r>
        <w:rPr>
          <w:rFonts w:hint="eastAsia" w:ascii="宋体" w:hAnsi="宋体" w:eastAsia="宋体" w:cs="宋体"/>
          <w:color w:val="000000"/>
          <w:sz w:val="21"/>
          <w:szCs w:val="21"/>
          <w:highlight w:val="none"/>
          <w:lang w:val="en-US" w:eastAsia="zh-CN" w:bidi="ar"/>
        </w:rPr>
        <w:t>乙方：</w:t>
      </w:r>
      <w:r>
        <w:rPr>
          <w:rFonts w:hint="eastAsia" w:ascii="Times New Roman" w:hAnsi="Times New Roman" w:eastAsia="宋体" w:cs="宋体"/>
          <w:b/>
          <w:bCs/>
          <w:color w:val="auto"/>
          <w:szCs w:val="21"/>
          <w:highlight w:val="none"/>
          <w:u w:val="single"/>
          <w:shd w:val="clear" w:color="auto" w:fill="auto"/>
          <w:lang w:val="en-US" w:eastAsia="zh-CN"/>
        </w:rPr>
        <w:t xml:space="preserve">                          </w:t>
      </w:r>
    </w:p>
    <w:p w14:paraId="648D796A">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第一条 编制说明：</w:t>
      </w:r>
    </w:p>
    <w:p w14:paraId="4C7085A4">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为了加强甲方开发建设的</w:t>
      </w:r>
      <w:r>
        <w:rPr>
          <w:rFonts w:hint="eastAsia" w:ascii="宋体" w:hAnsi="宋体" w:eastAsia="宋体" w:cs="宋体"/>
          <w:color w:val="000000"/>
          <w:sz w:val="21"/>
          <w:szCs w:val="21"/>
          <w:highlight w:val="none"/>
          <w:u w:val="single"/>
        </w:rPr>
        <w:t xml:space="preserve"> </w:t>
      </w:r>
      <w:r>
        <w:rPr>
          <w:rFonts w:hint="eastAsia" w:ascii="宋体" w:hAnsi="宋体" w:cs="宋体"/>
          <w:b/>
          <w:bCs/>
          <w:color w:val="000000"/>
          <w:sz w:val="21"/>
          <w:szCs w:val="21"/>
          <w:highlight w:val="none"/>
          <w:u w:val="single"/>
          <w:lang w:eastAsia="zh-CN"/>
        </w:rPr>
        <w:t>物流集散道路工程EPC项目-道路工程劳务</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项目施工现场的质量管理，加大对违反《建设工程质量管理条例》等法律法规的管理力度，切实保证现场施工工程质量，有效督促施工承包单位等认真履行承诺，根据双方约定，签订本协议。</w:t>
      </w:r>
    </w:p>
    <w:p w14:paraId="1F3D305E">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第二条 编制依据：</w:t>
      </w:r>
    </w:p>
    <w:p w14:paraId="2A8AE371">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1、《中华人民共和国建筑法》</w:t>
      </w:r>
    </w:p>
    <w:p w14:paraId="62966C30">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2、《建设工程质量管理条例》</w:t>
      </w:r>
    </w:p>
    <w:p w14:paraId="2A00927A">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3、双方的其他约定以下统称为“质量相关法律法规和双方约定”。</w:t>
      </w:r>
    </w:p>
    <w:p w14:paraId="3A24F93B">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第三条 违约赔偿实施办法：</w:t>
      </w:r>
    </w:p>
    <w:p w14:paraId="5568CE54">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1、甲方或监理根据对施工现场的检查结果，发出整改通知书。甲方或监理在整改期满后进行复查，如乙方拒不整改或整改不到位的，甲方或监理均可依据本协议对乙方作出违约索赔决定。</w:t>
      </w:r>
    </w:p>
    <w:p w14:paraId="0948C555">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2、如甲方或监理对施工现场检查时发现，乙方严重违反双方约定的，甲方有权视情节，在发出整改通知的同时，作出违约索赔的决定；或不再重复发送整改通知，直接作出违约索赔的决定。</w:t>
      </w:r>
    </w:p>
    <w:p w14:paraId="25CBBFF2">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3、甲方作出违约索赔决定，违约索赔款以现金方式交至甲方公司财务。监理作出的违约索赔决定，经甲方签字后生效。</w:t>
      </w:r>
    </w:p>
    <w:p w14:paraId="14D1D54D">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4、本协议如与国家法律、法规或项目所在地相关规定冲突的，以法律、法规及规定为准。</w:t>
      </w:r>
    </w:p>
    <w:p w14:paraId="61BFB8E9">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5、违约索赔情况和违约索赔额度包含但不限于本协议第四条所列条款。</w:t>
      </w:r>
    </w:p>
    <w:p w14:paraId="395E0B3E">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第四条 违约赔偿细则：</w:t>
      </w:r>
    </w:p>
    <w:p w14:paraId="70841D0D">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甲方经复查，发现乙方有下列情形之一的，乙方应按以下标准支付违约赔偿金（只约定赔偿额度范围未约定具体赔偿数额的，以甲方作出的违约索赔决定所确定金额为违约赔偿额，监理作出违约索赔决定的，以甲方安全工程师签字确认的赔偿额为准），如乙方拒绝缴纳现金的，甲方有权从应支付给乙方的工程款中直接扣除该部分款项。</w:t>
      </w:r>
    </w:p>
    <w:p w14:paraId="173516ED">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（一）工程质量方面</w:t>
      </w:r>
    </w:p>
    <w:p w14:paraId="5809F777">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乙方必须加强试验检测工作，严把材料质量关，用试验数据指导生产，不合格的材料、半成品、成品严禁运进施工现场。如果乙方将未检验的材料、半成品、成品运进现场，必须严禁使用，并必须在接监理工程师口头或书面通知24小时以内清除场外。若发现乙方已经使用不合格材料在工程上，除要求将该部分工程在规定期限内返工外，每处每次处以乙方20000元的违约金；已运进的不合格材料经检查发现后，超过24小时仍未清除的，一经查实，每处每次处以乙方10000元的违约金。材料进场记录上应明确进场日期、生产厂家、批号、合格证号、数量、规格型号等内容，一式贰份，交监理工程师签署，一份交监理工程师留存，一份由乙方存档备查，同时建立材料进场台帐。如经检查材料没有进场纪录单，则视为不合格材料清退出场，并按不合格材料接受甲方要求的违约赔偿。各类原材料应分类堆码整齐，堆放混凝土施工材料（水泥、砂、碎石）的场地必须硬化，钢材、水泥必须入库，不得露天堆放，否则每次每处处以乙方2000元违约金，乙方应加强试验检测工作，用试验数据指导生产。</w:t>
      </w:r>
    </w:p>
    <w:p w14:paraId="6C574216">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桥涵基坑、重要构造物基坑等隐蔽工程检验采用乙方、甲方或监理到场检验的方法，无甲方现场代表或监理在场，不得进行检验。如乙方单独检验，除重新检验外，并处乙方10000元／次的违约金。乙方必须加强隐蔽工程检测，强化工序管理。</w:t>
      </w:r>
    </w:p>
    <w:p w14:paraId="19B48EAA">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3、乙方必须严格按照规范施工，加强质量意识，尊重监理工程师的指示及指令并及时严格执行。监理工程师签发的整改通知书，如未按期整改，甲方将处乙方5000元／次的违约金。</w:t>
      </w:r>
    </w:p>
    <w:p w14:paraId="2943EEEF">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严把操作工艺关，坚持工序逐级检验制度和工序交接制度，坚持上道工序不合格或未经监理工程师检查验收，下道工序不准施工的原则，要以工序质量确保分项工程的质量。若乙方违反了此规定，乙方除必须无条件立即返工外，并对乙方处以10000元／次的违约金。</w:t>
      </w:r>
    </w:p>
    <w:p w14:paraId="26740208">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5、混凝土工程</w:t>
      </w:r>
    </w:p>
    <w:p w14:paraId="2DD9F03B">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5.1混凝土拌和要严格按照施工配合比配制拌和。使用超过初凝时间的混凝土，除马上整改并立即返工外，并处乙方5000元／次的违约金。如果经检测取芯强度不合格，处以5000元/次的违约金，检测钢筋保护层厚度合格率达不到规范和设计要求的，处以5000/次的违约金。</w:t>
      </w:r>
    </w:p>
    <w:p w14:paraId="3A608622">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5.2 混凝土所用水泥、砂、碎石、水、及各种外加剂必须是经过监理检验合格且认可，乙方若将不符合要求的材料用于混凝土中时，除要求及时返工外，每次每处并处3000元的违约金。若不及时采取措施处理，继续施工者，要求乙方停工整改，并处以乙方10000元／处的违约金。</w:t>
      </w:r>
    </w:p>
    <w:p w14:paraId="45D4E02E">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5.3 混凝土浇筑完成后，按规范要求进行养护。否则，每次每处处以2000元的违约金。若不及时改进，要求乙方停工整改，造成混凝土不合格的必须返工处理，并处以乙方10000元／处的违约金。</w:t>
      </w:r>
    </w:p>
    <w:p w14:paraId="7AD3150E">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5.4 混凝土浇筑过程中，乙方必须有相关技术人员在场，违反此条者，处以乙方2000元／处的违约金。</w:t>
      </w:r>
    </w:p>
    <w:p w14:paraId="23422B51">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5.5 堆放混凝土施工材料（水泥、砂、碎石）的场地必须硬化，材料的堆放必须符合有关规范的要求，堆放整齐，不得混堆，违反此条者，处以乙方3000元／处的违约金。</w:t>
      </w:r>
    </w:p>
    <w:p w14:paraId="74B01698">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5.6 混凝土的表面必须整洁、平整、美观，无蜂窝麻面，接缝无错台，乙方不及时整改或整改不到位的，每次每处处以5000元的违约金。</w:t>
      </w:r>
    </w:p>
    <w:p w14:paraId="03423C32">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5.7 混凝土浇筑所用的模板的强度、刚度、表面光滑度须满足相关规范要求。否则，每次每处处以10000元的违约金。若不及时改进，要求乙方停工整改。</w:t>
      </w:r>
    </w:p>
    <w:p w14:paraId="5F2841E7">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5.8钢筋混凝土的钢筋安装不合格，每处处以2000元的违约金；钢筋连接不合格每处处以5000元的违约金；钢材甲方抽检不合格每处处以10000元的违约金。</w:t>
      </w:r>
    </w:p>
    <w:p w14:paraId="230E5F75">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6、路基填筑</w:t>
      </w:r>
    </w:p>
    <w:p w14:paraId="59079AC4">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6.1 乙方必须严格按技术规范和设计图纸的要求进行组织施工。填前处理必须满足填方路基施工规范规定的要求，否则，每违反一条，将处以乙方5000元的违约金。</w:t>
      </w:r>
    </w:p>
    <w:p w14:paraId="2644E591">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6.2 路基填筑必须根据设计断面分层填筑，分层压实，严格控制填方的松铺厚度及平整度。路基填料粒径、含泥量超标，每段处以10000元／次违约金。</w:t>
      </w:r>
    </w:p>
    <w:p w14:paraId="5EDF9FCE">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6.3 填挖结合部必须按有关规范要求挖台阶处理，不挖台阶或不合要求者，除要求乙方立即返工外，并处以乙方5000元／处的违约金。</w:t>
      </w:r>
    </w:p>
    <w:p w14:paraId="5C9B3212">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6.4 路基填方边坡必须按设计整修，做到整齐、美观，否则，每处将处予乙方5000元的违约金。</w:t>
      </w:r>
    </w:p>
    <w:p w14:paraId="0D02A7E7">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7、桥涵及其他构造物的回填</w:t>
      </w:r>
    </w:p>
    <w:p w14:paraId="0D62C5DE">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7.1 桥涵及其他构造物处的回填土工作必须在隐蔽工程验收后方可进行，否则按第4条予以违约处理。</w:t>
      </w:r>
    </w:p>
    <w:p w14:paraId="045053EF">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7.2 桥台背、涵台背的填土范围及填筑质量必须满足规范要求，否则，每处处以乙方10000元／处的违约金，并要求返工处理。</w:t>
      </w:r>
    </w:p>
    <w:p w14:paraId="30B5F3F3">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8、路面工程</w:t>
      </w:r>
    </w:p>
    <w:p w14:paraId="6319BCFD">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8.1基层材料或沥青混凝土材料不合格每次处以20000元违约金，材料必须无条件更换。</w:t>
      </w:r>
    </w:p>
    <w:p w14:paraId="5ADF53D9">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8.2基层施工工艺不符合规范要求，每次处以5000元的违约金。</w:t>
      </w:r>
    </w:p>
    <w:p w14:paraId="2906FFD1">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8.3路面施工工艺不符合规范要求，每次处以5000元的违约金。</w:t>
      </w:r>
    </w:p>
    <w:p w14:paraId="06D6248A">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8.4摊铺施工作业面未做好清洁，每次处以3000元的违约金。</w:t>
      </w:r>
    </w:p>
    <w:p w14:paraId="61DC1BEC">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8.5严禁在已铺设好沥青面层的地段进行砂浆拌和及其他有损和污染路面的工作，确要使用，必须加以铁板铺垫，用完后及时清理干净，避免污染和损坏路面。否则，除责成乙方清理和赔偿外，每处还将处以5000 元的违约金。</w:t>
      </w:r>
    </w:p>
    <w:p w14:paraId="5A2541A6">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9、绿化工程</w:t>
      </w:r>
    </w:p>
    <w:p w14:paraId="0ABC3B79">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9.1土方回填厚度必须满足设计要求，否则处以10000/次的违约金。</w:t>
      </w:r>
    </w:p>
    <w:p w14:paraId="754C5C73">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9.2排（隔）盐层厚度必须满足设计要求，否则处以10000/次的违约金。</w:t>
      </w:r>
    </w:p>
    <w:p w14:paraId="27E55284">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9.3栽植苗木规格必须满足设计要求，否则处以10000元/次的违约金。</w:t>
      </w:r>
    </w:p>
    <w:p w14:paraId="497567C8">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9.4苗木未按规定进行养护，死苗不及时更换的，处以10000元/次的违约金。</w:t>
      </w:r>
    </w:p>
    <w:p w14:paraId="5B204373">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10、隐蔽工程</w:t>
      </w:r>
    </w:p>
    <w:p w14:paraId="6D822302">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甲方将委托检测单位对一切隐蔽工程进行抽样检测，如一旦发现不合格或作假行为，甲方将处以该不合格项工程费20%的违约金和通报，并责令乙方按照规范进行返工或采取其他补救措施，直至合格，以上所有费用均由乙方自负。</w:t>
      </w:r>
    </w:p>
    <w:p w14:paraId="373A378F">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11、对乙方由于疏于管理，造成重大质量事故（隐患）或重大安全事故的，除按有关规定进行返工并追究当事人的民事责任、法律责任外，每处（次）并处以 50000 元的违约金。</w:t>
      </w:r>
    </w:p>
    <w:p w14:paraId="33B38674">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12、当建设工程质量不符合设计要求时，经原设计单位核算能满足安全和使用功能的检验批，处以20000元/次的违约金；经返工或加固后满足安全和使用要求的分部、分项工程，处以该项工程费用20%的违约金。</w:t>
      </w:r>
    </w:p>
    <w:p w14:paraId="1DE37AAA">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13、对本协议中未列明的违规项，比照类似条款违约赔偿。</w:t>
      </w:r>
    </w:p>
    <w:p w14:paraId="1E1A921D">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14、乙方给予甲方赔偿后对甲方或监理提出的问题在规定期限内未完成整改的或拒绝整改的，甲方或监理可再次向乙方索赔，并可以加倍要求索赔额度。</w:t>
      </w:r>
    </w:p>
    <w:p w14:paraId="08FC9740">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第五条 争议的解决及其他</w:t>
      </w:r>
    </w:p>
    <w:p w14:paraId="3D4341F9">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1、本协议履行过程中产生的争议，双方应协商解决，协商不成，任何一方均有权向建设工程项目所在地有管辖权的法院提起诉讼。</w:t>
      </w:r>
    </w:p>
    <w:p w14:paraId="6C54F10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2、本协议未尽事宜，双方协商后另行签订补充协议，补充协议与本协议具有同等法律效力</w:t>
      </w:r>
      <w:r>
        <w:rPr>
          <w:rFonts w:hint="eastAsia" w:ascii="宋体" w:hAnsi="宋体" w:eastAsia="宋体" w:cs="宋体"/>
          <w:color w:val="000000"/>
          <w:kern w:val="2"/>
          <w:sz w:val="21"/>
          <w:szCs w:val="21"/>
          <w:highlight w:val="none"/>
          <w:lang w:val="en-US" w:eastAsia="zh-CN" w:bidi="ar"/>
        </w:rPr>
        <w:t>。</w:t>
      </w:r>
    </w:p>
    <w:p w14:paraId="3905D3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宋体" w:hAnsi="宋体" w:eastAsia="宋体" w:cs="宋体"/>
          <w:color w:val="000000"/>
          <w:highlight w:val="none"/>
        </w:rPr>
      </w:pPr>
      <w:r>
        <w:rPr>
          <w:rFonts w:hint="eastAsia" w:ascii="宋体" w:hAnsi="宋体" w:eastAsia="宋体" w:cs="宋体"/>
          <w:color w:val="000000"/>
          <w:kern w:val="2"/>
          <w:sz w:val="21"/>
          <w:szCs w:val="21"/>
          <w:highlight w:val="none"/>
          <w:lang w:val="en-US" w:eastAsia="zh-CN" w:bidi="ar"/>
        </w:rPr>
        <w:t>（以下无正文）</w:t>
      </w:r>
    </w:p>
    <w:p w14:paraId="206D29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宋体" w:hAnsi="宋体" w:eastAsia="宋体" w:cs="宋体"/>
          <w:color w:val="000000"/>
          <w:highlight w:val="none"/>
        </w:rPr>
      </w:pPr>
      <w:r>
        <w:rPr>
          <w:rFonts w:hint="eastAsia" w:ascii="宋体" w:hAnsi="宋体" w:eastAsia="宋体" w:cs="宋体"/>
          <w:color w:val="000000"/>
          <w:kern w:val="2"/>
          <w:sz w:val="21"/>
          <w:szCs w:val="21"/>
          <w:highlight w:val="none"/>
          <w:lang w:val="en-US" w:eastAsia="zh-CN" w:bidi="ar"/>
        </w:rPr>
        <w:t xml:space="preserve"> </w:t>
      </w:r>
    </w:p>
    <w:p w14:paraId="515D893C">
      <w:pPr>
        <w:pageBreakBefore w:val="0"/>
        <w:widowControl/>
        <w:kinsoku/>
        <w:wordWrap/>
        <w:overflowPunct/>
        <w:topLinePunct w:val="0"/>
        <w:bidi w:val="0"/>
        <w:adjustRightInd w:val="0"/>
        <w:snapToGrid w:val="0"/>
        <w:spacing w:line="400" w:lineRule="exact"/>
        <w:ind w:firstLine="0" w:firstLineChars="0"/>
        <w:jc w:val="left"/>
        <w:textAlignment w:val="auto"/>
        <w:rPr>
          <w:rFonts w:hint="eastAsia" w:ascii="Times New Roman" w:hAnsi="Times New Roman" w:eastAsia="宋体" w:cs="宋体"/>
          <w:sz w:val="21"/>
          <w:szCs w:val="21"/>
          <w:highlight w:val="none"/>
        </w:rPr>
      </w:pPr>
      <w:r>
        <w:rPr>
          <w:rFonts w:hint="eastAsia" w:ascii="Times New Roman" w:hAnsi="Times New Roman" w:eastAsia="宋体" w:cs="宋体"/>
          <w:sz w:val="21"/>
          <w:szCs w:val="21"/>
          <w:highlight w:val="none"/>
          <w:lang w:eastAsia="zh-CN"/>
        </w:rPr>
        <w:t>甲方</w:t>
      </w:r>
      <w:r>
        <w:rPr>
          <w:rFonts w:hint="eastAsia" w:ascii="Times New Roman" w:hAnsi="Times New Roman" w:eastAsia="宋体" w:cs="宋体"/>
          <w:sz w:val="21"/>
          <w:szCs w:val="21"/>
          <w:highlight w:val="none"/>
        </w:rPr>
        <w:t xml:space="preserve">：（盖章）           </w:t>
      </w:r>
      <w:r>
        <w:rPr>
          <w:rFonts w:hint="eastAsia" w:ascii="Times New Roman" w:hAnsi="Times New Roman" w:eastAsia="宋体" w:cs="宋体"/>
          <w:sz w:val="21"/>
          <w:szCs w:val="21"/>
          <w:highlight w:val="none"/>
          <w:lang w:val="en-US" w:eastAsia="zh-CN"/>
        </w:rPr>
        <w:t xml:space="preserve">                   </w:t>
      </w:r>
      <w:r>
        <w:rPr>
          <w:rFonts w:hint="eastAsia" w:ascii="Times New Roman" w:hAnsi="Times New Roman" w:eastAsia="宋体" w:cs="宋体"/>
          <w:sz w:val="21"/>
          <w:szCs w:val="21"/>
          <w:highlight w:val="none"/>
          <w:lang w:eastAsia="zh-CN"/>
        </w:rPr>
        <w:t>乙方</w:t>
      </w:r>
      <w:r>
        <w:rPr>
          <w:rFonts w:hint="eastAsia" w:ascii="Times New Roman" w:hAnsi="Times New Roman" w:eastAsia="宋体" w:cs="宋体"/>
          <w:sz w:val="21"/>
          <w:szCs w:val="21"/>
          <w:highlight w:val="none"/>
        </w:rPr>
        <w:t>：（盖章）</w:t>
      </w:r>
    </w:p>
    <w:p w14:paraId="1C0600D0">
      <w:pPr>
        <w:pageBreakBefore w:val="0"/>
        <w:widowControl/>
        <w:kinsoku/>
        <w:wordWrap/>
        <w:overflowPunct/>
        <w:topLinePunct w:val="0"/>
        <w:bidi w:val="0"/>
        <w:adjustRightInd w:val="0"/>
        <w:snapToGrid w:val="0"/>
        <w:spacing w:line="400" w:lineRule="exact"/>
        <w:ind w:left="0" w:leftChars="0" w:firstLine="630" w:firstLineChars="300"/>
        <w:jc w:val="left"/>
        <w:textAlignment w:val="auto"/>
        <w:rPr>
          <w:rFonts w:hint="eastAsia" w:ascii="Times New Roman" w:hAnsi="Times New Roman" w:eastAsia="宋体" w:cs="宋体"/>
          <w:sz w:val="21"/>
          <w:szCs w:val="21"/>
          <w:highlight w:val="none"/>
        </w:rPr>
      </w:pPr>
    </w:p>
    <w:p w14:paraId="61956D88">
      <w:pPr>
        <w:pageBreakBefore w:val="0"/>
        <w:widowControl/>
        <w:kinsoku/>
        <w:wordWrap/>
        <w:overflowPunct/>
        <w:topLinePunct w:val="0"/>
        <w:bidi w:val="0"/>
        <w:adjustRightInd w:val="0"/>
        <w:snapToGrid w:val="0"/>
        <w:spacing w:line="400" w:lineRule="exact"/>
        <w:ind w:firstLine="0" w:firstLineChars="0"/>
        <w:jc w:val="left"/>
        <w:textAlignment w:val="auto"/>
        <w:rPr>
          <w:rFonts w:hint="eastAsia" w:ascii="Times New Roman" w:hAnsi="Times New Roman" w:eastAsia="宋体" w:cs="宋体"/>
          <w:sz w:val="21"/>
          <w:szCs w:val="21"/>
          <w:highlight w:val="none"/>
          <w:lang w:val="en-US" w:eastAsia="zh-CN"/>
        </w:rPr>
      </w:pPr>
      <w:r>
        <w:rPr>
          <w:rFonts w:hint="eastAsia" w:ascii="Times New Roman" w:hAnsi="Times New Roman" w:eastAsia="宋体" w:cs="宋体"/>
          <w:sz w:val="21"/>
          <w:szCs w:val="21"/>
          <w:highlight w:val="none"/>
        </w:rPr>
        <w:t>法定代表人或其委托代理人：</w:t>
      </w:r>
      <w:r>
        <w:rPr>
          <w:rFonts w:hint="eastAsia" w:ascii="Times New Roman" w:hAnsi="Times New Roman" w:eastAsia="宋体" w:cs="宋体"/>
          <w:sz w:val="21"/>
          <w:szCs w:val="21"/>
          <w:highlight w:val="none"/>
          <w:lang w:val="en-US" w:eastAsia="zh-CN"/>
        </w:rPr>
        <w:t xml:space="preserve">                  </w:t>
      </w:r>
      <w:r>
        <w:rPr>
          <w:rFonts w:hint="eastAsia" w:ascii="Times New Roman" w:hAnsi="Times New Roman" w:eastAsia="宋体" w:cs="宋体"/>
          <w:sz w:val="21"/>
          <w:szCs w:val="21"/>
          <w:highlight w:val="none"/>
        </w:rPr>
        <w:t>法定代表人或其委托代理人：</w:t>
      </w:r>
    </w:p>
    <w:p w14:paraId="678D3565">
      <w:pPr>
        <w:keepNext w:val="0"/>
        <w:keepLines w:val="0"/>
        <w:pageBreakBefore w:val="0"/>
        <w:kinsoku/>
        <w:wordWrap/>
        <w:overflowPunct/>
        <w:topLinePunct w:val="0"/>
        <w:autoSpaceDE/>
        <w:autoSpaceDN/>
        <w:bidi w:val="0"/>
        <w:spacing w:line="360" w:lineRule="auto"/>
        <w:ind w:firstLine="0" w:firstLineChars="0"/>
        <w:textAlignment w:val="auto"/>
        <w:rPr>
          <w:rFonts w:hint="eastAsia" w:ascii="Times New Roman" w:hAnsi="Times New Roman" w:eastAsia="宋体" w:cs="宋体"/>
          <w:sz w:val="21"/>
          <w:szCs w:val="21"/>
          <w:highlight w:val="none"/>
          <w:lang w:eastAsia="zh-CN"/>
        </w:rPr>
      </w:pPr>
      <w:r>
        <w:rPr>
          <w:rFonts w:hint="eastAsia" w:ascii="Times New Roman" w:hAnsi="Times New Roman" w:eastAsia="宋体" w:cs="宋体"/>
          <w:sz w:val="21"/>
          <w:szCs w:val="21"/>
          <w:highlight w:val="none"/>
          <w:lang w:eastAsia="zh-CN"/>
        </w:rPr>
        <w:t>（签字或盖章）</w:t>
      </w:r>
      <w:r>
        <w:rPr>
          <w:rFonts w:hint="eastAsia" w:ascii="Times New Roman" w:hAnsi="Times New Roman" w:eastAsia="宋体" w:cs="宋体"/>
          <w:sz w:val="21"/>
          <w:szCs w:val="21"/>
          <w:highlight w:val="none"/>
        </w:rPr>
        <w:t xml:space="preserve">     </w:t>
      </w:r>
      <w:r>
        <w:rPr>
          <w:rFonts w:hint="eastAsia" w:ascii="Times New Roman" w:hAnsi="Times New Roman" w:eastAsia="宋体" w:cs="宋体"/>
          <w:sz w:val="21"/>
          <w:szCs w:val="21"/>
          <w:highlight w:val="none"/>
          <w:lang w:val="en-US" w:eastAsia="zh-CN"/>
        </w:rPr>
        <w:t xml:space="preserve">                         </w:t>
      </w:r>
      <w:r>
        <w:rPr>
          <w:rFonts w:hint="eastAsia" w:ascii="Times New Roman" w:hAnsi="Times New Roman" w:eastAsia="宋体" w:cs="宋体"/>
          <w:sz w:val="21"/>
          <w:szCs w:val="21"/>
          <w:highlight w:val="none"/>
          <w:lang w:eastAsia="zh-CN"/>
        </w:rPr>
        <w:t>（签字或盖章）</w:t>
      </w:r>
    </w:p>
    <w:p w14:paraId="63482B6A">
      <w:pPr>
        <w:spacing w:line="240" w:lineRule="auto"/>
        <w:ind w:firstLine="0" w:firstLineChars="0"/>
        <w:rPr>
          <w:rFonts w:hint="eastAsia" w:ascii="宋体" w:hAnsi="宋体" w:eastAsia="宋体" w:cs="宋体"/>
          <w:color w:val="000000"/>
          <w:szCs w:val="21"/>
          <w:highlight w:val="none"/>
          <w:lang w:eastAsia="zh-CN"/>
        </w:rPr>
      </w:pPr>
      <w:r>
        <w:rPr>
          <w:rFonts w:hint="eastAsia" w:ascii="宋体" w:hAnsi="宋体" w:eastAsia="宋体" w:cs="宋体"/>
          <w:color w:val="000000"/>
          <w:szCs w:val="21"/>
          <w:highlight w:val="none"/>
          <w:lang w:eastAsia="zh-CN"/>
        </w:rPr>
        <w:br w:type="page"/>
      </w:r>
    </w:p>
    <w:p w14:paraId="18BCBA1D">
      <w:pPr>
        <w:spacing w:line="240" w:lineRule="auto"/>
        <w:ind w:left="0" w:leftChars="0" w:firstLine="0" w:firstLineChars="0"/>
        <w:jc w:val="both"/>
        <w:rPr>
          <w:rFonts w:hint="default" w:ascii="宋体" w:hAnsi="宋体" w:eastAsia="宋体" w:cs="宋体"/>
          <w:b/>
          <w:color w:val="000000"/>
          <w:szCs w:val="21"/>
          <w:highlight w:val="none"/>
          <w:lang w:val="en-US" w:eastAsia="zh-CN"/>
        </w:rPr>
      </w:pPr>
      <w:r>
        <w:rPr>
          <w:rFonts w:hint="eastAsia" w:ascii="宋体" w:hAnsi="宋体" w:eastAsia="宋体" w:cs="宋体"/>
          <w:b/>
          <w:color w:val="000000"/>
          <w:szCs w:val="21"/>
          <w:highlight w:val="none"/>
          <w:lang w:val="en-US" w:eastAsia="zh-CN"/>
        </w:rPr>
        <w:t>附件10：</w:t>
      </w:r>
    </w:p>
    <w:p w14:paraId="1F0454F6">
      <w:pPr>
        <w:autoSpaceDE w:val="0"/>
        <w:autoSpaceDN w:val="0"/>
        <w:adjustRightInd w:val="0"/>
        <w:spacing w:line="240" w:lineRule="auto"/>
        <w:ind w:firstLine="0" w:firstLineChars="0"/>
        <w:jc w:val="center"/>
        <w:rPr>
          <w:rFonts w:hint="eastAsia" w:ascii="Times New Roman" w:hAnsi="Times New Roman" w:eastAsia="宋体" w:cs="黑体"/>
          <w:b/>
          <w:color w:val="000000"/>
          <w:kern w:val="0"/>
          <w:sz w:val="28"/>
          <w:szCs w:val="28"/>
          <w:highlight w:val="none"/>
          <w:lang w:val="en-US" w:eastAsia="zh-CN"/>
        </w:rPr>
      </w:pPr>
      <w:r>
        <w:rPr>
          <w:rFonts w:hint="eastAsia" w:ascii="Times New Roman" w:hAnsi="Times New Roman" w:eastAsia="宋体" w:cs="黑体"/>
          <w:b/>
          <w:color w:val="000000"/>
          <w:kern w:val="0"/>
          <w:sz w:val="28"/>
          <w:szCs w:val="28"/>
          <w:highlight w:val="none"/>
          <w:lang w:val="en-US" w:eastAsia="zh-CN"/>
        </w:rPr>
        <w:t>安全生产费用投入取费标准</w:t>
      </w:r>
    </w:p>
    <w:tbl>
      <w:tblPr>
        <w:tblStyle w:val="50"/>
        <w:tblW w:w="93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1"/>
        <w:gridCol w:w="761"/>
        <w:gridCol w:w="716"/>
        <w:gridCol w:w="1904"/>
        <w:gridCol w:w="983"/>
        <w:gridCol w:w="1009"/>
        <w:gridCol w:w="1172"/>
        <w:gridCol w:w="1006"/>
        <w:gridCol w:w="1265"/>
      </w:tblGrid>
      <w:tr w14:paraId="06FA3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jc w:val="center"/>
        </w:trPr>
        <w:tc>
          <w:tcPr>
            <w:tcW w:w="561" w:type="dxa"/>
            <w:noWrap w:val="0"/>
            <w:vAlign w:val="center"/>
          </w:tcPr>
          <w:p w14:paraId="39248A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r>
              <w:rPr>
                <w:rFonts w:hint="eastAsia" w:ascii="宋体" w:hAnsi="宋体" w:eastAsia="宋体" w:cs="宋体"/>
                <w:b w:val="0"/>
                <w:bCs w:val="0"/>
                <w:color w:val="000000"/>
                <w:sz w:val="21"/>
                <w:szCs w:val="21"/>
                <w:highlight w:val="none"/>
                <w:vertAlign w:val="baseline"/>
                <w:lang w:val="en-US" w:eastAsia="zh-CN"/>
              </w:rPr>
              <w:t>序号</w:t>
            </w:r>
          </w:p>
        </w:tc>
        <w:tc>
          <w:tcPr>
            <w:tcW w:w="761" w:type="dxa"/>
            <w:noWrap w:val="0"/>
            <w:vAlign w:val="center"/>
          </w:tcPr>
          <w:p w14:paraId="7B2A65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r>
              <w:rPr>
                <w:rFonts w:hint="eastAsia" w:ascii="宋体" w:hAnsi="宋体" w:eastAsia="宋体" w:cs="宋体"/>
                <w:b w:val="0"/>
                <w:bCs w:val="0"/>
                <w:color w:val="000000"/>
                <w:sz w:val="21"/>
                <w:szCs w:val="21"/>
                <w:highlight w:val="none"/>
                <w:vertAlign w:val="baseline"/>
                <w:lang w:val="en-US" w:eastAsia="zh-CN"/>
              </w:rPr>
              <w:t>行业名称</w:t>
            </w:r>
          </w:p>
        </w:tc>
        <w:tc>
          <w:tcPr>
            <w:tcW w:w="2620" w:type="dxa"/>
            <w:gridSpan w:val="2"/>
            <w:noWrap w:val="0"/>
            <w:vAlign w:val="center"/>
          </w:tcPr>
          <w:p w14:paraId="2464FE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r>
              <w:rPr>
                <w:rFonts w:hint="eastAsia" w:ascii="宋体" w:hAnsi="宋体" w:eastAsia="宋体" w:cs="宋体"/>
                <w:b w:val="0"/>
                <w:bCs w:val="0"/>
                <w:color w:val="000000"/>
                <w:sz w:val="21"/>
                <w:szCs w:val="21"/>
                <w:highlight w:val="none"/>
                <w:vertAlign w:val="baseline"/>
                <w:lang w:val="en-US" w:eastAsia="zh-CN"/>
              </w:rPr>
              <w:t>工程名称</w:t>
            </w:r>
          </w:p>
        </w:tc>
        <w:tc>
          <w:tcPr>
            <w:tcW w:w="983" w:type="dxa"/>
            <w:noWrap w:val="0"/>
            <w:vAlign w:val="center"/>
          </w:tcPr>
          <w:p w14:paraId="519AFF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r>
              <w:rPr>
                <w:rFonts w:hint="eastAsia" w:ascii="宋体" w:hAnsi="宋体" w:eastAsia="宋体" w:cs="宋体"/>
                <w:b w:val="0"/>
                <w:bCs w:val="0"/>
                <w:color w:val="000000"/>
                <w:sz w:val="21"/>
                <w:szCs w:val="21"/>
                <w:highlight w:val="none"/>
                <w:vertAlign w:val="baseline"/>
                <w:lang w:val="en-US" w:eastAsia="zh-CN"/>
              </w:rPr>
              <w:t>计费</w:t>
            </w:r>
          </w:p>
          <w:p w14:paraId="34D08C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r>
              <w:rPr>
                <w:rFonts w:hint="eastAsia" w:ascii="宋体" w:hAnsi="宋体" w:eastAsia="宋体" w:cs="宋体"/>
                <w:b w:val="0"/>
                <w:bCs w:val="0"/>
                <w:color w:val="000000"/>
                <w:sz w:val="21"/>
                <w:szCs w:val="21"/>
                <w:highlight w:val="none"/>
                <w:vertAlign w:val="baseline"/>
                <w:lang w:val="en-US" w:eastAsia="zh-CN"/>
              </w:rPr>
              <w:t>基础</w:t>
            </w:r>
          </w:p>
        </w:tc>
        <w:tc>
          <w:tcPr>
            <w:tcW w:w="1009" w:type="dxa"/>
            <w:noWrap w:val="0"/>
            <w:vAlign w:val="center"/>
          </w:tcPr>
          <w:p w14:paraId="50D1C7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r>
              <w:rPr>
                <w:rFonts w:hint="eastAsia" w:ascii="宋体" w:hAnsi="宋体" w:eastAsia="宋体" w:cs="宋体"/>
                <w:b w:val="0"/>
                <w:bCs w:val="0"/>
                <w:color w:val="000000"/>
                <w:sz w:val="21"/>
                <w:szCs w:val="21"/>
                <w:highlight w:val="none"/>
                <w:vertAlign w:val="baseline"/>
                <w:lang w:val="en-US" w:eastAsia="zh-CN"/>
              </w:rPr>
              <w:t>基本</w:t>
            </w:r>
          </w:p>
          <w:p w14:paraId="7E9415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r>
              <w:rPr>
                <w:rFonts w:hint="eastAsia" w:ascii="宋体" w:hAnsi="宋体" w:eastAsia="宋体" w:cs="宋体"/>
                <w:b w:val="0"/>
                <w:bCs w:val="0"/>
                <w:color w:val="000000"/>
                <w:sz w:val="21"/>
                <w:szCs w:val="21"/>
                <w:highlight w:val="none"/>
                <w:vertAlign w:val="baseline"/>
                <w:lang w:val="en-US" w:eastAsia="zh-CN"/>
              </w:rPr>
              <w:t>费率</w:t>
            </w:r>
          </w:p>
        </w:tc>
        <w:tc>
          <w:tcPr>
            <w:tcW w:w="1172" w:type="dxa"/>
            <w:noWrap w:val="0"/>
            <w:vAlign w:val="center"/>
          </w:tcPr>
          <w:p w14:paraId="748A52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r>
              <w:rPr>
                <w:rFonts w:hint="eastAsia" w:ascii="宋体" w:hAnsi="宋体" w:eastAsia="宋体" w:cs="宋体"/>
                <w:b w:val="0"/>
                <w:bCs w:val="0"/>
                <w:color w:val="000000"/>
                <w:sz w:val="21"/>
                <w:szCs w:val="21"/>
                <w:highlight w:val="none"/>
                <w:vertAlign w:val="baseline"/>
                <w:lang w:val="en-US" w:eastAsia="zh-CN"/>
              </w:rPr>
              <w:t>市级标化增加费（%）</w:t>
            </w:r>
          </w:p>
        </w:tc>
        <w:tc>
          <w:tcPr>
            <w:tcW w:w="1006" w:type="dxa"/>
            <w:noWrap w:val="0"/>
            <w:vAlign w:val="center"/>
          </w:tcPr>
          <w:p w14:paraId="0EFCE8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r>
              <w:rPr>
                <w:rFonts w:hint="eastAsia" w:ascii="宋体" w:hAnsi="宋体" w:eastAsia="宋体" w:cs="宋体"/>
                <w:b w:val="0"/>
                <w:bCs w:val="0"/>
                <w:color w:val="000000"/>
                <w:sz w:val="21"/>
                <w:szCs w:val="21"/>
                <w:highlight w:val="none"/>
                <w:vertAlign w:val="baseline"/>
                <w:lang w:val="en-US" w:eastAsia="zh-CN"/>
              </w:rPr>
              <w:t>省级标化增加费（%）</w:t>
            </w:r>
          </w:p>
        </w:tc>
        <w:tc>
          <w:tcPr>
            <w:tcW w:w="1265" w:type="dxa"/>
            <w:noWrap w:val="0"/>
            <w:vAlign w:val="center"/>
          </w:tcPr>
          <w:p w14:paraId="7EEA7E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r>
              <w:rPr>
                <w:rFonts w:hint="eastAsia" w:ascii="宋体" w:hAnsi="宋体" w:eastAsia="宋体" w:cs="宋体"/>
                <w:b w:val="0"/>
                <w:bCs w:val="0"/>
                <w:color w:val="000000"/>
                <w:sz w:val="21"/>
                <w:szCs w:val="21"/>
                <w:highlight w:val="none"/>
                <w:vertAlign w:val="baseline"/>
                <w:lang w:val="en-US" w:eastAsia="zh-CN"/>
              </w:rPr>
              <w:t>参考依据</w:t>
            </w:r>
          </w:p>
        </w:tc>
      </w:tr>
      <w:tr w14:paraId="52806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561" w:type="dxa"/>
            <w:noWrap w:val="0"/>
            <w:vAlign w:val="center"/>
          </w:tcPr>
          <w:p w14:paraId="0BD244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r>
              <w:rPr>
                <w:rFonts w:hint="eastAsia" w:ascii="宋体" w:hAnsi="宋体" w:eastAsia="宋体" w:cs="宋体"/>
                <w:b w:val="0"/>
                <w:bCs w:val="0"/>
                <w:color w:val="000000"/>
                <w:sz w:val="21"/>
                <w:szCs w:val="21"/>
                <w:highlight w:val="none"/>
                <w:vertAlign w:val="baseline"/>
                <w:lang w:val="en-US" w:eastAsia="zh-CN"/>
              </w:rPr>
              <w:t>1</w:t>
            </w:r>
          </w:p>
        </w:tc>
        <w:tc>
          <w:tcPr>
            <w:tcW w:w="761" w:type="dxa"/>
            <w:vMerge w:val="restart"/>
            <w:noWrap w:val="0"/>
            <w:vAlign w:val="center"/>
          </w:tcPr>
          <w:p w14:paraId="4A397D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r>
              <w:rPr>
                <w:rFonts w:hint="eastAsia" w:ascii="宋体" w:hAnsi="宋体" w:eastAsia="宋体" w:cs="宋体"/>
                <w:b w:val="0"/>
                <w:bCs w:val="0"/>
                <w:color w:val="000000"/>
                <w:sz w:val="21"/>
                <w:szCs w:val="21"/>
                <w:highlight w:val="none"/>
                <w:vertAlign w:val="baseline"/>
                <w:lang w:val="en-US" w:eastAsia="zh-CN"/>
              </w:rPr>
              <w:t>建设工程</w:t>
            </w:r>
          </w:p>
        </w:tc>
        <w:tc>
          <w:tcPr>
            <w:tcW w:w="716" w:type="dxa"/>
            <w:vMerge w:val="restart"/>
            <w:noWrap w:val="0"/>
            <w:vAlign w:val="center"/>
          </w:tcPr>
          <w:p w14:paraId="38C606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r>
              <w:rPr>
                <w:rFonts w:hint="eastAsia" w:ascii="宋体" w:hAnsi="宋体" w:eastAsia="宋体" w:cs="宋体"/>
                <w:b w:val="0"/>
                <w:bCs w:val="0"/>
                <w:color w:val="000000"/>
                <w:sz w:val="21"/>
                <w:szCs w:val="21"/>
                <w:highlight w:val="none"/>
                <w:vertAlign w:val="baseline"/>
                <w:lang w:val="en-US" w:eastAsia="zh-CN"/>
              </w:rPr>
              <w:t>建筑工程</w:t>
            </w:r>
          </w:p>
        </w:tc>
        <w:tc>
          <w:tcPr>
            <w:tcW w:w="1904" w:type="dxa"/>
            <w:noWrap w:val="0"/>
            <w:vAlign w:val="center"/>
          </w:tcPr>
          <w:p w14:paraId="7A1BAF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r>
              <w:rPr>
                <w:rFonts w:hint="eastAsia" w:ascii="宋体" w:hAnsi="宋体" w:eastAsia="宋体" w:cs="宋体"/>
                <w:b w:val="0"/>
                <w:bCs w:val="0"/>
                <w:color w:val="000000"/>
                <w:sz w:val="21"/>
                <w:szCs w:val="21"/>
                <w:highlight w:val="none"/>
                <w:vertAlign w:val="baseline"/>
                <w:lang w:val="en-US" w:eastAsia="zh-CN"/>
              </w:rPr>
              <w:t>建筑工程</w:t>
            </w:r>
          </w:p>
        </w:tc>
        <w:tc>
          <w:tcPr>
            <w:tcW w:w="983" w:type="dxa"/>
            <w:vMerge w:val="restart"/>
            <w:noWrap w:val="0"/>
            <w:vAlign w:val="center"/>
          </w:tcPr>
          <w:p w14:paraId="4DECF8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r>
              <w:rPr>
                <w:rFonts w:hint="eastAsia" w:ascii="宋体" w:hAnsi="宋体" w:eastAsia="宋体" w:cs="宋体"/>
                <w:b w:val="0"/>
                <w:bCs w:val="0"/>
                <w:color w:val="000000"/>
                <w:sz w:val="21"/>
                <w:szCs w:val="21"/>
                <w:highlight w:val="none"/>
                <w:vertAlign w:val="baseline"/>
                <w:lang w:val="en-US" w:eastAsia="zh-CN"/>
              </w:rPr>
              <w:t>分部分项工程费+单价措施项目费-工程设备费</w:t>
            </w:r>
          </w:p>
        </w:tc>
        <w:tc>
          <w:tcPr>
            <w:tcW w:w="1009" w:type="dxa"/>
            <w:noWrap w:val="0"/>
            <w:vAlign w:val="center"/>
          </w:tcPr>
          <w:p w14:paraId="46F741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r>
              <w:rPr>
                <w:rFonts w:hint="eastAsia" w:ascii="宋体" w:hAnsi="宋体" w:eastAsia="宋体" w:cs="宋体"/>
                <w:b w:val="0"/>
                <w:bCs w:val="0"/>
                <w:color w:val="000000"/>
                <w:sz w:val="21"/>
                <w:szCs w:val="21"/>
                <w:highlight w:val="none"/>
                <w:vertAlign w:val="baseline"/>
                <w:lang w:val="en-US" w:eastAsia="zh-CN"/>
              </w:rPr>
              <w:t>3.1</w:t>
            </w:r>
          </w:p>
        </w:tc>
        <w:tc>
          <w:tcPr>
            <w:tcW w:w="1172" w:type="dxa"/>
            <w:noWrap w:val="0"/>
            <w:vAlign w:val="center"/>
          </w:tcPr>
          <w:p w14:paraId="2CFA5A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r>
              <w:rPr>
                <w:rFonts w:hint="eastAsia" w:ascii="宋体" w:hAnsi="宋体" w:eastAsia="宋体" w:cs="宋体"/>
                <w:b w:val="0"/>
                <w:bCs w:val="0"/>
                <w:color w:val="000000"/>
                <w:sz w:val="21"/>
                <w:szCs w:val="21"/>
                <w:highlight w:val="none"/>
                <w:vertAlign w:val="baseline"/>
                <w:lang w:val="en-US" w:eastAsia="zh-CN"/>
              </w:rPr>
              <w:t>0.49</w:t>
            </w:r>
          </w:p>
        </w:tc>
        <w:tc>
          <w:tcPr>
            <w:tcW w:w="1006" w:type="dxa"/>
            <w:noWrap w:val="0"/>
            <w:vAlign w:val="center"/>
          </w:tcPr>
          <w:p w14:paraId="40D2C6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r>
              <w:rPr>
                <w:rFonts w:hint="eastAsia" w:ascii="宋体" w:hAnsi="宋体" w:eastAsia="宋体" w:cs="宋体"/>
                <w:b w:val="0"/>
                <w:bCs w:val="0"/>
                <w:color w:val="000000"/>
                <w:sz w:val="21"/>
                <w:szCs w:val="21"/>
                <w:highlight w:val="none"/>
                <w:vertAlign w:val="baseline"/>
                <w:lang w:val="en-US" w:eastAsia="zh-CN"/>
              </w:rPr>
              <w:t>0.7</w:t>
            </w:r>
          </w:p>
        </w:tc>
        <w:tc>
          <w:tcPr>
            <w:tcW w:w="1265" w:type="dxa"/>
            <w:vMerge w:val="restart"/>
            <w:noWrap w:val="0"/>
            <w:vAlign w:val="center"/>
          </w:tcPr>
          <w:p w14:paraId="6F1450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r>
              <w:rPr>
                <w:rFonts w:hint="eastAsia" w:ascii="宋体" w:hAnsi="宋体" w:eastAsia="宋体" w:cs="宋体"/>
                <w:b w:val="0"/>
                <w:bCs w:val="0"/>
                <w:color w:val="000000"/>
                <w:sz w:val="21"/>
                <w:szCs w:val="21"/>
                <w:highlight w:val="none"/>
                <w:vertAlign w:val="baseline"/>
                <w:lang w:val="en-US" w:eastAsia="zh-CN"/>
              </w:rPr>
              <w:t>连云港市建设工程现场安全文明施工措施费计取及使用管理办法</w:t>
            </w:r>
          </w:p>
        </w:tc>
      </w:tr>
      <w:tr w14:paraId="1764C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561" w:type="dxa"/>
            <w:noWrap w:val="0"/>
            <w:vAlign w:val="center"/>
          </w:tcPr>
          <w:p w14:paraId="2A0B12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r>
              <w:rPr>
                <w:rFonts w:hint="eastAsia" w:ascii="宋体" w:hAnsi="宋体" w:eastAsia="宋体" w:cs="宋体"/>
                <w:b w:val="0"/>
                <w:bCs w:val="0"/>
                <w:color w:val="000000"/>
                <w:sz w:val="21"/>
                <w:szCs w:val="21"/>
                <w:highlight w:val="none"/>
                <w:vertAlign w:val="baseline"/>
                <w:lang w:val="en-US" w:eastAsia="zh-CN"/>
              </w:rPr>
              <w:t>2</w:t>
            </w:r>
          </w:p>
        </w:tc>
        <w:tc>
          <w:tcPr>
            <w:tcW w:w="761" w:type="dxa"/>
            <w:vMerge w:val="continue"/>
            <w:noWrap w:val="0"/>
            <w:vAlign w:val="center"/>
          </w:tcPr>
          <w:p w14:paraId="43AA31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rPr>
            </w:pPr>
          </w:p>
        </w:tc>
        <w:tc>
          <w:tcPr>
            <w:tcW w:w="716" w:type="dxa"/>
            <w:vMerge w:val="continue"/>
            <w:noWrap w:val="0"/>
            <w:vAlign w:val="center"/>
          </w:tcPr>
          <w:p w14:paraId="59E371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rPr>
            </w:pPr>
          </w:p>
        </w:tc>
        <w:tc>
          <w:tcPr>
            <w:tcW w:w="1904" w:type="dxa"/>
            <w:noWrap w:val="0"/>
            <w:vAlign w:val="center"/>
          </w:tcPr>
          <w:p w14:paraId="22B929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r>
              <w:rPr>
                <w:rFonts w:hint="eastAsia" w:ascii="宋体" w:hAnsi="宋体" w:eastAsia="宋体" w:cs="宋体"/>
                <w:b w:val="0"/>
                <w:bCs w:val="0"/>
                <w:color w:val="000000"/>
                <w:sz w:val="21"/>
                <w:szCs w:val="21"/>
                <w:highlight w:val="none"/>
                <w:vertAlign w:val="baseline"/>
                <w:lang w:val="en-US" w:eastAsia="zh-CN"/>
              </w:rPr>
              <w:t>单独构建吊装</w:t>
            </w:r>
          </w:p>
        </w:tc>
        <w:tc>
          <w:tcPr>
            <w:tcW w:w="983" w:type="dxa"/>
            <w:vMerge w:val="continue"/>
            <w:noWrap w:val="0"/>
            <w:vAlign w:val="center"/>
          </w:tcPr>
          <w:p w14:paraId="644AD2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rPr>
            </w:pPr>
          </w:p>
        </w:tc>
        <w:tc>
          <w:tcPr>
            <w:tcW w:w="1009" w:type="dxa"/>
            <w:noWrap w:val="0"/>
            <w:vAlign w:val="center"/>
          </w:tcPr>
          <w:p w14:paraId="31DFA7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r>
              <w:rPr>
                <w:rFonts w:hint="eastAsia" w:ascii="宋体" w:hAnsi="宋体" w:eastAsia="宋体" w:cs="宋体"/>
                <w:b w:val="0"/>
                <w:bCs w:val="0"/>
                <w:color w:val="000000"/>
                <w:sz w:val="21"/>
                <w:szCs w:val="21"/>
                <w:highlight w:val="none"/>
                <w:vertAlign w:val="baseline"/>
                <w:lang w:val="en-US" w:eastAsia="zh-CN"/>
              </w:rPr>
              <w:t>1.6</w:t>
            </w:r>
          </w:p>
        </w:tc>
        <w:tc>
          <w:tcPr>
            <w:tcW w:w="1172" w:type="dxa"/>
            <w:noWrap w:val="0"/>
            <w:vAlign w:val="center"/>
          </w:tcPr>
          <w:p w14:paraId="09E058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eastAsia="zh-CN"/>
              </w:rPr>
            </w:pPr>
            <w:r>
              <w:rPr>
                <w:rFonts w:hint="eastAsia" w:ascii="宋体" w:hAnsi="宋体" w:eastAsia="宋体" w:cs="宋体"/>
                <w:b w:val="0"/>
                <w:bCs w:val="0"/>
                <w:color w:val="000000"/>
                <w:sz w:val="21"/>
                <w:szCs w:val="21"/>
                <w:highlight w:val="none"/>
                <w:vertAlign w:val="baseline"/>
                <w:lang w:eastAsia="zh-CN"/>
              </w:rPr>
              <w:t>——</w:t>
            </w:r>
          </w:p>
        </w:tc>
        <w:tc>
          <w:tcPr>
            <w:tcW w:w="1006" w:type="dxa"/>
            <w:noWrap w:val="0"/>
            <w:vAlign w:val="center"/>
          </w:tcPr>
          <w:p w14:paraId="745546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eastAsia="zh-CN"/>
              </w:rPr>
            </w:pPr>
            <w:r>
              <w:rPr>
                <w:rFonts w:hint="eastAsia" w:ascii="宋体" w:hAnsi="宋体" w:eastAsia="宋体" w:cs="宋体"/>
                <w:b w:val="0"/>
                <w:bCs w:val="0"/>
                <w:color w:val="000000"/>
                <w:sz w:val="21"/>
                <w:szCs w:val="21"/>
                <w:highlight w:val="none"/>
                <w:vertAlign w:val="baseline"/>
                <w:lang w:eastAsia="zh-CN"/>
              </w:rPr>
              <w:t>——</w:t>
            </w:r>
          </w:p>
        </w:tc>
        <w:tc>
          <w:tcPr>
            <w:tcW w:w="1265" w:type="dxa"/>
            <w:vMerge w:val="continue"/>
            <w:noWrap w:val="0"/>
            <w:vAlign w:val="center"/>
          </w:tcPr>
          <w:p w14:paraId="62E231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rPr>
            </w:pPr>
          </w:p>
        </w:tc>
      </w:tr>
      <w:tr w14:paraId="49D4C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561" w:type="dxa"/>
            <w:noWrap w:val="0"/>
            <w:vAlign w:val="center"/>
          </w:tcPr>
          <w:p w14:paraId="6AC758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r>
              <w:rPr>
                <w:rFonts w:hint="eastAsia" w:ascii="宋体" w:hAnsi="宋体" w:eastAsia="宋体" w:cs="宋体"/>
                <w:b w:val="0"/>
                <w:bCs w:val="0"/>
                <w:color w:val="000000"/>
                <w:sz w:val="21"/>
                <w:szCs w:val="21"/>
                <w:highlight w:val="none"/>
                <w:vertAlign w:val="baseline"/>
                <w:lang w:val="en-US" w:eastAsia="zh-CN"/>
              </w:rPr>
              <w:t>3</w:t>
            </w:r>
          </w:p>
        </w:tc>
        <w:tc>
          <w:tcPr>
            <w:tcW w:w="761" w:type="dxa"/>
            <w:vMerge w:val="continue"/>
            <w:noWrap w:val="0"/>
            <w:vAlign w:val="center"/>
          </w:tcPr>
          <w:p w14:paraId="6656CF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rPr>
            </w:pPr>
          </w:p>
        </w:tc>
        <w:tc>
          <w:tcPr>
            <w:tcW w:w="716" w:type="dxa"/>
            <w:vMerge w:val="continue"/>
            <w:noWrap w:val="0"/>
            <w:vAlign w:val="center"/>
          </w:tcPr>
          <w:p w14:paraId="45B127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rPr>
            </w:pPr>
          </w:p>
        </w:tc>
        <w:tc>
          <w:tcPr>
            <w:tcW w:w="1904" w:type="dxa"/>
            <w:noWrap w:val="0"/>
            <w:vAlign w:val="center"/>
          </w:tcPr>
          <w:p w14:paraId="5BE42E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r>
              <w:rPr>
                <w:rFonts w:hint="eastAsia" w:ascii="宋体" w:hAnsi="宋体" w:eastAsia="宋体" w:cs="宋体"/>
                <w:b w:val="0"/>
                <w:bCs w:val="0"/>
                <w:color w:val="000000"/>
                <w:sz w:val="21"/>
                <w:szCs w:val="21"/>
                <w:highlight w:val="none"/>
                <w:vertAlign w:val="baseline"/>
                <w:lang w:val="en-US" w:eastAsia="zh-CN"/>
              </w:rPr>
              <w:t>打预制桩/制作兼打桩</w:t>
            </w:r>
          </w:p>
        </w:tc>
        <w:tc>
          <w:tcPr>
            <w:tcW w:w="983" w:type="dxa"/>
            <w:vMerge w:val="continue"/>
            <w:noWrap w:val="0"/>
            <w:vAlign w:val="center"/>
          </w:tcPr>
          <w:p w14:paraId="0F5EAE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rPr>
            </w:pPr>
          </w:p>
        </w:tc>
        <w:tc>
          <w:tcPr>
            <w:tcW w:w="1009" w:type="dxa"/>
            <w:noWrap w:val="0"/>
            <w:vAlign w:val="center"/>
          </w:tcPr>
          <w:p w14:paraId="6887AD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r>
              <w:rPr>
                <w:rFonts w:hint="eastAsia" w:ascii="宋体" w:hAnsi="宋体" w:eastAsia="宋体" w:cs="宋体"/>
                <w:b w:val="0"/>
                <w:bCs w:val="0"/>
                <w:color w:val="000000"/>
                <w:sz w:val="21"/>
                <w:szCs w:val="21"/>
                <w:highlight w:val="none"/>
                <w:vertAlign w:val="baseline"/>
                <w:lang w:val="en-US" w:eastAsia="zh-CN"/>
              </w:rPr>
              <w:t>1.5/1.8</w:t>
            </w:r>
          </w:p>
        </w:tc>
        <w:tc>
          <w:tcPr>
            <w:tcW w:w="1172" w:type="dxa"/>
            <w:noWrap w:val="0"/>
            <w:vAlign w:val="center"/>
          </w:tcPr>
          <w:p w14:paraId="551611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r>
              <w:rPr>
                <w:rFonts w:hint="eastAsia" w:ascii="宋体" w:hAnsi="宋体" w:eastAsia="宋体" w:cs="宋体"/>
                <w:b w:val="0"/>
                <w:bCs w:val="0"/>
                <w:color w:val="000000"/>
                <w:sz w:val="21"/>
                <w:szCs w:val="21"/>
                <w:highlight w:val="none"/>
                <w:vertAlign w:val="baseline"/>
                <w:lang w:val="en-US" w:eastAsia="zh-CN"/>
              </w:rPr>
              <w:t>0.21/0.28</w:t>
            </w:r>
          </w:p>
        </w:tc>
        <w:tc>
          <w:tcPr>
            <w:tcW w:w="1006" w:type="dxa"/>
            <w:noWrap w:val="0"/>
            <w:vAlign w:val="center"/>
          </w:tcPr>
          <w:p w14:paraId="4B1840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r>
              <w:rPr>
                <w:rFonts w:hint="eastAsia" w:ascii="宋体" w:hAnsi="宋体" w:eastAsia="宋体" w:cs="宋体"/>
                <w:b w:val="0"/>
                <w:bCs w:val="0"/>
                <w:color w:val="000000"/>
                <w:sz w:val="21"/>
                <w:szCs w:val="21"/>
                <w:highlight w:val="none"/>
                <w:vertAlign w:val="baseline"/>
                <w:lang w:val="en-US" w:eastAsia="zh-CN"/>
              </w:rPr>
              <w:t>0.3/0.4</w:t>
            </w:r>
          </w:p>
        </w:tc>
        <w:tc>
          <w:tcPr>
            <w:tcW w:w="1265" w:type="dxa"/>
            <w:vMerge w:val="continue"/>
            <w:noWrap w:val="0"/>
            <w:vAlign w:val="center"/>
          </w:tcPr>
          <w:p w14:paraId="533F80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rPr>
            </w:pPr>
          </w:p>
        </w:tc>
      </w:tr>
      <w:tr w14:paraId="78D62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561" w:type="dxa"/>
            <w:noWrap w:val="0"/>
            <w:vAlign w:val="center"/>
          </w:tcPr>
          <w:p w14:paraId="322AF7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r>
              <w:rPr>
                <w:rFonts w:hint="eastAsia" w:ascii="宋体" w:hAnsi="宋体" w:eastAsia="宋体" w:cs="宋体"/>
                <w:b w:val="0"/>
                <w:bCs w:val="0"/>
                <w:color w:val="000000"/>
                <w:sz w:val="21"/>
                <w:szCs w:val="21"/>
                <w:highlight w:val="none"/>
                <w:vertAlign w:val="baseline"/>
                <w:lang w:val="en-US" w:eastAsia="zh-CN"/>
              </w:rPr>
              <w:t>4</w:t>
            </w:r>
          </w:p>
        </w:tc>
        <w:tc>
          <w:tcPr>
            <w:tcW w:w="761" w:type="dxa"/>
            <w:vMerge w:val="continue"/>
            <w:noWrap w:val="0"/>
            <w:vAlign w:val="center"/>
          </w:tcPr>
          <w:p w14:paraId="7CA65A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rPr>
            </w:pPr>
          </w:p>
        </w:tc>
        <w:tc>
          <w:tcPr>
            <w:tcW w:w="2620" w:type="dxa"/>
            <w:gridSpan w:val="2"/>
            <w:noWrap w:val="0"/>
            <w:vAlign w:val="center"/>
          </w:tcPr>
          <w:p w14:paraId="4D1D36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r>
              <w:rPr>
                <w:rFonts w:hint="eastAsia" w:ascii="宋体" w:hAnsi="宋体" w:eastAsia="宋体" w:cs="宋体"/>
                <w:b w:val="0"/>
                <w:bCs w:val="0"/>
                <w:color w:val="000000"/>
                <w:sz w:val="21"/>
                <w:szCs w:val="21"/>
                <w:highlight w:val="none"/>
                <w:vertAlign w:val="baseline"/>
                <w:lang w:val="en-US" w:eastAsia="zh-CN"/>
              </w:rPr>
              <w:t>单独装饰工程</w:t>
            </w:r>
          </w:p>
        </w:tc>
        <w:tc>
          <w:tcPr>
            <w:tcW w:w="983" w:type="dxa"/>
            <w:vMerge w:val="continue"/>
            <w:noWrap w:val="0"/>
            <w:vAlign w:val="center"/>
          </w:tcPr>
          <w:p w14:paraId="2238F6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rPr>
            </w:pPr>
          </w:p>
        </w:tc>
        <w:tc>
          <w:tcPr>
            <w:tcW w:w="1009" w:type="dxa"/>
            <w:noWrap w:val="0"/>
            <w:vAlign w:val="center"/>
          </w:tcPr>
          <w:p w14:paraId="014A65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r>
              <w:rPr>
                <w:rFonts w:hint="eastAsia" w:ascii="宋体" w:hAnsi="宋体" w:eastAsia="宋体" w:cs="宋体"/>
                <w:b w:val="0"/>
                <w:bCs w:val="0"/>
                <w:color w:val="000000"/>
                <w:sz w:val="21"/>
                <w:szCs w:val="21"/>
                <w:highlight w:val="none"/>
                <w:vertAlign w:val="baseline"/>
                <w:lang w:val="en-US" w:eastAsia="zh-CN"/>
              </w:rPr>
              <w:t>1.7</w:t>
            </w:r>
          </w:p>
        </w:tc>
        <w:tc>
          <w:tcPr>
            <w:tcW w:w="1172" w:type="dxa"/>
            <w:noWrap w:val="0"/>
            <w:vAlign w:val="center"/>
          </w:tcPr>
          <w:p w14:paraId="3CD3E1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r>
              <w:rPr>
                <w:rFonts w:hint="eastAsia" w:ascii="宋体" w:hAnsi="宋体" w:eastAsia="宋体" w:cs="宋体"/>
                <w:b w:val="0"/>
                <w:bCs w:val="0"/>
                <w:color w:val="000000"/>
                <w:sz w:val="21"/>
                <w:szCs w:val="21"/>
                <w:highlight w:val="none"/>
                <w:vertAlign w:val="baseline"/>
                <w:lang w:val="en-US" w:eastAsia="zh-CN"/>
              </w:rPr>
              <w:t>0.28</w:t>
            </w:r>
          </w:p>
        </w:tc>
        <w:tc>
          <w:tcPr>
            <w:tcW w:w="1006" w:type="dxa"/>
            <w:noWrap w:val="0"/>
            <w:vAlign w:val="center"/>
          </w:tcPr>
          <w:p w14:paraId="1690F6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r>
              <w:rPr>
                <w:rFonts w:hint="eastAsia" w:ascii="宋体" w:hAnsi="宋体" w:eastAsia="宋体" w:cs="宋体"/>
                <w:b w:val="0"/>
                <w:bCs w:val="0"/>
                <w:color w:val="000000"/>
                <w:sz w:val="21"/>
                <w:szCs w:val="21"/>
                <w:highlight w:val="none"/>
                <w:vertAlign w:val="baseline"/>
                <w:lang w:val="en-US" w:eastAsia="zh-CN"/>
              </w:rPr>
              <w:t>0.4</w:t>
            </w:r>
          </w:p>
        </w:tc>
        <w:tc>
          <w:tcPr>
            <w:tcW w:w="1265" w:type="dxa"/>
            <w:vMerge w:val="continue"/>
            <w:noWrap w:val="0"/>
            <w:vAlign w:val="center"/>
          </w:tcPr>
          <w:p w14:paraId="153171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rPr>
            </w:pPr>
          </w:p>
        </w:tc>
      </w:tr>
      <w:tr w14:paraId="1F5C5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561" w:type="dxa"/>
            <w:noWrap w:val="0"/>
            <w:vAlign w:val="center"/>
          </w:tcPr>
          <w:p w14:paraId="270DB6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r>
              <w:rPr>
                <w:rFonts w:hint="eastAsia" w:ascii="宋体" w:hAnsi="宋体" w:eastAsia="宋体" w:cs="宋体"/>
                <w:b w:val="0"/>
                <w:bCs w:val="0"/>
                <w:color w:val="000000"/>
                <w:sz w:val="21"/>
                <w:szCs w:val="21"/>
                <w:highlight w:val="none"/>
                <w:vertAlign w:val="baseline"/>
                <w:lang w:val="en-US" w:eastAsia="zh-CN"/>
              </w:rPr>
              <w:t>5</w:t>
            </w:r>
          </w:p>
        </w:tc>
        <w:tc>
          <w:tcPr>
            <w:tcW w:w="761" w:type="dxa"/>
            <w:vMerge w:val="continue"/>
            <w:noWrap w:val="0"/>
            <w:vAlign w:val="center"/>
          </w:tcPr>
          <w:p w14:paraId="322333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rPr>
            </w:pPr>
          </w:p>
        </w:tc>
        <w:tc>
          <w:tcPr>
            <w:tcW w:w="716" w:type="dxa"/>
            <w:vMerge w:val="restart"/>
            <w:noWrap w:val="0"/>
            <w:vAlign w:val="center"/>
          </w:tcPr>
          <w:p w14:paraId="45A401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r>
              <w:rPr>
                <w:rFonts w:hint="eastAsia" w:ascii="宋体" w:hAnsi="宋体" w:eastAsia="宋体" w:cs="宋体"/>
                <w:b w:val="0"/>
                <w:bCs w:val="0"/>
                <w:color w:val="000000"/>
                <w:sz w:val="21"/>
                <w:szCs w:val="21"/>
                <w:highlight w:val="none"/>
                <w:vertAlign w:val="baseline"/>
                <w:lang w:val="en-US" w:eastAsia="zh-CN"/>
              </w:rPr>
              <w:t>市政工程</w:t>
            </w:r>
          </w:p>
        </w:tc>
        <w:tc>
          <w:tcPr>
            <w:tcW w:w="1904" w:type="dxa"/>
            <w:noWrap w:val="0"/>
            <w:vAlign w:val="center"/>
          </w:tcPr>
          <w:p w14:paraId="4EA84A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r>
              <w:rPr>
                <w:rFonts w:hint="eastAsia" w:ascii="宋体" w:hAnsi="宋体" w:eastAsia="宋体" w:cs="宋体"/>
                <w:b w:val="0"/>
                <w:bCs w:val="0"/>
                <w:color w:val="000000"/>
                <w:sz w:val="21"/>
                <w:szCs w:val="21"/>
                <w:highlight w:val="none"/>
                <w:vertAlign w:val="baseline"/>
                <w:lang w:val="en-US" w:eastAsia="zh-CN"/>
              </w:rPr>
              <w:t>通用项目、道路、排水工程</w:t>
            </w:r>
          </w:p>
        </w:tc>
        <w:tc>
          <w:tcPr>
            <w:tcW w:w="983" w:type="dxa"/>
            <w:vMerge w:val="continue"/>
            <w:noWrap w:val="0"/>
            <w:vAlign w:val="center"/>
          </w:tcPr>
          <w:p w14:paraId="7B00D5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rPr>
            </w:pPr>
          </w:p>
        </w:tc>
        <w:tc>
          <w:tcPr>
            <w:tcW w:w="1009" w:type="dxa"/>
            <w:noWrap w:val="0"/>
            <w:vAlign w:val="center"/>
          </w:tcPr>
          <w:p w14:paraId="015D20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r>
              <w:rPr>
                <w:rFonts w:hint="eastAsia" w:ascii="宋体" w:hAnsi="宋体" w:eastAsia="宋体" w:cs="宋体"/>
                <w:b w:val="0"/>
                <w:bCs w:val="0"/>
                <w:color w:val="000000"/>
                <w:sz w:val="21"/>
                <w:szCs w:val="21"/>
                <w:highlight w:val="none"/>
                <w:vertAlign w:val="baseline"/>
                <w:lang w:val="en-US" w:eastAsia="zh-CN"/>
              </w:rPr>
              <w:t>1.5</w:t>
            </w:r>
          </w:p>
        </w:tc>
        <w:tc>
          <w:tcPr>
            <w:tcW w:w="1172" w:type="dxa"/>
            <w:noWrap w:val="0"/>
            <w:vAlign w:val="center"/>
          </w:tcPr>
          <w:p w14:paraId="75A2E6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r>
              <w:rPr>
                <w:rFonts w:hint="eastAsia" w:ascii="宋体" w:hAnsi="宋体" w:eastAsia="宋体" w:cs="宋体"/>
                <w:b w:val="0"/>
                <w:bCs w:val="0"/>
                <w:color w:val="000000"/>
                <w:sz w:val="21"/>
                <w:szCs w:val="21"/>
                <w:highlight w:val="none"/>
                <w:vertAlign w:val="baseline"/>
                <w:lang w:val="en-US" w:eastAsia="zh-CN"/>
              </w:rPr>
              <w:t>0.28</w:t>
            </w:r>
          </w:p>
        </w:tc>
        <w:tc>
          <w:tcPr>
            <w:tcW w:w="1006" w:type="dxa"/>
            <w:noWrap w:val="0"/>
            <w:vAlign w:val="center"/>
          </w:tcPr>
          <w:p w14:paraId="354223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r>
              <w:rPr>
                <w:rFonts w:hint="eastAsia" w:ascii="宋体" w:hAnsi="宋体" w:eastAsia="宋体" w:cs="宋体"/>
                <w:b w:val="0"/>
                <w:bCs w:val="0"/>
                <w:color w:val="000000"/>
                <w:sz w:val="21"/>
                <w:szCs w:val="21"/>
                <w:highlight w:val="none"/>
                <w:vertAlign w:val="baseline"/>
                <w:lang w:val="en-US" w:eastAsia="zh-CN"/>
              </w:rPr>
              <w:t>0.4</w:t>
            </w:r>
          </w:p>
        </w:tc>
        <w:tc>
          <w:tcPr>
            <w:tcW w:w="1265" w:type="dxa"/>
            <w:vMerge w:val="continue"/>
            <w:noWrap w:val="0"/>
            <w:vAlign w:val="center"/>
          </w:tcPr>
          <w:p w14:paraId="3A4A28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rPr>
            </w:pPr>
          </w:p>
        </w:tc>
      </w:tr>
      <w:tr w14:paraId="6E3FC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561" w:type="dxa"/>
            <w:noWrap w:val="0"/>
            <w:vAlign w:val="center"/>
          </w:tcPr>
          <w:p w14:paraId="7F5F9F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r>
              <w:rPr>
                <w:rFonts w:hint="eastAsia" w:ascii="宋体" w:hAnsi="宋体" w:eastAsia="宋体" w:cs="宋体"/>
                <w:b w:val="0"/>
                <w:bCs w:val="0"/>
                <w:color w:val="000000"/>
                <w:sz w:val="21"/>
                <w:szCs w:val="21"/>
                <w:highlight w:val="none"/>
                <w:vertAlign w:val="baseline"/>
                <w:lang w:val="en-US" w:eastAsia="zh-CN"/>
              </w:rPr>
              <w:t>6</w:t>
            </w:r>
          </w:p>
        </w:tc>
        <w:tc>
          <w:tcPr>
            <w:tcW w:w="761" w:type="dxa"/>
            <w:vMerge w:val="continue"/>
            <w:noWrap w:val="0"/>
            <w:vAlign w:val="center"/>
          </w:tcPr>
          <w:p w14:paraId="312FC6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rPr>
            </w:pPr>
          </w:p>
        </w:tc>
        <w:tc>
          <w:tcPr>
            <w:tcW w:w="716" w:type="dxa"/>
            <w:vMerge w:val="continue"/>
            <w:noWrap w:val="0"/>
            <w:vAlign w:val="center"/>
          </w:tcPr>
          <w:p w14:paraId="5348A6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p>
        </w:tc>
        <w:tc>
          <w:tcPr>
            <w:tcW w:w="1904" w:type="dxa"/>
            <w:noWrap w:val="0"/>
            <w:vAlign w:val="center"/>
          </w:tcPr>
          <w:p w14:paraId="66C9C8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r>
              <w:rPr>
                <w:rFonts w:hint="eastAsia" w:ascii="宋体" w:hAnsi="宋体" w:eastAsia="宋体" w:cs="宋体"/>
                <w:b w:val="0"/>
                <w:bCs w:val="0"/>
                <w:color w:val="000000"/>
                <w:sz w:val="21"/>
                <w:szCs w:val="21"/>
                <w:highlight w:val="none"/>
                <w:vertAlign w:val="baseline"/>
                <w:lang w:val="en-US" w:eastAsia="zh-CN"/>
              </w:rPr>
              <w:t>给水</w:t>
            </w:r>
          </w:p>
        </w:tc>
        <w:tc>
          <w:tcPr>
            <w:tcW w:w="983" w:type="dxa"/>
            <w:vMerge w:val="continue"/>
            <w:noWrap w:val="0"/>
            <w:vAlign w:val="center"/>
          </w:tcPr>
          <w:p w14:paraId="3E1513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rPr>
            </w:pPr>
          </w:p>
        </w:tc>
        <w:tc>
          <w:tcPr>
            <w:tcW w:w="1009" w:type="dxa"/>
            <w:noWrap w:val="0"/>
            <w:vAlign w:val="center"/>
          </w:tcPr>
          <w:p w14:paraId="76D552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r>
              <w:rPr>
                <w:rFonts w:hint="eastAsia" w:ascii="宋体" w:hAnsi="宋体" w:eastAsia="宋体" w:cs="宋体"/>
                <w:b w:val="0"/>
                <w:bCs w:val="0"/>
                <w:color w:val="000000"/>
                <w:sz w:val="21"/>
                <w:szCs w:val="21"/>
                <w:highlight w:val="none"/>
                <w:vertAlign w:val="baseline"/>
                <w:lang w:val="en-US" w:eastAsia="zh-CN"/>
              </w:rPr>
              <w:t>1.2</w:t>
            </w:r>
          </w:p>
        </w:tc>
        <w:tc>
          <w:tcPr>
            <w:tcW w:w="1172" w:type="dxa"/>
            <w:noWrap w:val="0"/>
            <w:vAlign w:val="center"/>
          </w:tcPr>
          <w:p w14:paraId="78AFEB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r>
              <w:rPr>
                <w:rFonts w:hint="eastAsia" w:ascii="宋体" w:hAnsi="宋体" w:eastAsia="宋体" w:cs="宋体"/>
                <w:b w:val="0"/>
                <w:bCs w:val="0"/>
                <w:color w:val="000000"/>
                <w:sz w:val="21"/>
                <w:szCs w:val="21"/>
                <w:highlight w:val="none"/>
                <w:vertAlign w:val="baseline"/>
                <w:lang w:val="en-US" w:eastAsia="zh-CN"/>
              </w:rPr>
              <w:t>0.21</w:t>
            </w:r>
          </w:p>
        </w:tc>
        <w:tc>
          <w:tcPr>
            <w:tcW w:w="1006" w:type="dxa"/>
            <w:noWrap w:val="0"/>
            <w:vAlign w:val="center"/>
          </w:tcPr>
          <w:p w14:paraId="6F960F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r>
              <w:rPr>
                <w:rFonts w:hint="eastAsia" w:ascii="宋体" w:hAnsi="宋体" w:eastAsia="宋体" w:cs="宋体"/>
                <w:b w:val="0"/>
                <w:bCs w:val="0"/>
                <w:color w:val="000000"/>
                <w:sz w:val="21"/>
                <w:szCs w:val="21"/>
                <w:highlight w:val="none"/>
                <w:vertAlign w:val="baseline"/>
                <w:lang w:val="en-US" w:eastAsia="zh-CN"/>
              </w:rPr>
              <w:t>0.3</w:t>
            </w:r>
          </w:p>
        </w:tc>
        <w:tc>
          <w:tcPr>
            <w:tcW w:w="1265" w:type="dxa"/>
            <w:vMerge w:val="continue"/>
            <w:noWrap w:val="0"/>
            <w:vAlign w:val="center"/>
          </w:tcPr>
          <w:p w14:paraId="62A058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rPr>
            </w:pPr>
          </w:p>
        </w:tc>
      </w:tr>
      <w:tr w14:paraId="36CE4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561" w:type="dxa"/>
            <w:noWrap w:val="0"/>
            <w:vAlign w:val="center"/>
          </w:tcPr>
          <w:p w14:paraId="122238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r>
              <w:rPr>
                <w:rFonts w:hint="eastAsia" w:ascii="宋体" w:hAnsi="宋体" w:eastAsia="宋体" w:cs="宋体"/>
                <w:b w:val="0"/>
                <w:bCs w:val="0"/>
                <w:color w:val="000000"/>
                <w:sz w:val="21"/>
                <w:szCs w:val="21"/>
                <w:highlight w:val="none"/>
                <w:vertAlign w:val="baseline"/>
                <w:lang w:val="en-US" w:eastAsia="zh-CN"/>
              </w:rPr>
              <w:t>7</w:t>
            </w:r>
          </w:p>
        </w:tc>
        <w:tc>
          <w:tcPr>
            <w:tcW w:w="761" w:type="dxa"/>
            <w:vMerge w:val="continue"/>
            <w:noWrap w:val="0"/>
            <w:vAlign w:val="center"/>
          </w:tcPr>
          <w:p w14:paraId="2175E0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rPr>
            </w:pPr>
          </w:p>
        </w:tc>
        <w:tc>
          <w:tcPr>
            <w:tcW w:w="716" w:type="dxa"/>
            <w:vMerge w:val="continue"/>
            <w:noWrap w:val="0"/>
            <w:vAlign w:val="center"/>
          </w:tcPr>
          <w:p w14:paraId="2A545C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p>
        </w:tc>
        <w:tc>
          <w:tcPr>
            <w:tcW w:w="1904" w:type="dxa"/>
            <w:noWrap w:val="0"/>
            <w:vAlign w:val="center"/>
          </w:tcPr>
          <w:p w14:paraId="14DBEE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r>
              <w:rPr>
                <w:rFonts w:hint="eastAsia" w:ascii="宋体" w:hAnsi="宋体" w:eastAsia="宋体" w:cs="宋体"/>
                <w:b w:val="0"/>
                <w:bCs w:val="0"/>
                <w:color w:val="000000"/>
                <w:sz w:val="21"/>
                <w:szCs w:val="21"/>
                <w:highlight w:val="none"/>
                <w:vertAlign w:val="baseline"/>
                <w:lang w:val="en-US" w:eastAsia="zh-CN"/>
              </w:rPr>
              <w:t>路灯及交通设施工程</w:t>
            </w:r>
          </w:p>
        </w:tc>
        <w:tc>
          <w:tcPr>
            <w:tcW w:w="983" w:type="dxa"/>
            <w:vMerge w:val="continue"/>
            <w:noWrap w:val="0"/>
            <w:vAlign w:val="center"/>
          </w:tcPr>
          <w:p w14:paraId="549312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rPr>
            </w:pPr>
          </w:p>
        </w:tc>
        <w:tc>
          <w:tcPr>
            <w:tcW w:w="1009" w:type="dxa"/>
            <w:noWrap w:val="0"/>
            <w:vAlign w:val="center"/>
          </w:tcPr>
          <w:p w14:paraId="42274E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rPr>
            </w:pPr>
            <w:r>
              <w:rPr>
                <w:rFonts w:hint="eastAsia" w:ascii="宋体" w:hAnsi="宋体" w:eastAsia="宋体" w:cs="宋体"/>
                <w:b w:val="0"/>
                <w:bCs w:val="0"/>
                <w:color w:val="000000"/>
                <w:sz w:val="21"/>
                <w:szCs w:val="21"/>
                <w:highlight w:val="none"/>
                <w:vertAlign w:val="baseline"/>
                <w:lang w:val="en-US" w:eastAsia="zh-CN"/>
              </w:rPr>
              <w:t>1.2</w:t>
            </w:r>
          </w:p>
        </w:tc>
        <w:tc>
          <w:tcPr>
            <w:tcW w:w="1172" w:type="dxa"/>
            <w:noWrap w:val="0"/>
            <w:vAlign w:val="center"/>
          </w:tcPr>
          <w:p w14:paraId="30F619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rPr>
            </w:pPr>
            <w:r>
              <w:rPr>
                <w:rFonts w:hint="eastAsia" w:ascii="宋体" w:hAnsi="宋体" w:eastAsia="宋体" w:cs="宋体"/>
                <w:b w:val="0"/>
                <w:bCs w:val="0"/>
                <w:color w:val="000000"/>
                <w:sz w:val="21"/>
                <w:szCs w:val="21"/>
                <w:highlight w:val="none"/>
                <w:vertAlign w:val="baseline"/>
                <w:lang w:val="en-US" w:eastAsia="zh-CN"/>
              </w:rPr>
              <w:t>0.21</w:t>
            </w:r>
          </w:p>
        </w:tc>
        <w:tc>
          <w:tcPr>
            <w:tcW w:w="1006" w:type="dxa"/>
            <w:noWrap w:val="0"/>
            <w:vAlign w:val="center"/>
          </w:tcPr>
          <w:p w14:paraId="21A545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rPr>
            </w:pPr>
            <w:r>
              <w:rPr>
                <w:rFonts w:hint="eastAsia" w:ascii="宋体" w:hAnsi="宋体" w:eastAsia="宋体" w:cs="宋体"/>
                <w:b w:val="0"/>
                <w:bCs w:val="0"/>
                <w:color w:val="000000"/>
                <w:sz w:val="21"/>
                <w:szCs w:val="21"/>
                <w:highlight w:val="none"/>
                <w:vertAlign w:val="baseline"/>
                <w:lang w:val="en-US" w:eastAsia="zh-CN"/>
              </w:rPr>
              <w:t>0.3</w:t>
            </w:r>
          </w:p>
        </w:tc>
        <w:tc>
          <w:tcPr>
            <w:tcW w:w="1265" w:type="dxa"/>
            <w:vMerge w:val="continue"/>
            <w:noWrap w:val="0"/>
            <w:vAlign w:val="center"/>
          </w:tcPr>
          <w:p w14:paraId="450D7D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rPr>
            </w:pPr>
          </w:p>
        </w:tc>
      </w:tr>
      <w:tr w14:paraId="33250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561" w:type="dxa"/>
            <w:noWrap w:val="0"/>
            <w:vAlign w:val="center"/>
          </w:tcPr>
          <w:p w14:paraId="6CB462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r>
              <w:rPr>
                <w:rFonts w:hint="eastAsia" w:ascii="宋体" w:hAnsi="宋体" w:eastAsia="宋体" w:cs="宋体"/>
                <w:b w:val="0"/>
                <w:bCs w:val="0"/>
                <w:color w:val="000000"/>
                <w:sz w:val="21"/>
                <w:szCs w:val="21"/>
                <w:highlight w:val="none"/>
                <w:vertAlign w:val="baseline"/>
                <w:lang w:val="en-US" w:eastAsia="zh-CN"/>
              </w:rPr>
              <w:t>8</w:t>
            </w:r>
          </w:p>
        </w:tc>
        <w:tc>
          <w:tcPr>
            <w:tcW w:w="761" w:type="dxa"/>
            <w:vMerge w:val="continue"/>
            <w:noWrap w:val="0"/>
            <w:vAlign w:val="center"/>
          </w:tcPr>
          <w:p w14:paraId="27825F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rPr>
            </w:pPr>
          </w:p>
        </w:tc>
        <w:tc>
          <w:tcPr>
            <w:tcW w:w="2620" w:type="dxa"/>
            <w:gridSpan w:val="2"/>
            <w:noWrap w:val="0"/>
            <w:vAlign w:val="center"/>
          </w:tcPr>
          <w:p w14:paraId="732188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r>
              <w:rPr>
                <w:rFonts w:hint="eastAsia" w:ascii="宋体" w:hAnsi="宋体" w:eastAsia="宋体" w:cs="宋体"/>
                <w:b w:val="0"/>
                <w:bCs w:val="0"/>
                <w:color w:val="000000"/>
                <w:sz w:val="21"/>
                <w:szCs w:val="21"/>
                <w:highlight w:val="none"/>
                <w:vertAlign w:val="baseline"/>
                <w:lang w:val="en-US" w:eastAsia="zh-CN"/>
              </w:rPr>
              <w:t>园林绿化工程</w:t>
            </w:r>
          </w:p>
        </w:tc>
        <w:tc>
          <w:tcPr>
            <w:tcW w:w="983" w:type="dxa"/>
            <w:vMerge w:val="continue"/>
            <w:noWrap w:val="0"/>
            <w:vAlign w:val="center"/>
          </w:tcPr>
          <w:p w14:paraId="167D71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rPr>
            </w:pPr>
          </w:p>
        </w:tc>
        <w:tc>
          <w:tcPr>
            <w:tcW w:w="1009" w:type="dxa"/>
            <w:noWrap w:val="0"/>
            <w:vAlign w:val="center"/>
          </w:tcPr>
          <w:p w14:paraId="0A635D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r>
              <w:rPr>
                <w:rFonts w:hint="eastAsia" w:ascii="宋体" w:hAnsi="宋体" w:eastAsia="宋体" w:cs="宋体"/>
                <w:b w:val="0"/>
                <w:bCs w:val="0"/>
                <w:color w:val="000000"/>
                <w:sz w:val="21"/>
                <w:szCs w:val="21"/>
                <w:highlight w:val="none"/>
                <w:vertAlign w:val="baseline"/>
                <w:lang w:val="en-US" w:eastAsia="zh-CN"/>
              </w:rPr>
              <w:t>1.0</w:t>
            </w:r>
          </w:p>
        </w:tc>
        <w:tc>
          <w:tcPr>
            <w:tcW w:w="1172" w:type="dxa"/>
            <w:noWrap w:val="0"/>
            <w:vAlign w:val="center"/>
          </w:tcPr>
          <w:p w14:paraId="312D38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rPr>
            </w:pPr>
            <w:r>
              <w:rPr>
                <w:rFonts w:hint="eastAsia" w:ascii="宋体" w:hAnsi="宋体" w:eastAsia="宋体" w:cs="宋体"/>
                <w:b w:val="0"/>
                <w:bCs w:val="0"/>
                <w:color w:val="000000"/>
                <w:sz w:val="21"/>
                <w:szCs w:val="21"/>
                <w:highlight w:val="none"/>
                <w:vertAlign w:val="baseline"/>
                <w:lang w:eastAsia="zh-CN"/>
              </w:rPr>
              <w:t>——</w:t>
            </w:r>
          </w:p>
        </w:tc>
        <w:tc>
          <w:tcPr>
            <w:tcW w:w="1006" w:type="dxa"/>
            <w:noWrap w:val="0"/>
            <w:vAlign w:val="center"/>
          </w:tcPr>
          <w:p w14:paraId="056EBA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rPr>
            </w:pPr>
            <w:r>
              <w:rPr>
                <w:rFonts w:hint="eastAsia" w:ascii="宋体" w:hAnsi="宋体" w:eastAsia="宋体" w:cs="宋体"/>
                <w:b w:val="0"/>
                <w:bCs w:val="0"/>
                <w:color w:val="000000"/>
                <w:sz w:val="21"/>
                <w:szCs w:val="21"/>
                <w:highlight w:val="none"/>
                <w:vertAlign w:val="baseline"/>
                <w:lang w:eastAsia="zh-CN"/>
              </w:rPr>
              <w:t>——</w:t>
            </w:r>
          </w:p>
        </w:tc>
        <w:tc>
          <w:tcPr>
            <w:tcW w:w="1265" w:type="dxa"/>
            <w:vMerge w:val="continue"/>
            <w:noWrap w:val="0"/>
            <w:vAlign w:val="center"/>
          </w:tcPr>
          <w:p w14:paraId="1FD09C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rPr>
            </w:pPr>
          </w:p>
        </w:tc>
      </w:tr>
      <w:tr w14:paraId="1DCF7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561" w:type="dxa"/>
            <w:noWrap w:val="0"/>
            <w:vAlign w:val="center"/>
          </w:tcPr>
          <w:p w14:paraId="4A6053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r>
              <w:rPr>
                <w:rFonts w:hint="eastAsia" w:ascii="宋体" w:hAnsi="宋体" w:eastAsia="宋体" w:cs="宋体"/>
                <w:b w:val="0"/>
                <w:bCs w:val="0"/>
                <w:color w:val="000000"/>
                <w:sz w:val="21"/>
                <w:szCs w:val="21"/>
                <w:highlight w:val="none"/>
                <w:vertAlign w:val="baseline"/>
                <w:lang w:val="en-US" w:eastAsia="zh-CN"/>
              </w:rPr>
              <w:t>9</w:t>
            </w:r>
          </w:p>
        </w:tc>
        <w:tc>
          <w:tcPr>
            <w:tcW w:w="761" w:type="dxa"/>
            <w:vMerge w:val="continue"/>
            <w:noWrap w:val="0"/>
            <w:vAlign w:val="center"/>
          </w:tcPr>
          <w:p w14:paraId="4BED98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rPr>
            </w:pPr>
          </w:p>
        </w:tc>
        <w:tc>
          <w:tcPr>
            <w:tcW w:w="2620" w:type="dxa"/>
            <w:gridSpan w:val="2"/>
            <w:noWrap w:val="0"/>
            <w:vAlign w:val="center"/>
          </w:tcPr>
          <w:p w14:paraId="1BE7C6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r>
              <w:rPr>
                <w:rFonts w:hint="eastAsia" w:ascii="宋体" w:hAnsi="宋体" w:eastAsia="宋体" w:cs="宋体"/>
                <w:b w:val="0"/>
                <w:bCs w:val="0"/>
                <w:color w:val="000000"/>
                <w:sz w:val="21"/>
                <w:szCs w:val="21"/>
                <w:highlight w:val="none"/>
                <w:vertAlign w:val="baseline"/>
                <w:lang w:val="en-US" w:eastAsia="zh-CN"/>
              </w:rPr>
              <w:t>大型土石方工程</w:t>
            </w:r>
          </w:p>
        </w:tc>
        <w:tc>
          <w:tcPr>
            <w:tcW w:w="983" w:type="dxa"/>
            <w:vMerge w:val="continue"/>
            <w:noWrap w:val="0"/>
            <w:vAlign w:val="center"/>
          </w:tcPr>
          <w:p w14:paraId="4700E1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rPr>
            </w:pPr>
          </w:p>
        </w:tc>
        <w:tc>
          <w:tcPr>
            <w:tcW w:w="1009" w:type="dxa"/>
            <w:noWrap w:val="0"/>
            <w:vAlign w:val="center"/>
          </w:tcPr>
          <w:p w14:paraId="5945E5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r>
              <w:rPr>
                <w:rFonts w:hint="eastAsia" w:ascii="宋体" w:hAnsi="宋体" w:eastAsia="宋体" w:cs="宋体"/>
                <w:b w:val="0"/>
                <w:bCs w:val="0"/>
                <w:color w:val="000000"/>
                <w:sz w:val="21"/>
                <w:szCs w:val="21"/>
                <w:highlight w:val="none"/>
                <w:vertAlign w:val="baseline"/>
                <w:lang w:val="en-US" w:eastAsia="zh-CN"/>
              </w:rPr>
              <w:t>1.5</w:t>
            </w:r>
          </w:p>
        </w:tc>
        <w:tc>
          <w:tcPr>
            <w:tcW w:w="1172" w:type="dxa"/>
            <w:noWrap w:val="0"/>
            <w:vAlign w:val="center"/>
          </w:tcPr>
          <w:p w14:paraId="415F22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rPr>
            </w:pPr>
            <w:r>
              <w:rPr>
                <w:rFonts w:hint="eastAsia" w:ascii="宋体" w:hAnsi="宋体" w:eastAsia="宋体" w:cs="宋体"/>
                <w:b w:val="0"/>
                <w:bCs w:val="0"/>
                <w:color w:val="000000"/>
                <w:sz w:val="21"/>
                <w:szCs w:val="21"/>
                <w:highlight w:val="none"/>
                <w:vertAlign w:val="baseline"/>
                <w:lang w:eastAsia="zh-CN"/>
              </w:rPr>
              <w:t>——</w:t>
            </w:r>
          </w:p>
        </w:tc>
        <w:tc>
          <w:tcPr>
            <w:tcW w:w="1006" w:type="dxa"/>
            <w:noWrap w:val="0"/>
            <w:vAlign w:val="center"/>
          </w:tcPr>
          <w:p w14:paraId="207A6F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rPr>
            </w:pPr>
            <w:r>
              <w:rPr>
                <w:rFonts w:hint="eastAsia" w:ascii="宋体" w:hAnsi="宋体" w:eastAsia="宋体" w:cs="宋体"/>
                <w:b w:val="0"/>
                <w:bCs w:val="0"/>
                <w:color w:val="000000"/>
                <w:sz w:val="21"/>
                <w:szCs w:val="21"/>
                <w:highlight w:val="none"/>
                <w:vertAlign w:val="baseline"/>
                <w:lang w:eastAsia="zh-CN"/>
              </w:rPr>
              <w:t>——</w:t>
            </w:r>
          </w:p>
        </w:tc>
        <w:tc>
          <w:tcPr>
            <w:tcW w:w="1265" w:type="dxa"/>
            <w:vMerge w:val="continue"/>
            <w:noWrap w:val="0"/>
            <w:vAlign w:val="center"/>
          </w:tcPr>
          <w:p w14:paraId="2156CE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rPr>
            </w:pPr>
          </w:p>
        </w:tc>
      </w:tr>
      <w:tr w14:paraId="453CD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2" w:hRule="atLeast"/>
          <w:jc w:val="center"/>
        </w:trPr>
        <w:tc>
          <w:tcPr>
            <w:tcW w:w="561" w:type="dxa"/>
            <w:shd w:val="clear" w:color="auto" w:fill="auto"/>
            <w:noWrap w:val="0"/>
            <w:vAlign w:val="center"/>
          </w:tcPr>
          <w:p w14:paraId="28654B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r>
              <w:rPr>
                <w:rFonts w:hint="eastAsia" w:ascii="宋体" w:hAnsi="宋体" w:eastAsia="宋体" w:cs="宋体"/>
                <w:b w:val="0"/>
                <w:bCs w:val="0"/>
                <w:color w:val="000000"/>
                <w:sz w:val="21"/>
                <w:szCs w:val="21"/>
                <w:highlight w:val="none"/>
                <w:vertAlign w:val="baseline"/>
                <w:lang w:val="en-US" w:eastAsia="zh-CN"/>
              </w:rPr>
              <w:t>11</w:t>
            </w:r>
          </w:p>
        </w:tc>
        <w:tc>
          <w:tcPr>
            <w:tcW w:w="761" w:type="dxa"/>
            <w:vMerge w:val="continue"/>
            <w:shd w:val="clear" w:color="auto" w:fill="FFFF00"/>
            <w:noWrap w:val="0"/>
            <w:vAlign w:val="center"/>
          </w:tcPr>
          <w:p w14:paraId="6049D8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p>
        </w:tc>
        <w:tc>
          <w:tcPr>
            <w:tcW w:w="2620" w:type="dxa"/>
            <w:gridSpan w:val="2"/>
            <w:noWrap w:val="0"/>
            <w:vAlign w:val="center"/>
          </w:tcPr>
          <w:p w14:paraId="4E2BF0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r>
              <w:rPr>
                <w:rFonts w:hint="eastAsia" w:ascii="宋体" w:hAnsi="宋体" w:eastAsia="宋体" w:cs="宋体"/>
                <w:b w:val="0"/>
                <w:bCs w:val="0"/>
                <w:color w:val="000000"/>
                <w:sz w:val="21"/>
                <w:szCs w:val="21"/>
                <w:highlight w:val="none"/>
                <w:vertAlign w:val="baseline"/>
                <w:lang w:val="en-US" w:eastAsia="zh-CN"/>
              </w:rPr>
              <w:t>港口与航道工程</w:t>
            </w:r>
          </w:p>
        </w:tc>
        <w:tc>
          <w:tcPr>
            <w:tcW w:w="4170" w:type="dxa"/>
            <w:gridSpan w:val="4"/>
            <w:noWrap w:val="0"/>
            <w:vAlign w:val="center"/>
          </w:tcPr>
          <w:p w14:paraId="474FD6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r>
              <w:rPr>
                <w:rFonts w:hint="eastAsia" w:ascii="宋体" w:hAnsi="宋体" w:eastAsia="宋体" w:cs="宋体"/>
                <w:b w:val="0"/>
                <w:bCs w:val="0"/>
                <w:color w:val="000000"/>
                <w:sz w:val="21"/>
                <w:szCs w:val="21"/>
                <w:highlight w:val="none"/>
                <w:vertAlign w:val="baseline"/>
                <w:lang w:val="en-US" w:eastAsia="zh-CN"/>
              </w:rPr>
              <w:t>以建筑安装工程造价为计提依据，计提标准按照1.5%提取。</w:t>
            </w:r>
          </w:p>
        </w:tc>
        <w:tc>
          <w:tcPr>
            <w:tcW w:w="1265" w:type="dxa"/>
            <w:vMerge w:val="restart"/>
            <w:noWrap w:val="0"/>
            <w:vAlign w:val="center"/>
          </w:tcPr>
          <w:p w14:paraId="5FD67F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rPr>
            </w:pPr>
            <w:r>
              <w:rPr>
                <w:rFonts w:hint="eastAsia" w:ascii="宋体" w:hAnsi="宋体" w:eastAsia="宋体" w:cs="宋体"/>
                <w:b w:val="0"/>
                <w:bCs w:val="0"/>
                <w:color w:val="000000"/>
                <w:sz w:val="21"/>
                <w:szCs w:val="21"/>
                <w:highlight w:val="none"/>
                <w:vertAlign w:val="baseline"/>
              </w:rPr>
              <w:t>企业安全生产费用提取和使用管理办法</w:t>
            </w:r>
          </w:p>
        </w:tc>
      </w:tr>
      <w:tr w14:paraId="7AF76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2" w:hRule="atLeast"/>
          <w:jc w:val="center"/>
        </w:trPr>
        <w:tc>
          <w:tcPr>
            <w:tcW w:w="561" w:type="dxa"/>
            <w:shd w:val="clear" w:color="auto" w:fill="auto"/>
            <w:noWrap w:val="0"/>
            <w:vAlign w:val="center"/>
          </w:tcPr>
          <w:p w14:paraId="39988E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r>
              <w:rPr>
                <w:rFonts w:hint="eastAsia" w:ascii="宋体" w:hAnsi="宋体" w:eastAsia="宋体" w:cs="宋体"/>
                <w:b w:val="0"/>
                <w:bCs w:val="0"/>
                <w:color w:val="000000"/>
                <w:sz w:val="21"/>
                <w:szCs w:val="21"/>
                <w:highlight w:val="none"/>
                <w:vertAlign w:val="baseline"/>
                <w:lang w:val="en-US" w:eastAsia="zh-CN"/>
              </w:rPr>
              <w:t>12</w:t>
            </w:r>
          </w:p>
        </w:tc>
        <w:tc>
          <w:tcPr>
            <w:tcW w:w="761" w:type="dxa"/>
            <w:vMerge w:val="continue"/>
            <w:shd w:val="clear" w:color="auto" w:fill="FFFF00"/>
            <w:noWrap w:val="0"/>
            <w:vAlign w:val="center"/>
          </w:tcPr>
          <w:p w14:paraId="39ED77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p>
        </w:tc>
        <w:tc>
          <w:tcPr>
            <w:tcW w:w="2620" w:type="dxa"/>
            <w:gridSpan w:val="2"/>
            <w:noWrap w:val="0"/>
            <w:vAlign w:val="center"/>
          </w:tcPr>
          <w:p w14:paraId="036353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r>
              <w:rPr>
                <w:rFonts w:hint="eastAsia" w:ascii="宋体" w:hAnsi="宋体" w:eastAsia="宋体" w:cs="宋体"/>
                <w:b w:val="0"/>
                <w:bCs w:val="0"/>
                <w:color w:val="000000"/>
                <w:sz w:val="21"/>
                <w:szCs w:val="21"/>
                <w:highlight w:val="none"/>
                <w:vertAlign w:val="baseline"/>
                <w:lang w:val="en-US" w:eastAsia="zh-CN"/>
              </w:rPr>
              <w:t>水利水电工程</w:t>
            </w:r>
          </w:p>
        </w:tc>
        <w:tc>
          <w:tcPr>
            <w:tcW w:w="4170" w:type="dxa"/>
            <w:gridSpan w:val="4"/>
            <w:noWrap w:val="0"/>
            <w:vAlign w:val="center"/>
          </w:tcPr>
          <w:p w14:paraId="2E8E74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kern w:val="2"/>
                <w:sz w:val="21"/>
                <w:szCs w:val="21"/>
                <w:highlight w:val="none"/>
                <w:vertAlign w:val="baseline"/>
                <w:lang w:val="en-US" w:eastAsia="zh-CN" w:bidi="ar-SA"/>
              </w:rPr>
            </w:pPr>
            <w:r>
              <w:rPr>
                <w:rFonts w:hint="eastAsia" w:ascii="宋体" w:hAnsi="宋体" w:eastAsia="宋体" w:cs="宋体"/>
                <w:b w:val="0"/>
                <w:bCs w:val="0"/>
                <w:color w:val="000000"/>
                <w:sz w:val="21"/>
                <w:szCs w:val="21"/>
                <w:highlight w:val="none"/>
                <w:vertAlign w:val="baseline"/>
                <w:lang w:val="en-US" w:eastAsia="zh-CN"/>
              </w:rPr>
              <w:t>以建筑安装工程造价为计提依据，计提标准按照2.5%提取。</w:t>
            </w:r>
          </w:p>
        </w:tc>
        <w:tc>
          <w:tcPr>
            <w:tcW w:w="1265" w:type="dxa"/>
            <w:vMerge w:val="continue"/>
            <w:noWrap w:val="0"/>
            <w:vAlign w:val="center"/>
          </w:tcPr>
          <w:p w14:paraId="45FC27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rPr>
            </w:pPr>
          </w:p>
        </w:tc>
      </w:tr>
      <w:tr w14:paraId="06424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5" w:hRule="atLeast"/>
          <w:jc w:val="center"/>
        </w:trPr>
        <w:tc>
          <w:tcPr>
            <w:tcW w:w="561" w:type="dxa"/>
            <w:noWrap w:val="0"/>
            <w:vAlign w:val="center"/>
          </w:tcPr>
          <w:p w14:paraId="40C119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r>
              <w:rPr>
                <w:rFonts w:hint="eastAsia" w:ascii="宋体" w:hAnsi="宋体" w:eastAsia="宋体" w:cs="宋体"/>
                <w:b w:val="0"/>
                <w:bCs w:val="0"/>
                <w:color w:val="000000"/>
                <w:sz w:val="21"/>
                <w:szCs w:val="21"/>
                <w:highlight w:val="none"/>
                <w:vertAlign w:val="baseline"/>
                <w:lang w:val="en-US" w:eastAsia="zh-CN"/>
              </w:rPr>
              <w:t>13</w:t>
            </w:r>
          </w:p>
        </w:tc>
        <w:tc>
          <w:tcPr>
            <w:tcW w:w="3381" w:type="dxa"/>
            <w:gridSpan w:val="3"/>
            <w:noWrap w:val="0"/>
            <w:vAlign w:val="center"/>
          </w:tcPr>
          <w:p w14:paraId="1AD1F1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r>
              <w:rPr>
                <w:rFonts w:hint="eastAsia" w:ascii="宋体" w:hAnsi="宋体" w:eastAsia="宋体" w:cs="宋体"/>
                <w:b w:val="0"/>
                <w:bCs w:val="0"/>
                <w:color w:val="000000"/>
                <w:sz w:val="21"/>
                <w:szCs w:val="21"/>
                <w:highlight w:val="none"/>
                <w:vertAlign w:val="baseline"/>
                <w:lang w:val="en-US" w:eastAsia="zh-CN"/>
              </w:rPr>
              <w:t>交通运输行业</w:t>
            </w:r>
          </w:p>
        </w:tc>
        <w:tc>
          <w:tcPr>
            <w:tcW w:w="4170" w:type="dxa"/>
            <w:gridSpan w:val="4"/>
            <w:noWrap w:val="0"/>
            <w:vAlign w:val="center"/>
          </w:tcPr>
          <w:p w14:paraId="3E3ECE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r>
              <w:rPr>
                <w:rFonts w:hint="eastAsia" w:ascii="宋体" w:hAnsi="宋体" w:eastAsia="宋体" w:cs="宋体"/>
                <w:b w:val="0"/>
                <w:bCs w:val="0"/>
                <w:color w:val="000000"/>
                <w:sz w:val="21"/>
                <w:szCs w:val="21"/>
                <w:highlight w:val="none"/>
                <w:vertAlign w:val="baseline"/>
                <w:lang w:val="en-US" w:eastAsia="zh-CN"/>
              </w:rPr>
              <w:t>危险品特殊货运业务以上年度实际营业收入为计提依据，按照1.5%提取，平均逐月提取。</w:t>
            </w:r>
          </w:p>
        </w:tc>
        <w:tc>
          <w:tcPr>
            <w:tcW w:w="1265" w:type="dxa"/>
            <w:vMerge w:val="continue"/>
            <w:noWrap w:val="0"/>
            <w:vAlign w:val="center"/>
          </w:tcPr>
          <w:p w14:paraId="09CD33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ascii="宋体" w:hAnsi="宋体" w:eastAsia="宋体" w:cs="宋体"/>
                <w:b w:val="0"/>
                <w:bCs w:val="0"/>
                <w:color w:val="000000"/>
                <w:sz w:val="21"/>
                <w:szCs w:val="21"/>
                <w:highlight w:val="none"/>
                <w:vertAlign w:val="baseline"/>
                <w:lang w:val="en-US" w:eastAsia="zh-CN"/>
              </w:rPr>
            </w:pPr>
          </w:p>
        </w:tc>
      </w:tr>
    </w:tbl>
    <w:p w14:paraId="1E531105">
      <w:pPr>
        <w:pageBreakBefore w:val="0"/>
        <w:kinsoku/>
        <w:wordWrap/>
        <w:overflowPunct/>
        <w:topLinePunct w:val="0"/>
        <w:bidi w:val="0"/>
        <w:spacing w:line="360" w:lineRule="auto"/>
        <w:ind w:firstLine="0" w:firstLineChars="0"/>
        <w:rPr>
          <w:rFonts w:hint="eastAsia"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备注：未列明行业按国家相关规范标准执行。</w:t>
      </w:r>
    </w:p>
    <w:p w14:paraId="4E843AD5">
      <w:pPr>
        <w:pageBreakBefore w:val="0"/>
        <w:widowControl/>
        <w:kinsoku/>
        <w:wordWrap/>
        <w:overflowPunct/>
        <w:topLinePunct w:val="0"/>
        <w:bidi w:val="0"/>
        <w:adjustRightInd w:val="0"/>
        <w:snapToGrid w:val="0"/>
        <w:spacing w:line="400" w:lineRule="exact"/>
        <w:ind w:firstLine="0" w:firstLineChars="0"/>
        <w:jc w:val="left"/>
        <w:textAlignment w:val="auto"/>
        <w:rPr>
          <w:rFonts w:hint="eastAsia" w:ascii="Times New Roman" w:hAnsi="Times New Roman" w:eastAsia="宋体" w:cs="宋体"/>
          <w:sz w:val="21"/>
          <w:szCs w:val="21"/>
          <w:highlight w:val="none"/>
        </w:rPr>
      </w:pPr>
      <w:r>
        <w:rPr>
          <w:rFonts w:hint="eastAsia" w:ascii="Times New Roman" w:hAnsi="Times New Roman" w:eastAsia="宋体" w:cs="宋体"/>
          <w:sz w:val="21"/>
          <w:szCs w:val="21"/>
          <w:highlight w:val="none"/>
        </w:rPr>
        <w:t xml:space="preserve"> </w:t>
      </w:r>
    </w:p>
    <w:p w14:paraId="1804C024">
      <w:pPr>
        <w:snapToGrid w:val="0"/>
        <w:spacing w:line="360" w:lineRule="auto"/>
        <w:rPr>
          <w:rFonts w:hint="eastAsia" w:ascii="Times New Roman" w:hAnsi="Times New Roman" w:eastAsia="宋体" w:cs="宋体"/>
          <w:b/>
          <w:color w:val="000000"/>
          <w:szCs w:val="21"/>
          <w:highlight w:val="none"/>
          <w:shd w:val="clear" w:color="auto" w:fill="auto"/>
        </w:rPr>
        <w:sectPr>
          <w:footerReference r:id="rId11" w:type="default"/>
          <w:pgSz w:w="11906" w:h="16838"/>
          <w:pgMar w:top="1531" w:right="1531" w:bottom="1474" w:left="1531" w:header="720" w:footer="720" w:gutter="0"/>
          <w:pgNumType w:fmt="decimal"/>
          <w:cols w:space="720" w:num="1"/>
          <w:docGrid w:type="lines" w:linePitch="312" w:charSpace="0"/>
        </w:sectPr>
      </w:pPr>
    </w:p>
    <w:p w14:paraId="03990327">
      <w:pPr>
        <w:spacing w:line="240" w:lineRule="auto"/>
        <w:ind w:left="0" w:leftChars="0" w:firstLine="0" w:firstLineChars="0"/>
        <w:jc w:val="both"/>
        <w:rPr>
          <w:rFonts w:ascii="Times New Roman" w:hAnsi="Times New Roman" w:eastAsia="宋体" w:cs="宋体"/>
          <w:b/>
          <w:color w:val="000000"/>
          <w:szCs w:val="21"/>
          <w:highlight w:val="none"/>
          <w:shd w:val="clear" w:color="auto" w:fill="auto"/>
        </w:rPr>
      </w:pPr>
      <w:r>
        <w:rPr>
          <w:rFonts w:hint="eastAsia" w:ascii="宋体" w:hAnsi="宋体" w:eastAsia="宋体" w:cs="宋体"/>
          <w:b/>
          <w:color w:val="000000"/>
          <w:szCs w:val="21"/>
          <w:highlight w:val="none"/>
          <w:lang w:val="en-US" w:eastAsia="zh-CN"/>
        </w:rPr>
        <w:t>附件11：</w:t>
      </w:r>
    </w:p>
    <w:p w14:paraId="5D921669">
      <w:pPr>
        <w:spacing w:line="240" w:lineRule="auto"/>
        <w:ind w:firstLine="0" w:firstLineChars="0"/>
        <w:jc w:val="center"/>
        <w:rPr>
          <w:rFonts w:hint="eastAsia" w:ascii="宋体" w:hAnsi="宋体" w:eastAsia="宋体" w:cs="宋体"/>
          <w:b/>
          <w:kern w:val="28"/>
          <w:sz w:val="28"/>
          <w:szCs w:val="28"/>
          <w:lang w:val="en-US" w:eastAsia="zh-CN" w:bidi="ar-SA"/>
        </w:rPr>
      </w:pPr>
      <w:r>
        <w:rPr>
          <w:rFonts w:hint="eastAsia" w:ascii="宋体" w:hAnsi="宋体" w:eastAsia="宋体" w:cs="宋体"/>
          <w:b/>
          <w:kern w:val="28"/>
          <w:sz w:val="28"/>
          <w:szCs w:val="28"/>
          <w:lang w:val="en-US" w:eastAsia="zh-CN" w:bidi="ar-SA"/>
        </w:rPr>
        <w:t>已标价的工程量清单</w:t>
      </w:r>
    </w:p>
    <w:p w14:paraId="7FD31485">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宋体" w:hAnsi="宋体" w:eastAsia="宋体" w:cs="宋体"/>
          <w:b/>
          <w:color w:val="auto"/>
          <w:kern w:val="2"/>
          <w:sz w:val="21"/>
          <w:szCs w:val="21"/>
          <w:highlight w:val="none"/>
          <w:lang w:val="en-US" w:eastAsia="zh-CN" w:bidi="ar"/>
        </w:rPr>
      </w:pPr>
    </w:p>
    <w:p w14:paraId="4853E520">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宋体" w:hAnsi="宋体" w:eastAsia="宋体" w:cs="宋体"/>
          <w:b/>
          <w:color w:val="auto"/>
          <w:kern w:val="2"/>
          <w:sz w:val="21"/>
          <w:szCs w:val="21"/>
          <w:highlight w:val="none"/>
          <w:lang w:val="en-US" w:eastAsia="zh-CN" w:bidi="ar"/>
        </w:rPr>
      </w:pPr>
    </w:p>
    <w:p w14:paraId="3DE0D269">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textAlignment w:val="auto"/>
        <w:rPr>
          <w:rFonts w:hint="eastAsia"/>
          <w:color w:val="auto"/>
          <w:highlight w:val="none"/>
          <w:lang w:val="en-US" w:eastAsia="zh-CN"/>
        </w:rPr>
        <w:sectPr>
          <w:headerReference r:id="rId12" w:type="default"/>
          <w:footerReference r:id="rId13" w:type="default"/>
          <w:pgSz w:w="11905" w:h="16838"/>
          <w:pgMar w:top="1247" w:right="1247" w:bottom="1247" w:left="1247" w:header="828" w:footer="981" w:gutter="0"/>
          <w:pgBorders>
            <w:top w:val="none" w:sz="0" w:space="0"/>
            <w:left w:val="none" w:sz="0" w:space="0"/>
            <w:bottom w:val="none" w:sz="0" w:space="0"/>
            <w:right w:val="none" w:sz="0" w:space="0"/>
          </w:pgBorders>
          <w:pgNumType w:fmt="decimal"/>
          <w:cols w:space="0" w:num="1"/>
          <w:rtlGutter w:val="0"/>
          <w:docGrid w:linePitch="326" w:charSpace="0"/>
        </w:sectPr>
      </w:pPr>
    </w:p>
    <w:p w14:paraId="4D1ED606">
      <w:pPr>
        <w:pStyle w:val="3"/>
        <w:shd w:val="clear"/>
        <w:spacing w:line="400" w:lineRule="atLeast"/>
        <w:ind w:firstLine="0" w:firstLineChars="0"/>
        <w:jc w:val="center"/>
        <w:rPr>
          <w:rFonts w:ascii="Times New Roman" w:hAnsi="Times New Roman"/>
          <w:color w:val="000000" w:themeColor="text1"/>
          <w:szCs w:val="36"/>
          <w:highlight w:val="none"/>
        </w:rPr>
      </w:pPr>
    </w:p>
    <w:p w14:paraId="62392D9C">
      <w:pPr>
        <w:pStyle w:val="3"/>
        <w:shd w:val="clear"/>
        <w:spacing w:line="400" w:lineRule="atLeast"/>
        <w:ind w:firstLine="0" w:firstLineChars="0"/>
        <w:jc w:val="center"/>
        <w:rPr>
          <w:rFonts w:ascii="Times New Roman" w:hAnsi="Times New Roman"/>
          <w:color w:val="000000" w:themeColor="text1"/>
          <w:szCs w:val="36"/>
          <w:highlight w:val="none"/>
        </w:rPr>
      </w:pPr>
    </w:p>
    <w:p w14:paraId="3C7FCC0E">
      <w:pPr>
        <w:pStyle w:val="3"/>
        <w:shd w:val="clear"/>
        <w:spacing w:line="400" w:lineRule="atLeast"/>
        <w:ind w:firstLine="0" w:firstLineChars="0"/>
        <w:jc w:val="center"/>
        <w:rPr>
          <w:rFonts w:ascii="Times New Roman" w:hAnsi="Times New Roman"/>
          <w:color w:val="000000" w:themeColor="text1"/>
          <w:szCs w:val="36"/>
          <w:highlight w:val="none"/>
        </w:rPr>
      </w:pPr>
    </w:p>
    <w:p w14:paraId="41C98599">
      <w:pPr>
        <w:pStyle w:val="3"/>
        <w:shd w:val="clear"/>
        <w:spacing w:line="400" w:lineRule="atLeast"/>
        <w:ind w:firstLine="0" w:firstLineChars="0"/>
        <w:jc w:val="center"/>
        <w:rPr>
          <w:rFonts w:ascii="Times New Roman" w:hAnsi="Times New Roman"/>
          <w:color w:val="000000" w:themeColor="text1"/>
          <w:szCs w:val="36"/>
          <w:highlight w:val="none"/>
        </w:rPr>
      </w:pPr>
    </w:p>
    <w:p w14:paraId="50673798">
      <w:pPr>
        <w:pStyle w:val="3"/>
        <w:shd w:val="clear"/>
        <w:spacing w:line="400" w:lineRule="atLeast"/>
        <w:ind w:firstLine="0" w:firstLineChars="0"/>
        <w:jc w:val="center"/>
        <w:rPr>
          <w:color w:val="000000" w:themeColor="text1"/>
          <w:kern w:val="0"/>
          <w:sz w:val="24"/>
          <w:highlight w:val="none"/>
        </w:rPr>
      </w:pPr>
      <w:r>
        <w:rPr>
          <w:rFonts w:ascii="Times New Roman" w:hAnsi="Times New Roman"/>
          <w:color w:val="000000" w:themeColor="text1"/>
          <w:szCs w:val="36"/>
          <w:highlight w:val="none"/>
        </w:rPr>
        <w:t>第</w:t>
      </w:r>
      <w:r>
        <w:rPr>
          <w:rFonts w:hint="eastAsia" w:ascii="Times New Roman" w:hAnsi="Times New Roman"/>
          <w:color w:val="000000" w:themeColor="text1"/>
          <w:szCs w:val="36"/>
          <w:highlight w:val="none"/>
          <w:lang w:eastAsia="zh-CN"/>
        </w:rPr>
        <w:t>五</w:t>
      </w:r>
      <w:r>
        <w:rPr>
          <w:rFonts w:ascii="Times New Roman" w:hAnsi="Times New Roman"/>
          <w:color w:val="000000" w:themeColor="text1"/>
          <w:szCs w:val="36"/>
          <w:highlight w:val="none"/>
        </w:rPr>
        <w:t>章</w:t>
      </w:r>
      <w:r>
        <w:rPr>
          <w:rFonts w:hint="eastAsia" w:ascii="Times New Roman" w:hAnsi="Times New Roman"/>
          <w:color w:val="000000" w:themeColor="text1"/>
          <w:szCs w:val="36"/>
          <w:highlight w:val="none"/>
        </w:rPr>
        <w:t xml:space="preserve"> </w:t>
      </w:r>
      <w:r>
        <w:rPr>
          <w:rFonts w:hint="eastAsia" w:ascii="Times New Roman" w:hAnsi="Times New Roman"/>
          <w:color w:val="000000" w:themeColor="text1"/>
          <w:szCs w:val="36"/>
          <w:highlight w:val="none"/>
          <w:lang w:eastAsia="zh-CN"/>
        </w:rPr>
        <w:t>采购清单</w:t>
      </w:r>
    </w:p>
    <w:p w14:paraId="38A9D15E">
      <w:pPr>
        <w:shd w:val="clear"/>
        <w:autoSpaceDE w:val="0"/>
        <w:autoSpaceDN w:val="0"/>
        <w:adjustRightInd w:val="0"/>
        <w:spacing w:line="400" w:lineRule="atLeast"/>
        <w:ind w:left="0" w:leftChars="0" w:firstLine="0" w:firstLineChars="0"/>
        <w:jc w:val="center"/>
        <w:rPr>
          <w:rFonts w:hint="eastAsia" w:ascii="Times New Roman" w:hAnsi="Times New Roman" w:eastAsia="黑体" w:cs="Times New Roman"/>
          <w:b/>
          <w:color w:val="000000" w:themeColor="text1"/>
          <w:kern w:val="28"/>
          <w:sz w:val="36"/>
          <w:szCs w:val="36"/>
          <w:highlight w:val="none"/>
          <w:lang w:val="en-US" w:eastAsia="zh-CN" w:bidi="ar-SA"/>
        </w:rPr>
      </w:pPr>
      <w:r>
        <w:rPr>
          <w:rFonts w:hint="eastAsia" w:ascii="Times New Roman" w:hAnsi="Times New Roman" w:eastAsia="黑体" w:cs="Times New Roman"/>
          <w:b w:val="0"/>
          <w:bCs/>
          <w:color w:val="000000" w:themeColor="text1"/>
          <w:kern w:val="28"/>
          <w:sz w:val="36"/>
          <w:szCs w:val="36"/>
          <w:highlight w:val="none"/>
          <w:lang w:val="en-US" w:eastAsia="zh-CN" w:bidi="ar-SA"/>
        </w:rPr>
        <w:t>（</w:t>
      </w:r>
      <w:r>
        <w:rPr>
          <w:rFonts w:hint="eastAsia" w:eastAsia="黑体" w:cs="Times New Roman"/>
          <w:b w:val="0"/>
          <w:bCs/>
          <w:color w:val="000000" w:themeColor="text1"/>
          <w:kern w:val="28"/>
          <w:sz w:val="36"/>
          <w:szCs w:val="36"/>
          <w:highlight w:val="none"/>
          <w:lang w:val="en-US" w:eastAsia="zh-CN" w:bidi="ar-SA"/>
        </w:rPr>
        <w:t>控制价清单</w:t>
      </w:r>
      <w:r>
        <w:rPr>
          <w:rFonts w:hint="eastAsia" w:ascii="Times New Roman" w:hAnsi="Times New Roman" w:eastAsia="黑体" w:cs="Times New Roman"/>
          <w:b w:val="0"/>
          <w:bCs/>
          <w:color w:val="000000" w:themeColor="text1"/>
          <w:kern w:val="28"/>
          <w:sz w:val="36"/>
          <w:szCs w:val="36"/>
          <w:highlight w:val="none"/>
          <w:lang w:val="en-US" w:eastAsia="zh-CN" w:bidi="ar-SA"/>
        </w:rPr>
        <w:t>另附）</w:t>
      </w:r>
    </w:p>
    <w:p w14:paraId="069A17D0">
      <w:pPr>
        <w:pStyle w:val="3"/>
        <w:shd w:val="clear"/>
        <w:spacing w:line="400" w:lineRule="atLeast"/>
        <w:ind w:firstLine="0" w:firstLineChars="0"/>
        <w:jc w:val="center"/>
        <w:rPr>
          <w:rFonts w:hint="eastAsia" w:ascii="Times New Roman" w:hAnsi="Times New Roman" w:eastAsia="黑体" w:cs="Times New Roman"/>
          <w:b/>
          <w:color w:val="000000" w:themeColor="text1"/>
          <w:kern w:val="28"/>
          <w:sz w:val="36"/>
          <w:szCs w:val="36"/>
          <w:highlight w:val="none"/>
          <w:lang w:val="en-US" w:eastAsia="zh-CN" w:bidi="ar-SA"/>
        </w:rPr>
        <w:sectPr>
          <w:headerReference r:id="rId14" w:type="default"/>
          <w:footerReference r:id="rId15" w:type="default"/>
          <w:pgSz w:w="11905" w:h="16838"/>
          <w:pgMar w:top="1247" w:right="1247" w:bottom="1247" w:left="1247" w:header="720" w:footer="720" w:gutter="0"/>
          <w:pgBorders>
            <w:top w:val="none" w:sz="0" w:space="0"/>
            <w:left w:val="none" w:sz="0" w:space="0"/>
            <w:bottom w:val="none" w:sz="0" w:space="0"/>
            <w:right w:val="none" w:sz="0" w:space="0"/>
          </w:pgBorders>
          <w:pgNumType w:fmt="decimal"/>
          <w:cols w:space="0" w:num="1"/>
          <w:rtlGutter w:val="0"/>
          <w:docGrid w:type="lines" w:linePitch="326" w:charSpace="0"/>
        </w:sectPr>
      </w:pPr>
    </w:p>
    <w:p w14:paraId="0C07462C">
      <w:pPr>
        <w:pStyle w:val="3"/>
        <w:shd w:val="clear"/>
        <w:spacing w:line="400" w:lineRule="atLeast"/>
        <w:ind w:firstLine="0" w:firstLineChars="0"/>
        <w:jc w:val="center"/>
        <w:rPr>
          <w:rFonts w:ascii="Times New Roman" w:hAnsi="Times New Roman"/>
          <w:color w:val="000000" w:themeColor="text1"/>
          <w:szCs w:val="36"/>
          <w:highlight w:val="none"/>
        </w:rPr>
      </w:pPr>
      <w:r>
        <w:rPr>
          <w:rFonts w:ascii="Times New Roman" w:hAnsi="Times New Roman"/>
          <w:color w:val="000000" w:themeColor="text1"/>
          <w:szCs w:val="36"/>
          <w:highlight w:val="none"/>
        </w:rPr>
        <w:t>第</w:t>
      </w:r>
      <w:r>
        <w:rPr>
          <w:rFonts w:hint="eastAsia" w:ascii="Times New Roman" w:hAnsi="Times New Roman"/>
          <w:color w:val="000000" w:themeColor="text1"/>
          <w:szCs w:val="36"/>
          <w:highlight w:val="none"/>
          <w:lang w:eastAsia="zh-CN"/>
        </w:rPr>
        <w:t>六</w:t>
      </w:r>
      <w:r>
        <w:rPr>
          <w:rFonts w:ascii="Times New Roman" w:hAnsi="Times New Roman"/>
          <w:color w:val="000000" w:themeColor="text1"/>
          <w:szCs w:val="36"/>
          <w:highlight w:val="none"/>
        </w:rPr>
        <w:t>章</w:t>
      </w:r>
      <w:r>
        <w:rPr>
          <w:rFonts w:hint="eastAsia" w:ascii="Times New Roman" w:hAnsi="Times New Roman"/>
          <w:color w:val="000000" w:themeColor="text1"/>
          <w:szCs w:val="36"/>
          <w:highlight w:val="none"/>
        </w:rPr>
        <w:t xml:space="preserve"> </w:t>
      </w:r>
      <w:r>
        <w:rPr>
          <w:rFonts w:ascii="Times New Roman" w:hAnsi="Times New Roman"/>
          <w:color w:val="000000" w:themeColor="text1"/>
          <w:szCs w:val="36"/>
          <w:highlight w:val="none"/>
        </w:rPr>
        <w:t>响应文件格式</w:t>
      </w:r>
      <w:bookmarkEnd w:id="183"/>
      <w:bookmarkEnd w:id="184"/>
      <w:bookmarkEnd w:id="185"/>
    </w:p>
    <w:p w14:paraId="62DA61F7">
      <w:pPr>
        <w:pStyle w:val="12"/>
        <w:shd w:val="clear"/>
        <w:snapToGrid w:val="0"/>
        <w:spacing w:line="400" w:lineRule="atLeast"/>
        <w:ind w:firstLine="281" w:firstLineChars="140"/>
        <w:outlineLvl w:val="1"/>
        <w:rPr>
          <w:rFonts w:ascii="Times New Roman"/>
          <w:color w:val="000000" w:themeColor="text1"/>
          <w:kern w:val="0"/>
          <w:sz w:val="24"/>
          <w:highlight w:val="none"/>
        </w:rPr>
      </w:pPr>
      <w:bookmarkStart w:id="213" w:name="_Toc13784"/>
      <w:bookmarkStart w:id="214" w:name="_Toc520410661"/>
      <w:r>
        <w:rPr>
          <w:rFonts w:ascii="Times New Roman"/>
          <w:b/>
          <w:color w:val="000000" w:themeColor="text1"/>
          <w:sz w:val="20"/>
          <w:highlight w:val="none"/>
        </w:rPr>
        <w:t>封面</w:t>
      </w:r>
      <w:bookmarkEnd w:id="213"/>
      <w:bookmarkEnd w:id="214"/>
    </w:p>
    <w:p w14:paraId="3B4BAA83">
      <w:pPr>
        <w:shd w:val="clear"/>
        <w:autoSpaceDE w:val="0"/>
        <w:autoSpaceDN w:val="0"/>
        <w:adjustRightInd w:val="0"/>
        <w:spacing w:line="400" w:lineRule="atLeast"/>
        <w:ind w:firstLine="480"/>
        <w:jc w:val="left"/>
        <w:rPr>
          <w:color w:val="000000" w:themeColor="text1"/>
          <w:kern w:val="0"/>
          <w:sz w:val="24"/>
          <w:highlight w:val="none"/>
        </w:rPr>
      </w:pPr>
    </w:p>
    <w:p w14:paraId="1C53050E">
      <w:pPr>
        <w:shd w:val="clear"/>
        <w:autoSpaceDE w:val="0"/>
        <w:autoSpaceDN w:val="0"/>
        <w:adjustRightInd w:val="0"/>
        <w:spacing w:line="400" w:lineRule="atLeast"/>
        <w:ind w:firstLine="602"/>
        <w:rPr>
          <w:b/>
          <w:color w:val="000000" w:themeColor="text1"/>
          <w:kern w:val="0"/>
          <w:sz w:val="30"/>
          <w:szCs w:val="30"/>
          <w:highlight w:val="none"/>
        </w:rPr>
      </w:pPr>
    </w:p>
    <w:p w14:paraId="1D89EF89">
      <w:pPr>
        <w:pStyle w:val="18"/>
        <w:shd w:val="clear"/>
        <w:spacing w:line="240" w:lineRule="auto"/>
        <w:ind w:firstLine="420"/>
        <w:jc w:val="center"/>
        <w:rPr>
          <w:color w:val="000000" w:themeColor="text1"/>
          <w:highlight w:val="none"/>
        </w:rPr>
      </w:pPr>
      <w:r>
        <w:rPr>
          <w:rFonts w:hint="eastAsia" w:ascii="宋体" w:hAnsi="宋体" w:cs="宋体"/>
          <w:b/>
          <w:bCs/>
          <w:color w:val="000000" w:themeColor="text1"/>
          <w:kern w:val="0"/>
          <w:sz w:val="48"/>
          <w:szCs w:val="48"/>
          <w:highlight w:val="none"/>
          <w:u w:val="single"/>
          <w:lang w:eastAsia="zh-CN"/>
        </w:rPr>
        <w:t>物流集散道路工程EPC项目-道路工程劳务</w:t>
      </w:r>
    </w:p>
    <w:p w14:paraId="44BFB1B7">
      <w:pPr>
        <w:pStyle w:val="18"/>
        <w:shd w:val="clear"/>
        <w:ind w:firstLine="420"/>
        <w:rPr>
          <w:color w:val="000000" w:themeColor="text1"/>
          <w:highlight w:val="none"/>
        </w:rPr>
      </w:pPr>
    </w:p>
    <w:p w14:paraId="37794389">
      <w:pPr>
        <w:pStyle w:val="18"/>
        <w:shd w:val="clear"/>
        <w:ind w:firstLine="420"/>
        <w:rPr>
          <w:color w:val="000000" w:themeColor="text1"/>
          <w:highlight w:val="none"/>
        </w:rPr>
      </w:pPr>
    </w:p>
    <w:p w14:paraId="670A0330">
      <w:pPr>
        <w:pStyle w:val="18"/>
        <w:shd w:val="clear"/>
        <w:ind w:firstLine="420"/>
        <w:rPr>
          <w:color w:val="000000" w:themeColor="text1"/>
          <w:highlight w:val="none"/>
        </w:rPr>
      </w:pPr>
    </w:p>
    <w:p w14:paraId="71943324">
      <w:pPr>
        <w:shd w:val="clear"/>
        <w:autoSpaceDE w:val="0"/>
        <w:autoSpaceDN w:val="0"/>
        <w:adjustRightInd w:val="0"/>
        <w:spacing w:line="400" w:lineRule="atLeast"/>
        <w:ind w:firstLine="0" w:firstLineChars="0"/>
        <w:jc w:val="center"/>
        <w:rPr>
          <w:b/>
          <w:color w:val="000000" w:themeColor="text1"/>
          <w:kern w:val="0"/>
          <w:sz w:val="72"/>
          <w:szCs w:val="72"/>
          <w:highlight w:val="none"/>
        </w:rPr>
      </w:pPr>
      <w:r>
        <w:rPr>
          <w:b/>
          <w:color w:val="000000" w:themeColor="text1"/>
          <w:kern w:val="0"/>
          <w:sz w:val="72"/>
          <w:szCs w:val="72"/>
          <w:highlight w:val="none"/>
        </w:rPr>
        <w:t>谈判响应文件</w:t>
      </w:r>
    </w:p>
    <w:p w14:paraId="723FDEBD">
      <w:pPr>
        <w:shd w:val="clear"/>
        <w:autoSpaceDE w:val="0"/>
        <w:autoSpaceDN w:val="0"/>
        <w:adjustRightInd w:val="0"/>
        <w:spacing w:line="400" w:lineRule="atLeast"/>
        <w:ind w:firstLine="1680" w:firstLineChars="700"/>
        <w:jc w:val="left"/>
        <w:rPr>
          <w:color w:val="000000" w:themeColor="text1"/>
          <w:kern w:val="0"/>
          <w:sz w:val="24"/>
          <w:highlight w:val="none"/>
        </w:rPr>
      </w:pPr>
    </w:p>
    <w:p w14:paraId="0145EF9A">
      <w:pPr>
        <w:shd w:val="clear"/>
        <w:autoSpaceDE w:val="0"/>
        <w:autoSpaceDN w:val="0"/>
        <w:adjustRightInd w:val="0"/>
        <w:spacing w:line="400" w:lineRule="atLeast"/>
        <w:ind w:firstLine="1680" w:firstLineChars="700"/>
        <w:jc w:val="left"/>
        <w:rPr>
          <w:color w:val="000000" w:themeColor="text1"/>
          <w:kern w:val="0"/>
          <w:sz w:val="24"/>
          <w:highlight w:val="none"/>
        </w:rPr>
      </w:pPr>
    </w:p>
    <w:p w14:paraId="1D8C8D48">
      <w:pPr>
        <w:pStyle w:val="18"/>
        <w:shd w:val="clear"/>
        <w:ind w:firstLine="420"/>
        <w:rPr>
          <w:color w:val="000000" w:themeColor="text1"/>
          <w:highlight w:val="none"/>
        </w:rPr>
      </w:pPr>
    </w:p>
    <w:p w14:paraId="66DB5F57">
      <w:pPr>
        <w:pStyle w:val="18"/>
        <w:shd w:val="clear"/>
        <w:ind w:firstLine="420"/>
        <w:rPr>
          <w:color w:val="000000" w:themeColor="text1"/>
          <w:highlight w:val="none"/>
        </w:rPr>
      </w:pPr>
    </w:p>
    <w:p w14:paraId="7D4C4E39">
      <w:pPr>
        <w:pStyle w:val="18"/>
        <w:shd w:val="clear"/>
        <w:ind w:firstLine="420"/>
        <w:rPr>
          <w:color w:val="000000" w:themeColor="text1"/>
          <w:highlight w:val="none"/>
        </w:rPr>
      </w:pPr>
    </w:p>
    <w:p w14:paraId="61C47D13">
      <w:pPr>
        <w:shd w:val="clear"/>
        <w:autoSpaceDE w:val="0"/>
        <w:autoSpaceDN w:val="0"/>
        <w:adjustRightInd w:val="0"/>
        <w:spacing w:line="400" w:lineRule="atLeast"/>
        <w:ind w:left="0" w:leftChars="0" w:firstLine="0" w:firstLineChars="0"/>
        <w:jc w:val="left"/>
        <w:rPr>
          <w:color w:val="000000" w:themeColor="text1"/>
          <w:kern w:val="0"/>
          <w:sz w:val="24"/>
          <w:highlight w:val="none"/>
        </w:rPr>
      </w:pPr>
    </w:p>
    <w:p w14:paraId="668D70DA">
      <w:pPr>
        <w:shd w:val="clear"/>
        <w:autoSpaceDE w:val="0"/>
        <w:autoSpaceDN w:val="0"/>
        <w:adjustRightInd w:val="0"/>
        <w:spacing w:line="400" w:lineRule="atLeast"/>
        <w:ind w:firstLine="1680" w:firstLineChars="700"/>
        <w:jc w:val="left"/>
        <w:rPr>
          <w:color w:val="000000" w:themeColor="text1"/>
          <w:kern w:val="0"/>
          <w:sz w:val="24"/>
          <w:highlight w:val="none"/>
        </w:rPr>
      </w:pPr>
    </w:p>
    <w:p w14:paraId="0BDD9EFA">
      <w:pPr>
        <w:shd w:val="clear"/>
        <w:autoSpaceDE w:val="0"/>
        <w:autoSpaceDN w:val="0"/>
        <w:adjustRightInd w:val="0"/>
        <w:spacing w:line="400" w:lineRule="atLeast"/>
        <w:ind w:firstLine="708" w:firstLineChars="253"/>
        <w:rPr>
          <w:color w:val="000000" w:themeColor="text1"/>
          <w:kern w:val="0"/>
          <w:sz w:val="28"/>
          <w:szCs w:val="28"/>
          <w:highlight w:val="none"/>
        </w:rPr>
      </w:pPr>
    </w:p>
    <w:p w14:paraId="3437B438">
      <w:pPr>
        <w:shd w:val="clear"/>
        <w:autoSpaceDE w:val="0"/>
        <w:autoSpaceDN w:val="0"/>
        <w:adjustRightInd w:val="0"/>
        <w:spacing w:line="400" w:lineRule="atLeast"/>
        <w:ind w:firstLine="708" w:firstLineChars="253"/>
        <w:rPr>
          <w:rFonts w:hint="eastAsia" w:eastAsia="宋体"/>
          <w:color w:val="000000" w:themeColor="text1"/>
          <w:kern w:val="0"/>
          <w:sz w:val="28"/>
          <w:szCs w:val="28"/>
          <w:highlight w:val="none"/>
          <w:u w:val="single"/>
          <w:lang w:eastAsia="zh-CN"/>
        </w:rPr>
      </w:pPr>
      <w:r>
        <w:rPr>
          <w:color w:val="000000" w:themeColor="text1"/>
          <w:kern w:val="0"/>
          <w:sz w:val="28"/>
          <w:szCs w:val="28"/>
          <w:highlight w:val="none"/>
        </w:rPr>
        <w:t>供应商（盖单位章）</w:t>
      </w:r>
      <w:r>
        <w:rPr>
          <w:rFonts w:hint="eastAsia"/>
          <w:color w:val="000000" w:themeColor="text1"/>
          <w:kern w:val="0"/>
          <w:sz w:val="28"/>
          <w:szCs w:val="28"/>
          <w:highlight w:val="none"/>
          <w:lang w:eastAsia="zh-CN"/>
        </w:rPr>
        <w:t>：</w:t>
      </w:r>
    </w:p>
    <w:p w14:paraId="3F6222A8">
      <w:pPr>
        <w:shd w:val="clear"/>
        <w:autoSpaceDE w:val="0"/>
        <w:autoSpaceDN w:val="0"/>
        <w:adjustRightInd w:val="0"/>
        <w:spacing w:line="400" w:lineRule="atLeast"/>
        <w:ind w:firstLine="708" w:firstLineChars="253"/>
        <w:rPr>
          <w:color w:val="000000" w:themeColor="text1"/>
          <w:kern w:val="0"/>
          <w:sz w:val="28"/>
          <w:szCs w:val="28"/>
          <w:highlight w:val="none"/>
          <w:u w:val="single"/>
        </w:rPr>
      </w:pPr>
      <w:r>
        <w:rPr>
          <w:color w:val="000000" w:themeColor="text1"/>
          <w:kern w:val="0"/>
          <w:sz w:val="28"/>
          <w:szCs w:val="28"/>
          <w:highlight w:val="none"/>
        </w:rPr>
        <w:t>法定代表人或其委托代理人（签字）：</w:t>
      </w:r>
    </w:p>
    <w:p w14:paraId="4E35AC45">
      <w:pPr>
        <w:shd w:val="clear"/>
        <w:autoSpaceDE w:val="0"/>
        <w:autoSpaceDN w:val="0"/>
        <w:adjustRightInd w:val="0"/>
        <w:spacing w:line="400" w:lineRule="atLeast"/>
        <w:ind w:firstLine="708" w:firstLineChars="253"/>
        <w:rPr>
          <w:color w:val="000000" w:themeColor="text1"/>
          <w:kern w:val="0"/>
          <w:sz w:val="28"/>
          <w:szCs w:val="28"/>
          <w:highlight w:val="none"/>
          <w:u w:val="single"/>
        </w:rPr>
      </w:pPr>
      <w:r>
        <w:rPr>
          <w:color w:val="000000" w:themeColor="text1"/>
          <w:kern w:val="0"/>
          <w:sz w:val="28"/>
          <w:szCs w:val="28"/>
          <w:highlight w:val="none"/>
        </w:rPr>
        <w:t>联系电话（手机）：</w:t>
      </w:r>
    </w:p>
    <w:p w14:paraId="4C98E06E">
      <w:pPr>
        <w:shd w:val="clear"/>
        <w:autoSpaceDE w:val="0"/>
        <w:autoSpaceDN w:val="0"/>
        <w:adjustRightInd w:val="0"/>
        <w:spacing w:line="400" w:lineRule="atLeast"/>
        <w:ind w:firstLine="3080" w:firstLineChars="1100"/>
        <w:rPr>
          <w:color w:val="000000" w:themeColor="text1"/>
          <w:sz w:val="36"/>
          <w:szCs w:val="36"/>
          <w:highlight w:val="none"/>
        </w:rPr>
      </w:pPr>
      <w:r>
        <w:rPr>
          <w:color w:val="000000" w:themeColor="text1"/>
          <w:kern w:val="0"/>
          <w:sz w:val="28"/>
          <w:szCs w:val="28"/>
          <w:highlight w:val="none"/>
        </w:rPr>
        <w:t>202</w:t>
      </w:r>
      <w:r>
        <w:rPr>
          <w:rFonts w:hint="eastAsia"/>
          <w:color w:val="000000" w:themeColor="text1"/>
          <w:kern w:val="0"/>
          <w:sz w:val="28"/>
          <w:szCs w:val="28"/>
          <w:highlight w:val="none"/>
          <w:lang w:val="en-US" w:eastAsia="zh-CN"/>
        </w:rPr>
        <w:t>6</w:t>
      </w:r>
      <w:r>
        <w:rPr>
          <w:color w:val="000000" w:themeColor="text1"/>
          <w:kern w:val="0"/>
          <w:sz w:val="28"/>
          <w:szCs w:val="28"/>
          <w:highlight w:val="none"/>
        </w:rPr>
        <w:t>年</w:t>
      </w:r>
      <w:r>
        <w:rPr>
          <w:rFonts w:hint="eastAsia"/>
          <w:color w:val="000000" w:themeColor="text1"/>
          <w:kern w:val="0"/>
          <w:sz w:val="28"/>
          <w:szCs w:val="28"/>
          <w:highlight w:val="none"/>
        </w:rPr>
        <w:t xml:space="preserve">  </w:t>
      </w:r>
      <w:r>
        <w:rPr>
          <w:color w:val="000000" w:themeColor="text1"/>
          <w:kern w:val="0"/>
          <w:sz w:val="28"/>
          <w:szCs w:val="28"/>
          <w:highlight w:val="none"/>
        </w:rPr>
        <w:t>月</w:t>
      </w:r>
      <w:r>
        <w:rPr>
          <w:rFonts w:hint="eastAsia"/>
          <w:color w:val="000000" w:themeColor="text1"/>
          <w:kern w:val="0"/>
          <w:sz w:val="28"/>
          <w:szCs w:val="28"/>
          <w:highlight w:val="none"/>
        </w:rPr>
        <w:t xml:space="preserve">  </w:t>
      </w:r>
      <w:r>
        <w:rPr>
          <w:color w:val="000000" w:themeColor="text1"/>
          <w:kern w:val="0"/>
          <w:sz w:val="28"/>
          <w:szCs w:val="28"/>
          <w:highlight w:val="none"/>
        </w:rPr>
        <w:t>日</w:t>
      </w:r>
      <w:bookmarkStart w:id="215" w:name="_Toc443200890"/>
      <w:bookmarkStart w:id="216" w:name="_Toc247514246"/>
      <w:bookmarkStart w:id="217" w:name="_Toc144974856"/>
      <w:bookmarkStart w:id="218" w:name="_Toc152042576"/>
      <w:bookmarkStart w:id="219" w:name="_Toc152045787"/>
      <w:bookmarkStart w:id="220" w:name="_Toc247527827"/>
    </w:p>
    <w:p w14:paraId="3AD3920F">
      <w:pPr>
        <w:shd w:val="clear"/>
        <w:ind w:firstLine="0" w:firstLineChars="0"/>
        <w:jc w:val="center"/>
        <w:rPr>
          <w:color w:val="000000" w:themeColor="text1"/>
          <w:sz w:val="36"/>
          <w:szCs w:val="36"/>
          <w:highlight w:val="none"/>
        </w:rPr>
      </w:pPr>
    </w:p>
    <w:p w14:paraId="05E4F049">
      <w:pPr>
        <w:pStyle w:val="2"/>
      </w:pPr>
    </w:p>
    <w:p w14:paraId="1F12BCBA">
      <w:pPr>
        <w:shd w:val="clear"/>
        <w:ind w:firstLine="0" w:firstLineChars="0"/>
        <w:jc w:val="center"/>
        <w:rPr>
          <w:b/>
          <w:color w:val="000000" w:themeColor="text1"/>
          <w:sz w:val="36"/>
          <w:szCs w:val="36"/>
          <w:highlight w:val="none"/>
        </w:rPr>
      </w:pPr>
      <w:r>
        <w:rPr>
          <w:b/>
          <w:color w:val="000000" w:themeColor="text1"/>
          <w:sz w:val="36"/>
          <w:szCs w:val="36"/>
          <w:highlight w:val="none"/>
        </w:rPr>
        <w:t>目</w:t>
      </w:r>
      <w:r>
        <w:rPr>
          <w:rFonts w:hint="eastAsia"/>
          <w:b/>
          <w:color w:val="000000" w:themeColor="text1"/>
          <w:sz w:val="36"/>
          <w:szCs w:val="36"/>
          <w:highlight w:val="none"/>
        </w:rPr>
        <w:t xml:space="preserve">  </w:t>
      </w:r>
      <w:r>
        <w:rPr>
          <w:b/>
          <w:color w:val="000000" w:themeColor="text1"/>
          <w:sz w:val="36"/>
          <w:szCs w:val="36"/>
          <w:highlight w:val="none"/>
        </w:rPr>
        <w:t>录</w:t>
      </w:r>
      <w:bookmarkEnd w:id="215"/>
      <w:bookmarkEnd w:id="216"/>
      <w:bookmarkEnd w:id="217"/>
      <w:bookmarkEnd w:id="218"/>
      <w:bookmarkEnd w:id="219"/>
      <w:bookmarkEnd w:id="220"/>
    </w:p>
    <w:p w14:paraId="20D1895F">
      <w:pPr>
        <w:pStyle w:val="18"/>
        <w:shd w:val="clear"/>
        <w:ind w:firstLine="420"/>
        <w:rPr>
          <w:color w:val="000000" w:themeColor="text1"/>
          <w:highlight w:val="none"/>
        </w:rPr>
      </w:pPr>
    </w:p>
    <w:p w14:paraId="4915AB25">
      <w:pPr>
        <w:pStyle w:val="18"/>
        <w:shd w:val="clear"/>
        <w:ind w:firstLine="420"/>
        <w:rPr>
          <w:color w:val="000000" w:themeColor="text1"/>
          <w:highlight w:val="none"/>
        </w:rPr>
      </w:pPr>
    </w:p>
    <w:p w14:paraId="2E556B2A">
      <w:pPr>
        <w:shd w:val="clear"/>
        <w:spacing w:line="400" w:lineRule="atLeast"/>
        <w:ind w:firstLine="600"/>
        <w:rPr>
          <w:rFonts w:eastAsia="黑体"/>
          <w:color w:val="000000" w:themeColor="text1"/>
          <w:sz w:val="30"/>
          <w:szCs w:val="30"/>
          <w:highlight w:val="none"/>
        </w:rPr>
      </w:pPr>
      <w:r>
        <w:rPr>
          <w:rFonts w:eastAsia="黑体"/>
          <w:color w:val="000000" w:themeColor="text1"/>
          <w:sz w:val="30"/>
          <w:szCs w:val="30"/>
          <w:highlight w:val="none"/>
        </w:rPr>
        <w:t>注：各供应商必须拟定目录</w:t>
      </w:r>
    </w:p>
    <w:p w14:paraId="279921A8">
      <w:pPr>
        <w:widowControl/>
        <w:shd w:val="clear"/>
        <w:spacing w:line="400" w:lineRule="atLeast"/>
        <w:ind w:firstLine="420"/>
        <w:jc w:val="left"/>
        <w:rPr>
          <w:color w:val="000000" w:themeColor="text1"/>
          <w:highlight w:val="none"/>
        </w:rPr>
      </w:pPr>
      <w:r>
        <w:rPr>
          <w:color w:val="000000" w:themeColor="text1"/>
          <w:highlight w:val="none"/>
        </w:rPr>
        <w:br w:type="page"/>
      </w:r>
    </w:p>
    <w:p w14:paraId="07F15C84">
      <w:pPr>
        <w:pStyle w:val="2"/>
        <w:shd w:val="clear"/>
        <w:spacing w:line="400" w:lineRule="atLeast"/>
        <w:ind w:firstLine="0" w:firstLineChars="0"/>
        <w:jc w:val="center"/>
        <w:rPr>
          <w:rFonts w:ascii="Times New Roman" w:hAnsi="Times New Roman"/>
          <w:b w:val="0"/>
          <w:color w:val="000000" w:themeColor="text1"/>
          <w:highlight w:val="none"/>
        </w:rPr>
      </w:pPr>
      <w:bookmarkStart w:id="221" w:name="_Toc26750"/>
      <w:bookmarkStart w:id="222" w:name="_Toc631"/>
      <w:bookmarkStart w:id="223" w:name="_Toc247514247"/>
      <w:bookmarkStart w:id="224" w:name="_Toc152042577"/>
      <w:bookmarkStart w:id="225" w:name="_Toc152045788"/>
      <w:bookmarkStart w:id="226" w:name="_Toc144974857"/>
      <w:bookmarkStart w:id="227" w:name="_Toc443200892"/>
      <w:bookmarkStart w:id="228" w:name="_Toc247527828"/>
      <w:r>
        <w:rPr>
          <w:rFonts w:ascii="Times New Roman" w:hAnsi="Times New Roman"/>
          <w:b w:val="0"/>
          <w:color w:val="000000" w:themeColor="text1"/>
          <w:highlight w:val="none"/>
        </w:rPr>
        <w:t>一、响应函</w:t>
      </w:r>
      <w:bookmarkEnd w:id="221"/>
      <w:bookmarkEnd w:id="222"/>
    </w:p>
    <w:p w14:paraId="376A953B">
      <w:pPr>
        <w:pStyle w:val="115"/>
        <w:keepNext w:val="0"/>
        <w:keepLines w:val="0"/>
        <w:pageBreakBefore w:val="0"/>
        <w:widowControl w:val="0"/>
        <w:shd w:val="clear"/>
        <w:kinsoku/>
        <w:wordWrap/>
        <w:overflowPunct/>
        <w:topLinePunct w:val="0"/>
        <w:autoSpaceDE/>
        <w:autoSpaceDN/>
        <w:bidi w:val="0"/>
        <w:spacing w:line="380" w:lineRule="exact"/>
        <w:ind w:firstLine="0" w:firstLineChars="0"/>
        <w:rPr>
          <w:rFonts w:ascii="Times New Roman" w:hAnsi="Times New Roman" w:eastAsia="宋体"/>
          <w:color w:val="000000" w:themeColor="text1"/>
          <w:sz w:val="24"/>
          <w:szCs w:val="24"/>
          <w:highlight w:val="none"/>
        </w:rPr>
      </w:pPr>
      <w:r>
        <w:rPr>
          <w:rFonts w:hint="eastAsia" w:ascii="Times New Roman" w:hAnsi="Times New Roman" w:eastAsia="宋体"/>
          <w:iCs/>
          <w:color w:val="000000" w:themeColor="text1"/>
          <w:sz w:val="24"/>
          <w:szCs w:val="24"/>
          <w:highlight w:val="none"/>
          <w:u w:val="none"/>
        </w:rPr>
        <w:t>致</w:t>
      </w:r>
      <w:r>
        <w:rPr>
          <w:rFonts w:hint="eastAsia" w:ascii="Times New Roman" w:hAnsi="Times New Roman" w:eastAsia="宋体"/>
          <w:iCs/>
          <w:color w:val="000000" w:themeColor="text1"/>
          <w:sz w:val="24"/>
          <w:szCs w:val="24"/>
          <w:highlight w:val="none"/>
          <w:u w:val="single"/>
          <w:lang w:eastAsia="zh-CN"/>
        </w:rPr>
        <w:t>连云港徐圩城建工程有限公司</w:t>
      </w:r>
      <w:r>
        <w:rPr>
          <w:rFonts w:ascii="Times New Roman" w:hAnsi="Times New Roman" w:eastAsia="宋体"/>
          <w:color w:val="000000" w:themeColor="text1"/>
          <w:sz w:val="24"/>
          <w:szCs w:val="24"/>
          <w:highlight w:val="none"/>
        </w:rPr>
        <w:t>：</w:t>
      </w:r>
    </w:p>
    <w:p w14:paraId="36B31AA5">
      <w:pPr>
        <w:spacing w:line="400" w:lineRule="atLeast"/>
        <w:ind w:firstLine="480"/>
        <w:rPr>
          <w:rFonts w:hint="default" w:ascii="Times New Roman" w:hAnsi="Times New Roman" w:cs="Times New Roman"/>
          <w:color w:val="000000" w:themeColor="text1"/>
          <w:sz w:val="24"/>
          <w:highlight w:val="none"/>
        </w:rPr>
      </w:pPr>
      <w:r>
        <w:rPr>
          <w:rFonts w:hint="default" w:ascii="Times New Roman" w:hAnsi="Times New Roman" w:cs="Times New Roman"/>
          <w:color w:val="000000" w:themeColor="text1"/>
          <w:sz w:val="24"/>
          <w:highlight w:val="none"/>
        </w:rPr>
        <w:t>1.根据已收到的</w:t>
      </w:r>
      <w:r>
        <w:rPr>
          <w:rFonts w:hint="default" w:ascii="Times New Roman" w:hAnsi="Times New Roman" w:cs="Times New Roman"/>
          <w:color w:val="000000" w:themeColor="text1"/>
          <w:sz w:val="24"/>
          <w:highlight w:val="none"/>
          <w:u w:val="single"/>
        </w:rPr>
        <w:t xml:space="preserve"> </w:t>
      </w:r>
      <w:r>
        <w:rPr>
          <w:rFonts w:hint="eastAsia" w:cs="Times New Roman"/>
          <w:color w:val="000000" w:themeColor="text1"/>
          <w:sz w:val="24"/>
          <w:highlight w:val="none"/>
          <w:u w:val="single"/>
          <w:lang w:eastAsia="zh-CN"/>
        </w:rPr>
        <w:t>物流集散道路工程EPC项目-道路工程劳务</w:t>
      </w:r>
      <w:r>
        <w:rPr>
          <w:rFonts w:hint="eastAsia" w:ascii="Times New Roman" w:hAnsi="Times New Roman" w:cs="Times New Roman"/>
          <w:color w:val="000000" w:themeColor="text1"/>
          <w:sz w:val="24"/>
          <w:highlight w:val="none"/>
          <w:u w:val="single"/>
          <w:lang w:val="en-US" w:eastAsia="zh-CN"/>
        </w:rPr>
        <w:t xml:space="preserve"> </w:t>
      </w:r>
      <w:r>
        <w:rPr>
          <w:rFonts w:hint="default" w:ascii="Times New Roman" w:hAnsi="Times New Roman" w:cs="Times New Roman"/>
          <w:color w:val="000000" w:themeColor="text1"/>
          <w:sz w:val="24"/>
          <w:highlight w:val="none"/>
        </w:rPr>
        <w:t>竞争性谈判文件，我单位经踏勘项目现场和研究上述谈判文件的供应商须知、合同条款、图纸、工程建设标准和</w:t>
      </w:r>
      <w:r>
        <w:rPr>
          <w:rFonts w:hint="default" w:ascii="Times New Roman" w:hAnsi="Times New Roman" w:cs="Times New Roman"/>
          <w:color w:val="000000" w:themeColor="text1"/>
          <w:sz w:val="24"/>
          <w:highlight w:val="none"/>
          <w:lang w:eastAsia="zh-CN"/>
        </w:rPr>
        <w:t>报价清单</w:t>
      </w:r>
      <w:r>
        <w:rPr>
          <w:rFonts w:hint="default" w:ascii="Times New Roman" w:hAnsi="Times New Roman" w:cs="Times New Roman"/>
          <w:color w:val="000000" w:themeColor="text1"/>
          <w:sz w:val="24"/>
          <w:highlight w:val="none"/>
        </w:rPr>
        <w:t>及其他有关文件后，</w:t>
      </w:r>
      <w:r>
        <w:rPr>
          <w:rFonts w:hint="default" w:ascii="Times New Roman" w:hAnsi="Times New Roman" w:cs="Times New Roman"/>
          <w:color w:val="auto"/>
          <w:sz w:val="24"/>
          <w:highlight w:val="none"/>
        </w:rPr>
        <w:t>我方愿以</w:t>
      </w:r>
      <w:r>
        <w:rPr>
          <w:rFonts w:hint="eastAsia" w:ascii="Times New Roman" w:hAnsi="Times New Roman" w:cs="Times New Roman"/>
          <w:color w:val="auto"/>
          <w:sz w:val="24"/>
          <w:highlight w:val="none"/>
          <w:lang w:eastAsia="zh-CN"/>
        </w:rPr>
        <w:t>工程量</w:t>
      </w:r>
      <w:r>
        <w:rPr>
          <w:rFonts w:hint="default" w:ascii="Times New Roman" w:hAnsi="Times New Roman" w:cs="Times New Roman"/>
          <w:color w:val="auto"/>
          <w:sz w:val="24"/>
          <w:highlight w:val="none"/>
        </w:rPr>
        <w:t>清单中的</w:t>
      </w:r>
      <w:r>
        <w:rPr>
          <w:rFonts w:hint="default" w:ascii="Times New Roman" w:hAnsi="Times New Roman" w:cs="Times New Roman"/>
          <w:color w:val="auto"/>
          <w:sz w:val="24"/>
          <w:highlight w:val="yellow"/>
        </w:rPr>
        <w:t>控制单价下浮</w:t>
      </w:r>
      <w:r>
        <w:rPr>
          <w:rFonts w:hint="default" w:ascii="Times New Roman" w:hAnsi="Times New Roman" w:cs="Times New Roman"/>
          <w:color w:val="auto"/>
          <w:sz w:val="24"/>
          <w:highlight w:val="yellow"/>
          <w:u w:val="single"/>
        </w:rPr>
        <w:t xml:space="preserve">    </w:t>
      </w:r>
      <w:r>
        <w:rPr>
          <w:rFonts w:hint="default" w:ascii="Times New Roman" w:hAnsi="Times New Roman" w:cs="Times New Roman"/>
          <w:color w:val="auto"/>
          <w:sz w:val="24"/>
          <w:highlight w:val="yellow"/>
        </w:rPr>
        <w:t xml:space="preserve">% </w:t>
      </w:r>
      <w:r>
        <w:rPr>
          <w:rFonts w:hint="default" w:ascii="Times New Roman" w:hAnsi="Times New Roman" w:cs="Times New Roman"/>
          <w:color w:val="auto"/>
          <w:sz w:val="24"/>
          <w:highlight w:val="none"/>
        </w:rPr>
        <w:t>作为本项目的谈判报价（即综合单价按照采购人发布的采购文件附件清单控制价中的单价*（1-下浮率））</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000000" w:themeColor="text1"/>
          <w:sz w:val="24"/>
          <w:highlight w:val="none"/>
        </w:rPr>
        <w:t>其中增值税税率为：</w:t>
      </w:r>
      <w:r>
        <w:rPr>
          <w:rFonts w:hint="default" w:ascii="Times New Roman" w:hAnsi="Times New Roman" w:cs="Times New Roman"/>
          <w:color w:val="000000" w:themeColor="text1"/>
          <w:sz w:val="24"/>
          <w:highlight w:val="none"/>
          <w:u w:val="single"/>
        </w:rPr>
        <w:t xml:space="preserve"> </w:t>
      </w:r>
      <w:r>
        <w:rPr>
          <w:rFonts w:hint="eastAsia" w:cs="Times New Roman"/>
          <w:color w:val="000000" w:themeColor="text1"/>
          <w:sz w:val="24"/>
          <w:highlight w:val="none"/>
          <w:u w:val="single"/>
          <w:lang w:val="en-US" w:eastAsia="zh-CN"/>
        </w:rPr>
        <w:t xml:space="preserve">9 </w:t>
      </w:r>
      <w:r>
        <w:rPr>
          <w:rFonts w:hint="default" w:ascii="Times New Roman" w:hAnsi="Times New Roman" w:cs="Times New Roman"/>
          <w:color w:val="000000" w:themeColor="text1"/>
          <w:sz w:val="24"/>
          <w:highlight w:val="none"/>
          <w:u w:val="single"/>
        </w:rPr>
        <w:t xml:space="preserve"> </w:t>
      </w:r>
      <w:r>
        <w:rPr>
          <w:rFonts w:hint="default" w:ascii="Times New Roman" w:hAnsi="Times New Roman" w:cs="Times New Roman"/>
          <w:color w:val="000000" w:themeColor="text1"/>
          <w:sz w:val="24"/>
          <w:highlight w:val="none"/>
        </w:rPr>
        <w:t>%，并按上述图纸、合同条款、工程建设标准和</w:t>
      </w:r>
      <w:r>
        <w:rPr>
          <w:rFonts w:hint="default" w:ascii="Times New Roman" w:hAnsi="Times New Roman" w:cs="Times New Roman"/>
          <w:color w:val="000000" w:themeColor="text1"/>
          <w:sz w:val="24"/>
          <w:highlight w:val="none"/>
          <w:lang w:eastAsia="zh-CN"/>
        </w:rPr>
        <w:t>报价清单</w:t>
      </w:r>
      <w:r>
        <w:rPr>
          <w:rFonts w:hint="default" w:ascii="Times New Roman" w:hAnsi="Times New Roman" w:cs="Times New Roman"/>
          <w:color w:val="000000" w:themeColor="text1"/>
          <w:sz w:val="24"/>
          <w:highlight w:val="none"/>
        </w:rPr>
        <w:t>的条件要求承包上述工程的施工、竣工，并承担任何质量缺陷保修责任。</w:t>
      </w:r>
    </w:p>
    <w:p w14:paraId="1F675D5B">
      <w:pPr>
        <w:spacing w:line="400" w:lineRule="atLeast"/>
        <w:ind w:firstLine="480"/>
        <w:rPr>
          <w:rFonts w:hint="default" w:ascii="Times New Roman" w:hAnsi="Times New Roman" w:cs="Times New Roman"/>
          <w:color w:val="000000" w:themeColor="text1"/>
          <w:sz w:val="24"/>
          <w:highlight w:val="none"/>
        </w:rPr>
      </w:pPr>
      <w:r>
        <w:rPr>
          <w:rFonts w:hint="default" w:ascii="Times New Roman" w:hAnsi="Times New Roman" w:cs="Times New Roman"/>
          <w:color w:val="000000" w:themeColor="text1"/>
          <w:sz w:val="24"/>
          <w:highlight w:val="none"/>
        </w:rPr>
        <w:t>2.</w:t>
      </w:r>
      <w:r>
        <w:rPr>
          <w:rFonts w:hint="eastAsia" w:ascii="宋体" w:hAnsi="宋体" w:eastAsia="宋体" w:cs="宋体"/>
          <w:sz w:val="24"/>
          <w:szCs w:val="24"/>
        </w:rPr>
        <w:t xml:space="preserve">我方保证工程质量达到 </w:t>
      </w:r>
      <w:r>
        <w:rPr>
          <w:rFonts w:hint="eastAsia" w:ascii="宋体" w:hAnsi="宋体" w:eastAsia="宋体" w:cs="宋体"/>
          <w:sz w:val="24"/>
          <w:szCs w:val="24"/>
          <w:u w:val="single"/>
        </w:rPr>
        <w:t>合格</w:t>
      </w:r>
      <w:r>
        <w:rPr>
          <w:rFonts w:hint="eastAsia" w:ascii="宋体" w:hAnsi="宋体" w:eastAsia="宋体" w:cs="宋体"/>
          <w:sz w:val="24"/>
          <w:szCs w:val="24"/>
        </w:rPr>
        <w:t xml:space="preserve"> 标准，符合竞争性谈判文件及采购需求</w:t>
      </w:r>
      <w:r>
        <w:rPr>
          <w:rFonts w:hint="default" w:ascii="Times New Roman" w:hAnsi="Times New Roman" w:cs="Times New Roman"/>
          <w:color w:val="000000" w:themeColor="text1"/>
          <w:sz w:val="24"/>
          <w:highlight w:val="none"/>
        </w:rPr>
        <w:t>，</w:t>
      </w:r>
      <w:r>
        <w:rPr>
          <w:color w:val="000000" w:themeColor="text1"/>
          <w:sz w:val="24"/>
          <w:highlight w:val="none"/>
        </w:rPr>
        <w:t>工期</w:t>
      </w:r>
      <w:r>
        <w:rPr>
          <w:rFonts w:hint="eastAsia"/>
          <w:color w:val="000000" w:themeColor="text1"/>
          <w:sz w:val="24"/>
          <w:highlight w:val="none"/>
          <w:u w:val="single"/>
          <w:lang w:val="en-US" w:eastAsia="zh-CN"/>
        </w:rPr>
        <w:t xml:space="preserve"> 120 </w:t>
      </w:r>
      <w:r>
        <w:rPr>
          <w:color w:val="000000" w:themeColor="text1"/>
          <w:sz w:val="24"/>
          <w:highlight w:val="none"/>
        </w:rPr>
        <w:t>日历天</w:t>
      </w:r>
      <w:r>
        <w:rPr>
          <w:rFonts w:hint="default" w:ascii="Times New Roman" w:hAnsi="Times New Roman" w:cs="Times New Roman"/>
          <w:color w:val="000000" w:themeColor="text1"/>
          <w:sz w:val="24"/>
          <w:highlight w:val="none"/>
        </w:rPr>
        <w:t>。</w:t>
      </w:r>
    </w:p>
    <w:p w14:paraId="0C65F1CA">
      <w:pPr>
        <w:spacing w:line="400" w:lineRule="atLeast"/>
        <w:ind w:firstLine="480"/>
        <w:rPr>
          <w:rFonts w:hint="default" w:ascii="Times New Roman" w:hAnsi="Times New Roman" w:cs="Times New Roman"/>
          <w:bCs/>
          <w:color w:val="000000" w:themeColor="text1"/>
          <w:sz w:val="24"/>
          <w:highlight w:val="none"/>
        </w:rPr>
      </w:pPr>
      <w:r>
        <w:rPr>
          <w:rFonts w:hint="default" w:ascii="Times New Roman" w:hAnsi="Times New Roman" w:cs="Times New Roman"/>
          <w:color w:val="000000" w:themeColor="text1"/>
          <w:sz w:val="24"/>
          <w:highlight w:val="none"/>
        </w:rPr>
        <w:t>3.</w:t>
      </w:r>
      <w:r>
        <w:rPr>
          <w:rFonts w:hint="default" w:ascii="Times New Roman" w:hAnsi="Times New Roman" w:cs="Times New Roman"/>
          <w:bCs/>
          <w:color w:val="000000" w:themeColor="text1"/>
          <w:sz w:val="24"/>
          <w:highlight w:val="none"/>
        </w:rPr>
        <w:t>我方授权委托</w:t>
      </w:r>
      <w:r>
        <w:rPr>
          <w:rFonts w:hint="default" w:ascii="Times New Roman" w:hAnsi="Times New Roman" w:cs="Times New Roman"/>
          <w:bCs/>
          <w:color w:val="000000" w:themeColor="text1"/>
          <w:sz w:val="24"/>
          <w:highlight w:val="none"/>
          <w:u w:val="single"/>
          <w:lang w:val="en-US" w:eastAsia="zh-CN"/>
        </w:rPr>
        <w:t xml:space="preserve">      </w:t>
      </w:r>
      <w:r>
        <w:rPr>
          <w:rFonts w:hint="default" w:ascii="Times New Roman" w:hAnsi="Times New Roman" w:cs="Times New Roman"/>
          <w:bCs/>
          <w:color w:val="000000" w:themeColor="text1"/>
          <w:sz w:val="24"/>
          <w:highlight w:val="none"/>
        </w:rPr>
        <w:t>同志（身份证号：</w:t>
      </w:r>
      <w:r>
        <w:rPr>
          <w:rFonts w:hint="default" w:ascii="Times New Roman" w:hAnsi="Times New Roman" w:cs="Times New Roman"/>
          <w:bCs/>
          <w:color w:val="000000" w:themeColor="text1"/>
          <w:sz w:val="24"/>
          <w:highlight w:val="none"/>
          <w:u w:val="single"/>
        </w:rPr>
        <w:t xml:space="preserve">              </w:t>
      </w:r>
      <w:r>
        <w:rPr>
          <w:rFonts w:hint="default" w:ascii="Times New Roman" w:hAnsi="Times New Roman" w:cs="Times New Roman"/>
          <w:bCs/>
          <w:color w:val="000000" w:themeColor="text1"/>
          <w:sz w:val="24"/>
          <w:highlight w:val="none"/>
        </w:rPr>
        <w:t>；</w:t>
      </w:r>
      <w:r>
        <w:rPr>
          <w:rFonts w:hint="default" w:ascii="Times New Roman" w:hAnsi="Times New Roman" w:cs="Times New Roman"/>
          <w:color w:val="000000" w:themeColor="text1"/>
          <w:sz w:val="24"/>
          <w:highlight w:val="none"/>
        </w:rPr>
        <w:t>电话：_______________</w:t>
      </w:r>
      <w:r>
        <w:rPr>
          <w:rFonts w:hint="default" w:ascii="Times New Roman" w:hAnsi="Times New Roman" w:cs="Times New Roman"/>
          <w:bCs/>
          <w:color w:val="000000" w:themeColor="text1"/>
          <w:sz w:val="24"/>
          <w:highlight w:val="none"/>
        </w:rPr>
        <w:t>）作为我方代表参加谈判会议。</w:t>
      </w:r>
    </w:p>
    <w:p w14:paraId="095DC733">
      <w:pPr>
        <w:spacing w:line="400" w:lineRule="atLeast"/>
        <w:ind w:firstLine="480"/>
        <w:rPr>
          <w:rFonts w:hint="default" w:ascii="Times New Roman" w:hAnsi="Times New Roman" w:cs="Times New Roman"/>
          <w:color w:val="000000" w:themeColor="text1"/>
          <w:sz w:val="24"/>
          <w:highlight w:val="none"/>
        </w:rPr>
      </w:pPr>
      <w:r>
        <w:rPr>
          <w:rFonts w:hint="default" w:ascii="Times New Roman" w:hAnsi="Times New Roman" w:cs="Times New Roman"/>
          <w:color w:val="000000" w:themeColor="text1"/>
          <w:sz w:val="24"/>
          <w:highlight w:val="none"/>
        </w:rPr>
        <w:t>4</w:t>
      </w:r>
      <w:r>
        <w:rPr>
          <w:rFonts w:hint="default" w:ascii="Times New Roman" w:hAnsi="Times New Roman" w:cs="Times New Roman"/>
          <w:color w:val="000000" w:themeColor="text1"/>
          <w:sz w:val="24"/>
          <w:highlight w:val="none"/>
          <w:lang w:eastAsia="zh-CN"/>
        </w:rPr>
        <w:t>.</w:t>
      </w:r>
      <w:r>
        <w:rPr>
          <w:rFonts w:hint="default" w:ascii="Times New Roman" w:hAnsi="Times New Roman" w:cs="Times New Roman"/>
          <w:color w:val="000000" w:themeColor="text1"/>
          <w:sz w:val="24"/>
          <w:highlight w:val="none"/>
        </w:rPr>
        <w:t>我方承诺在谈判文件规定的谈判有效期内不修改、撤销响应文件</w:t>
      </w:r>
      <w:r>
        <w:rPr>
          <w:rFonts w:hint="default" w:ascii="Times New Roman" w:hAnsi="Times New Roman" w:cs="Times New Roman"/>
          <w:color w:val="000000"/>
          <w:sz w:val="24"/>
          <w:highlight w:val="none"/>
        </w:rPr>
        <w:t>，</w:t>
      </w:r>
      <w:r>
        <w:rPr>
          <w:rFonts w:hint="default" w:ascii="Times New Roman" w:hAnsi="Times New Roman" w:cs="Times New Roman"/>
          <w:bCs/>
          <w:sz w:val="24"/>
          <w:highlight w:val="none"/>
        </w:rPr>
        <w:t>在本次谈判过程中无弄虚作假和串通参与谈判等违法、违规行为，并愿意承担因弄虚作假和串通参与谈判所引起的一切法律责任</w:t>
      </w:r>
      <w:r>
        <w:rPr>
          <w:rFonts w:hint="default" w:ascii="Times New Roman" w:hAnsi="Times New Roman" w:cs="Times New Roman"/>
          <w:color w:val="000000" w:themeColor="text1"/>
          <w:sz w:val="24"/>
          <w:highlight w:val="none"/>
        </w:rPr>
        <w:t>。</w:t>
      </w:r>
    </w:p>
    <w:p w14:paraId="045D4CF2">
      <w:pPr>
        <w:spacing w:line="400" w:lineRule="atLeast"/>
        <w:ind w:firstLine="480"/>
        <w:rPr>
          <w:rFonts w:hint="default" w:ascii="Times New Roman" w:hAnsi="Times New Roman" w:cs="Times New Roman"/>
          <w:color w:val="000000" w:themeColor="text1"/>
          <w:sz w:val="24"/>
          <w:highlight w:val="none"/>
        </w:rPr>
      </w:pPr>
      <w:r>
        <w:rPr>
          <w:rFonts w:hint="default" w:ascii="Times New Roman" w:hAnsi="Times New Roman" w:cs="Times New Roman"/>
          <w:color w:val="000000" w:themeColor="text1"/>
          <w:sz w:val="24"/>
          <w:highlight w:val="none"/>
        </w:rPr>
        <w:t>5</w:t>
      </w:r>
      <w:r>
        <w:rPr>
          <w:rFonts w:hint="default" w:ascii="Times New Roman" w:hAnsi="Times New Roman" w:cs="Times New Roman"/>
          <w:color w:val="000000" w:themeColor="text1"/>
          <w:sz w:val="24"/>
          <w:highlight w:val="none"/>
          <w:lang w:eastAsia="zh-CN"/>
        </w:rPr>
        <w:t>.</w:t>
      </w:r>
      <w:r>
        <w:rPr>
          <w:rFonts w:hint="default" w:ascii="Times New Roman" w:hAnsi="Times New Roman" w:cs="Times New Roman"/>
          <w:color w:val="000000" w:themeColor="text1"/>
          <w:sz w:val="24"/>
          <w:highlight w:val="none"/>
        </w:rPr>
        <w:t>如果我方成交，将派出</w:t>
      </w:r>
      <w:r>
        <w:rPr>
          <w:rFonts w:hint="default" w:ascii="Times New Roman" w:hAnsi="Times New Roman" w:cs="Times New Roman"/>
          <w:color w:val="000000" w:themeColor="text1"/>
          <w:sz w:val="24"/>
          <w:highlight w:val="none"/>
          <w:u w:val="single"/>
        </w:rPr>
        <w:t xml:space="preserve">        </w:t>
      </w:r>
      <w:r>
        <w:rPr>
          <w:rFonts w:hint="default" w:ascii="Times New Roman" w:hAnsi="Times New Roman" w:cs="Times New Roman"/>
          <w:color w:val="000000" w:themeColor="text1"/>
          <w:sz w:val="24"/>
          <w:highlight w:val="none"/>
        </w:rPr>
        <w:t>（姓名）</w:t>
      </w:r>
      <w:r>
        <w:rPr>
          <w:color w:val="000000" w:themeColor="text1"/>
          <w:sz w:val="24"/>
          <w:highlight w:val="none"/>
        </w:rPr>
        <w:t>（</w:t>
      </w:r>
      <w:r>
        <w:rPr>
          <w:bCs/>
          <w:color w:val="000000" w:themeColor="text1"/>
          <w:sz w:val="24"/>
          <w:highlight w:val="none"/>
        </w:rPr>
        <w:t>身份证号：</w:t>
      </w:r>
      <w:r>
        <w:rPr>
          <w:rFonts w:hint="eastAsia"/>
          <w:bCs/>
          <w:color w:val="000000" w:themeColor="text1"/>
          <w:sz w:val="24"/>
          <w:highlight w:val="none"/>
          <w:u w:val="single"/>
        </w:rPr>
        <w:t xml:space="preserve">              </w:t>
      </w:r>
      <w:r>
        <w:rPr>
          <w:rFonts w:hint="eastAsia"/>
          <w:bCs/>
          <w:color w:val="000000" w:themeColor="text1"/>
          <w:sz w:val="24"/>
          <w:highlight w:val="none"/>
          <w:u w:val="none"/>
          <w:lang w:eastAsia="zh-CN"/>
        </w:rPr>
        <w:t>，</w:t>
      </w:r>
      <w:r>
        <w:rPr>
          <w:rFonts w:hint="eastAsia"/>
          <w:bCs/>
          <w:color w:val="000000" w:themeColor="text1"/>
          <w:sz w:val="24"/>
          <w:highlight w:val="none"/>
          <w:u w:val="none"/>
        </w:rPr>
        <w:t>电话</w:t>
      </w:r>
      <w:r>
        <w:rPr>
          <w:rFonts w:hint="eastAsia"/>
          <w:bCs/>
          <w:color w:val="000000" w:themeColor="text1"/>
          <w:sz w:val="24"/>
          <w:highlight w:val="none"/>
          <w:u w:val="none"/>
          <w:lang w:eastAsia="zh-CN"/>
        </w:rPr>
        <w:t>：</w:t>
      </w:r>
      <w:r>
        <w:rPr>
          <w:rFonts w:hint="eastAsia"/>
          <w:bCs/>
          <w:color w:val="000000" w:themeColor="text1"/>
          <w:sz w:val="24"/>
          <w:highlight w:val="none"/>
          <w:u w:val="single"/>
          <w:lang w:val="en-US" w:eastAsia="zh-CN"/>
        </w:rPr>
        <w:t xml:space="preserve">         </w:t>
      </w:r>
      <w:r>
        <w:rPr>
          <w:color w:val="000000" w:themeColor="text1"/>
          <w:sz w:val="24"/>
          <w:highlight w:val="none"/>
        </w:rPr>
        <w:t>）</w:t>
      </w:r>
      <w:r>
        <w:rPr>
          <w:rFonts w:hint="default" w:ascii="Times New Roman" w:hAnsi="Times New Roman" w:cs="Times New Roman"/>
          <w:color w:val="000000" w:themeColor="text1"/>
          <w:sz w:val="24"/>
          <w:highlight w:val="none"/>
        </w:rPr>
        <w:t>作为本工程的项目负责人。</w:t>
      </w:r>
    </w:p>
    <w:p w14:paraId="6ADEAFA3">
      <w:pPr>
        <w:spacing w:line="400" w:lineRule="atLeast"/>
        <w:ind w:firstLine="480"/>
        <w:rPr>
          <w:rFonts w:hint="default" w:ascii="Times New Roman" w:hAnsi="Times New Roman" w:cs="Times New Roman"/>
          <w:color w:val="000000" w:themeColor="text1"/>
          <w:sz w:val="24"/>
          <w:highlight w:val="none"/>
        </w:rPr>
      </w:pPr>
      <w:r>
        <w:rPr>
          <w:rFonts w:hint="default" w:ascii="Times New Roman" w:hAnsi="Times New Roman" w:cs="Times New Roman"/>
          <w:color w:val="000000" w:themeColor="text1"/>
          <w:sz w:val="24"/>
          <w:highlight w:val="none"/>
        </w:rPr>
        <w:t>6</w:t>
      </w:r>
      <w:r>
        <w:rPr>
          <w:rFonts w:hint="default" w:ascii="Times New Roman" w:hAnsi="Times New Roman" w:cs="Times New Roman"/>
          <w:color w:val="000000" w:themeColor="text1"/>
          <w:sz w:val="24"/>
          <w:highlight w:val="none"/>
          <w:lang w:eastAsia="zh-CN"/>
        </w:rPr>
        <w:t>.</w:t>
      </w:r>
      <w:r>
        <w:rPr>
          <w:rFonts w:hint="default" w:ascii="Times New Roman" w:hAnsi="Times New Roman" w:cs="Times New Roman"/>
          <w:color w:val="000000" w:themeColor="text1"/>
          <w:sz w:val="24"/>
          <w:highlight w:val="none"/>
        </w:rPr>
        <w:t>如我方成交：</w:t>
      </w:r>
    </w:p>
    <w:p w14:paraId="567370B3">
      <w:pPr>
        <w:spacing w:line="400" w:lineRule="atLeast"/>
        <w:ind w:firstLine="283" w:firstLineChars="118"/>
        <w:rPr>
          <w:rFonts w:hint="default" w:ascii="Times New Roman" w:hAnsi="Times New Roman" w:cs="Times New Roman"/>
          <w:color w:val="000000" w:themeColor="text1"/>
          <w:sz w:val="24"/>
          <w:highlight w:val="none"/>
        </w:rPr>
      </w:pPr>
      <w:r>
        <w:rPr>
          <w:rFonts w:hint="default" w:ascii="Times New Roman" w:hAnsi="Times New Roman" w:cs="Times New Roman"/>
          <w:color w:val="000000" w:themeColor="text1"/>
          <w:sz w:val="24"/>
          <w:highlight w:val="none"/>
        </w:rPr>
        <w:t>（1）我方承诺在收到成交通知书后，在成交通知书规定的期限内与你方签订合同。</w:t>
      </w:r>
    </w:p>
    <w:p w14:paraId="7AABC745">
      <w:pPr>
        <w:spacing w:line="400" w:lineRule="atLeast"/>
        <w:ind w:firstLine="283" w:firstLineChars="118"/>
        <w:rPr>
          <w:rFonts w:hint="default" w:ascii="Times New Roman" w:hAnsi="Times New Roman" w:cs="Times New Roman"/>
          <w:color w:val="000000" w:themeColor="text1"/>
          <w:sz w:val="24"/>
          <w:highlight w:val="none"/>
        </w:rPr>
      </w:pPr>
      <w:r>
        <w:rPr>
          <w:rFonts w:hint="default" w:ascii="Times New Roman" w:hAnsi="Times New Roman" w:cs="Times New Roman"/>
          <w:color w:val="000000" w:themeColor="text1"/>
          <w:sz w:val="24"/>
          <w:highlight w:val="none"/>
        </w:rPr>
        <w:t>（2）我方承诺按照谈判文件规定向你方递交履约保证金。</w:t>
      </w:r>
    </w:p>
    <w:p w14:paraId="6C21106E">
      <w:pPr>
        <w:spacing w:line="400" w:lineRule="atLeast"/>
        <w:ind w:firstLine="283" w:firstLineChars="118"/>
        <w:rPr>
          <w:rFonts w:hint="default" w:ascii="Times New Roman" w:hAnsi="Times New Roman" w:cs="Times New Roman"/>
          <w:color w:val="000000" w:themeColor="text1"/>
          <w:sz w:val="24"/>
          <w:highlight w:val="none"/>
        </w:rPr>
      </w:pPr>
      <w:r>
        <w:rPr>
          <w:rFonts w:hint="default" w:ascii="Times New Roman" w:hAnsi="Times New Roman" w:cs="Times New Roman"/>
          <w:color w:val="000000" w:themeColor="text1"/>
          <w:sz w:val="24"/>
          <w:highlight w:val="none"/>
        </w:rPr>
        <w:t>（3）我方将严格履行响应文件中的全部承诺和责任，并遵守谈判文件中对供应商的所有规定。</w:t>
      </w:r>
    </w:p>
    <w:p w14:paraId="419275F4">
      <w:pPr>
        <w:spacing w:line="400" w:lineRule="atLeast"/>
        <w:ind w:firstLine="480"/>
        <w:rPr>
          <w:rFonts w:hint="default" w:ascii="Times New Roman" w:hAnsi="Times New Roman" w:cs="Times New Roman"/>
          <w:color w:val="000000" w:themeColor="text1"/>
          <w:sz w:val="24"/>
          <w:highlight w:val="none"/>
        </w:rPr>
      </w:pPr>
      <w:r>
        <w:rPr>
          <w:rFonts w:hint="default" w:ascii="Times New Roman" w:hAnsi="Times New Roman" w:cs="Times New Roman"/>
          <w:color w:val="000000" w:themeColor="text1"/>
          <w:sz w:val="24"/>
          <w:highlight w:val="none"/>
        </w:rPr>
        <w:t>7</w:t>
      </w:r>
      <w:r>
        <w:rPr>
          <w:rFonts w:hint="default" w:ascii="Times New Roman" w:hAnsi="Times New Roman" w:cs="Times New Roman"/>
          <w:color w:val="000000" w:themeColor="text1"/>
          <w:sz w:val="24"/>
          <w:highlight w:val="none"/>
          <w:lang w:eastAsia="zh-CN"/>
        </w:rPr>
        <w:t>.</w:t>
      </w:r>
      <w:r>
        <w:rPr>
          <w:rFonts w:hint="default" w:ascii="Times New Roman" w:hAnsi="Times New Roman" w:cs="Times New Roman"/>
          <w:color w:val="000000" w:themeColor="text1"/>
          <w:sz w:val="24"/>
          <w:highlight w:val="none"/>
        </w:rPr>
        <w:t>我方在此声明，所递交的响应文件及有关资料内容完整、真实和准确，且不存在第二章</w:t>
      </w:r>
      <w:r>
        <w:rPr>
          <w:rFonts w:hint="default" w:ascii="Times New Roman" w:hAnsi="Times New Roman" w:cs="Times New Roman"/>
          <w:color w:val="000000" w:themeColor="text1"/>
          <w:sz w:val="24"/>
          <w:highlight w:val="none"/>
          <w:lang w:eastAsia="zh-CN"/>
        </w:rPr>
        <w:t>“</w:t>
      </w:r>
      <w:r>
        <w:rPr>
          <w:rFonts w:hint="default" w:ascii="Times New Roman" w:hAnsi="Times New Roman" w:cs="Times New Roman"/>
          <w:color w:val="000000" w:themeColor="text1"/>
          <w:sz w:val="24"/>
          <w:highlight w:val="none"/>
        </w:rPr>
        <w:t>供应商须知</w:t>
      </w:r>
      <w:r>
        <w:rPr>
          <w:rFonts w:hint="default" w:ascii="Times New Roman" w:hAnsi="Times New Roman" w:cs="Times New Roman"/>
          <w:color w:val="000000" w:themeColor="text1"/>
          <w:sz w:val="24"/>
          <w:highlight w:val="none"/>
          <w:lang w:eastAsia="zh-CN"/>
        </w:rPr>
        <w:t>”</w:t>
      </w:r>
      <w:r>
        <w:rPr>
          <w:rFonts w:hint="default" w:ascii="Times New Roman" w:hAnsi="Times New Roman" w:cs="Times New Roman"/>
          <w:color w:val="000000" w:themeColor="text1"/>
          <w:sz w:val="24"/>
          <w:highlight w:val="none"/>
        </w:rPr>
        <w:t>第1.4.3项规定的任何一种情形。</w:t>
      </w:r>
    </w:p>
    <w:p w14:paraId="60A3AAF4">
      <w:pPr>
        <w:adjustRightInd w:val="0"/>
        <w:snapToGrid w:val="0"/>
        <w:spacing w:line="400" w:lineRule="atLeast"/>
        <w:ind w:firstLine="480"/>
        <w:rPr>
          <w:rFonts w:hint="default" w:ascii="Times New Roman" w:hAnsi="Times New Roman" w:cs="Times New Roman"/>
          <w:bCs/>
          <w:color w:val="000000" w:themeColor="text1"/>
          <w:sz w:val="24"/>
          <w:highlight w:val="none"/>
        </w:rPr>
      </w:pPr>
      <w:r>
        <w:rPr>
          <w:rFonts w:hint="default" w:ascii="Times New Roman" w:hAnsi="Times New Roman" w:cs="Times New Roman"/>
          <w:bCs/>
          <w:color w:val="000000" w:themeColor="text1"/>
          <w:sz w:val="24"/>
          <w:highlight w:val="none"/>
        </w:rPr>
        <w:t>8</w:t>
      </w:r>
      <w:r>
        <w:rPr>
          <w:rFonts w:hint="default" w:ascii="Times New Roman" w:hAnsi="Times New Roman" w:cs="Times New Roman"/>
          <w:bCs/>
          <w:color w:val="000000" w:themeColor="text1"/>
          <w:sz w:val="24"/>
          <w:highlight w:val="none"/>
          <w:lang w:eastAsia="zh-CN"/>
        </w:rPr>
        <w:t>.</w:t>
      </w:r>
      <w:r>
        <w:rPr>
          <w:rFonts w:hint="default" w:ascii="Times New Roman" w:hAnsi="Times New Roman" w:cs="Times New Roman"/>
          <w:bCs/>
          <w:color w:val="000000" w:themeColor="text1"/>
          <w:sz w:val="24"/>
          <w:highlight w:val="none"/>
        </w:rPr>
        <w:t>我方在此声明，不出借（挂靠）营业执照（资质证书），如成交中、成交后被发现存在出借（挂靠）营业执照（资质证书）的行为，愿意无条件接受被取消成交资格及成交（候选人）资格、</w:t>
      </w:r>
      <w:r>
        <w:rPr>
          <w:rFonts w:hint="eastAsia" w:cs="Times New Roman"/>
          <w:bCs/>
          <w:color w:val="000000" w:themeColor="text1"/>
          <w:sz w:val="24"/>
          <w:highlight w:val="none"/>
          <w:lang w:val="en-US" w:eastAsia="zh-CN"/>
        </w:rPr>
        <w:t>谈判</w:t>
      </w:r>
      <w:r>
        <w:rPr>
          <w:rFonts w:hint="default" w:ascii="Times New Roman" w:hAnsi="Times New Roman" w:cs="Times New Roman"/>
          <w:bCs/>
          <w:color w:val="000000" w:themeColor="text1"/>
          <w:sz w:val="24"/>
          <w:highlight w:val="none"/>
        </w:rPr>
        <w:t>保证金不予退还、履约保证金不予退还、合同无效且按发包人要求清除出场，一切损失自行承担。</w:t>
      </w:r>
    </w:p>
    <w:p w14:paraId="3AEADEB4">
      <w:pPr>
        <w:spacing w:line="400" w:lineRule="atLeast"/>
        <w:ind w:firstLine="480"/>
        <w:rPr>
          <w:rFonts w:hint="default" w:ascii="Times New Roman" w:hAnsi="Times New Roman" w:cs="Times New Roman"/>
          <w:color w:val="000000" w:themeColor="text1"/>
          <w:sz w:val="24"/>
          <w:highlight w:val="none"/>
        </w:rPr>
      </w:pPr>
      <w:r>
        <w:rPr>
          <w:rFonts w:hint="default" w:ascii="Times New Roman" w:hAnsi="Times New Roman" w:cs="Times New Roman"/>
          <w:color w:val="000000" w:themeColor="text1"/>
          <w:sz w:val="24"/>
          <w:highlight w:val="none"/>
        </w:rPr>
        <w:t>9</w:t>
      </w:r>
      <w:r>
        <w:rPr>
          <w:rFonts w:hint="default" w:ascii="Times New Roman" w:hAnsi="Times New Roman" w:cs="Times New Roman"/>
          <w:color w:val="000000" w:themeColor="text1"/>
          <w:sz w:val="24"/>
          <w:highlight w:val="none"/>
          <w:lang w:eastAsia="zh-CN"/>
        </w:rPr>
        <w:t>.</w:t>
      </w:r>
      <w:r>
        <w:rPr>
          <w:rFonts w:hint="default" w:ascii="Times New Roman" w:hAnsi="Times New Roman" w:cs="Times New Roman"/>
          <w:color w:val="000000" w:themeColor="text1"/>
          <w:sz w:val="24"/>
          <w:highlight w:val="none"/>
        </w:rPr>
        <w:t>（其他补充说明）。</w:t>
      </w:r>
    </w:p>
    <w:p w14:paraId="3C3BF36B">
      <w:pPr>
        <w:pStyle w:val="115"/>
        <w:keepNext w:val="0"/>
        <w:keepLines w:val="0"/>
        <w:pageBreakBefore w:val="0"/>
        <w:widowControl w:val="0"/>
        <w:shd w:val="clear"/>
        <w:tabs>
          <w:tab w:val="left" w:pos="5665"/>
          <w:tab w:val="right" w:pos="8360"/>
        </w:tabs>
        <w:kinsoku/>
        <w:wordWrap/>
        <w:overflowPunct/>
        <w:topLinePunct w:val="0"/>
        <w:autoSpaceDE/>
        <w:autoSpaceDN/>
        <w:bidi w:val="0"/>
        <w:spacing w:line="380" w:lineRule="exact"/>
        <w:ind w:right="42" w:firstLine="5280" w:firstLineChars="2200"/>
        <w:rPr>
          <w:rFonts w:ascii="Times New Roman" w:hAnsi="Times New Roman" w:eastAsia="宋体"/>
          <w:color w:val="000000" w:themeColor="text1"/>
          <w:sz w:val="24"/>
          <w:szCs w:val="24"/>
          <w:highlight w:val="none"/>
          <w:u w:val="single"/>
        </w:rPr>
      </w:pPr>
      <w:r>
        <w:rPr>
          <w:rFonts w:ascii="Times New Roman" w:hAnsi="Times New Roman" w:eastAsia="宋体"/>
          <w:color w:val="000000" w:themeColor="text1"/>
          <w:sz w:val="24"/>
          <w:szCs w:val="24"/>
          <w:highlight w:val="none"/>
        </w:rPr>
        <w:t>供应商</w:t>
      </w:r>
      <w:r>
        <w:rPr>
          <w:rFonts w:hint="eastAsia" w:ascii="Times New Roman" w:hAnsi="Times New Roman" w:eastAsia="宋体"/>
          <w:color w:val="000000" w:themeColor="text1"/>
          <w:sz w:val="24"/>
          <w:szCs w:val="24"/>
          <w:highlight w:val="none"/>
          <w:lang w:eastAsia="zh-CN"/>
        </w:rPr>
        <w:t>（</w:t>
      </w:r>
      <w:r>
        <w:rPr>
          <w:rFonts w:hint="eastAsia" w:ascii="Times New Roman" w:hAnsi="Times New Roman" w:eastAsia="宋体"/>
          <w:color w:val="000000" w:themeColor="text1"/>
          <w:sz w:val="24"/>
          <w:szCs w:val="24"/>
          <w:highlight w:val="none"/>
        </w:rPr>
        <w:t>单位公章</w:t>
      </w:r>
      <w:r>
        <w:rPr>
          <w:rFonts w:hint="eastAsia" w:ascii="Times New Roman" w:hAnsi="Times New Roman" w:eastAsia="宋体"/>
          <w:color w:val="000000" w:themeColor="text1"/>
          <w:sz w:val="24"/>
          <w:szCs w:val="24"/>
          <w:highlight w:val="none"/>
          <w:lang w:eastAsia="zh-CN"/>
        </w:rPr>
        <w:t>）</w:t>
      </w:r>
      <w:r>
        <w:rPr>
          <w:rFonts w:ascii="Times New Roman" w:hAnsi="Times New Roman" w:eastAsia="宋体"/>
          <w:color w:val="000000" w:themeColor="text1"/>
          <w:sz w:val="24"/>
          <w:szCs w:val="24"/>
          <w:highlight w:val="none"/>
        </w:rPr>
        <w:t>：</w:t>
      </w:r>
    </w:p>
    <w:p w14:paraId="6A44A40C">
      <w:pPr>
        <w:pStyle w:val="115"/>
        <w:keepNext w:val="0"/>
        <w:keepLines w:val="0"/>
        <w:pageBreakBefore w:val="0"/>
        <w:widowControl w:val="0"/>
        <w:shd w:val="clear"/>
        <w:tabs>
          <w:tab w:val="left" w:pos="5665"/>
          <w:tab w:val="right" w:pos="8360"/>
        </w:tabs>
        <w:kinsoku/>
        <w:wordWrap/>
        <w:overflowPunct/>
        <w:topLinePunct w:val="0"/>
        <w:autoSpaceDE/>
        <w:autoSpaceDN/>
        <w:bidi w:val="0"/>
        <w:spacing w:line="380" w:lineRule="exact"/>
        <w:ind w:right="42" w:firstLine="5229" w:firstLineChars="2179"/>
        <w:rPr>
          <w:rFonts w:ascii="Times New Roman" w:hAnsi="Times New Roman" w:eastAsia="宋体"/>
          <w:color w:val="000000" w:themeColor="text1"/>
          <w:sz w:val="24"/>
          <w:szCs w:val="24"/>
          <w:highlight w:val="none"/>
          <w:u w:val="single"/>
        </w:rPr>
      </w:pPr>
      <w:r>
        <w:rPr>
          <w:rFonts w:ascii="Times New Roman" w:hAnsi="Times New Roman" w:eastAsia="宋体"/>
          <w:color w:val="000000" w:themeColor="text1"/>
          <w:sz w:val="24"/>
          <w:szCs w:val="24"/>
          <w:highlight w:val="none"/>
        </w:rPr>
        <w:t>法人代表或授权委托人（签字或印章）：</w:t>
      </w:r>
    </w:p>
    <w:p w14:paraId="30D50C83">
      <w:pPr>
        <w:pStyle w:val="115"/>
        <w:keepNext w:val="0"/>
        <w:keepLines w:val="0"/>
        <w:pageBreakBefore w:val="0"/>
        <w:widowControl w:val="0"/>
        <w:shd w:val="clear"/>
        <w:tabs>
          <w:tab w:val="left" w:pos="5665"/>
          <w:tab w:val="right" w:pos="8360"/>
        </w:tabs>
        <w:kinsoku/>
        <w:wordWrap/>
        <w:overflowPunct/>
        <w:topLinePunct w:val="0"/>
        <w:autoSpaceDE/>
        <w:autoSpaceDN/>
        <w:bidi w:val="0"/>
        <w:spacing w:line="380" w:lineRule="exact"/>
        <w:ind w:right="42" w:firstLine="5229" w:firstLineChars="2179"/>
        <w:rPr>
          <w:rFonts w:ascii="Times New Roman" w:hAnsi="Times New Roman"/>
          <w:color w:val="000000" w:themeColor="text1"/>
          <w:highlight w:val="none"/>
        </w:rPr>
      </w:pPr>
      <w:r>
        <w:rPr>
          <w:rFonts w:ascii="Times New Roman" w:hAnsi="Times New Roman" w:eastAsia="宋体"/>
          <w:color w:val="000000" w:themeColor="text1"/>
          <w:sz w:val="24"/>
          <w:szCs w:val="24"/>
          <w:highlight w:val="none"/>
        </w:rPr>
        <w:t>日期：</w:t>
      </w:r>
      <w:r>
        <w:rPr>
          <w:rFonts w:hAnsi="宋体" w:eastAsia="宋体" w:cs="宋体"/>
          <w:sz w:val="24"/>
          <w:szCs w:val="24"/>
          <w:highlight w:val="none"/>
          <w:u w:val="single"/>
        </w:rPr>
        <w:t xml:space="preserve">      </w:t>
      </w:r>
      <w:r>
        <w:rPr>
          <w:rFonts w:hint="eastAsia" w:hAnsi="宋体" w:eastAsia="宋体" w:cs="宋体"/>
          <w:sz w:val="24"/>
          <w:szCs w:val="24"/>
          <w:highlight w:val="none"/>
          <w:u w:val="none"/>
        </w:rPr>
        <w:t>年</w:t>
      </w:r>
      <w:r>
        <w:rPr>
          <w:rFonts w:hAnsi="宋体" w:eastAsia="宋体" w:cs="宋体"/>
          <w:sz w:val="24"/>
          <w:szCs w:val="24"/>
          <w:highlight w:val="none"/>
          <w:u w:val="single"/>
        </w:rPr>
        <w:t xml:space="preserve">     </w:t>
      </w:r>
      <w:r>
        <w:rPr>
          <w:rFonts w:hint="eastAsia" w:hAnsi="宋体" w:eastAsia="宋体" w:cs="宋体"/>
          <w:sz w:val="24"/>
          <w:szCs w:val="24"/>
          <w:highlight w:val="none"/>
          <w:u w:val="none"/>
        </w:rPr>
        <w:t>月</w:t>
      </w:r>
      <w:r>
        <w:rPr>
          <w:rFonts w:hAnsi="宋体" w:eastAsia="宋体" w:cs="宋体"/>
          <w:sz w:val="24"/>
          <w:szCs w:val="24"/>
          <w:highlight w:val="none"/>
          <w:u w:val="single"/>
        </w:rPr>
        <w:t xml:space="preserve"> </w:t>
      </w:r>
      <w:r>
        <w:rPr>
          <w:rFonts w:hint="eastAsia" w:hAnsi="宋体" w:eastAsia="宋体" w:cs="宋体"/>
          <w:sz w:val="24"/>
          <w:szCs w:val="24"/>
          <w:highlight w:val="none"/>
          <w:u w:val="single"/>
          <w:lang w:val="en-US" w:eastAsia="zh-CN"/>
        </w:rPr>
        <w:t xml:space="preserve"> </w:t>
      </w:r>
      <w:r>
        <w:rPr>
          <w:rFonts w:hAnsi="宋体" w:eastAsia="宋体" w:cs="宋体"/>
          <w:sz w:val="24"/>
          <w:szCs w:val="24"/>
          <w:highlight w:val="none"/>
          <w:u w:val="single"/>
        </w:rPr>
        <w:t xml:space="preserve">   </w:t>
      </w:r>
      <w:r>
        <w:rPr>
          <w:rFonts w:hint="eastAsia" w:hAnsi="宋体" w:eastAsia="宋体" w:cs="宋体"/>
          <w:sz w:val="24"/>
          <w:szCs w:val="24"/>
          <w:highlight w:val="none"/>
          <w:u w:val="none"/>
        </w:rPr>
        <w:t>日</w:t>
      </w:r>
      <w:r>
        <w:rPr>
          <w:rFonts w:ascii="Times New Roman" w:hAnsi="Times New Roman"/>
          <w:color w:val="000000" w:themeColor="text1"/>
          <w:highlight w:val="none"/>
        </w:rPr>
        <w:br w:type="page"/>
      </w:r>
    </w:p>
    <w:p w14:paraId="723D2C88">
      <w:pPr>
        <w:pStyle w:val="2"/>
        <w:shd w:val="clear"/>
        <w:spacing w:line="400" w:lineRule="atLeast"/>
        <w:ind w:firstLine="0" w:firstLineChars="0"/>
        <w:jc w:val="center"/>
        <w:rPr>
          <w:rFonts w:ascii="Times New Roman" w:hAnsi="Times New Roman"/>
          <w:b w:val="0"/>
          <w:color w:val="000000" w:themeColor="text1"/>
          <w:highlight w:val="none"/>
        </w:rPr>
      </w:pPr>
      <w:bookmarkStart w:id="229" w:name="_Toc31036"/>
      <w:bookmarkStart w:id="230" w:name="_Toc14743"/>
      <w:r>
        <w:rPr>
          <w:rFonts w:ascii="Times New Roman" w:hAnsi="Times New Roman"/>
          <w:b w:val="0"/>
          <w:color w:val="000000" w:themeColor="text1"/>
          <w:highlight w:val="none"/>
        </w:rPr>
        <w:t>二、法定代表人身份证明</w:t>
      </w:r>
      <w:bookmarkEnd w:id="229"/>
      <w:bookmarkEnd w:id="230"/>
    </w:p>
    <w:p w14:paraId="2A5973C5">
      <w:pPr>
        <w:shd w:val="clear"/>
        <w:spacing w:line="400" w:lineRule="atLeast"/>
        <w:ind w:firstLine="400"/>
        <w:rPr>
          <w:color w:val="000000" w:themeColor="text1"/>
          <w:sz w:val="20"/>
          <w:szCs w:val="20"/>
          <w:highlight w:val="none"/>
        </w:rPr>
      </w:pPr>
    </w:p>
    <w:p w14:paraId="73471729">
      <w:pPr>
        <w:shd w:val="clear"/>
        <w:spacing w:line="400" w:lineRule="atLeast"/>
        <w:ind w:firstLine="420"/>
        <w:rPr>
          <w:color w:val="000000" w:themeColor="text1"/>
          <w:szCs w:val="21"/>
          <w:highlight w:val="none"/>
        </w:rPr>
      </w:pPr>
    </w:p>
    <w:p w14:paraId="267F349E">
      <w:pPr>
        <w:shd w:val="clear"/>
        <w:spacing w:line="400" w:lineRule="atLeast"/>
        <w:rPr>
          <w:color w:val="000000" w:themeColor="text1"/>
          <w:sz w:val="24"/>
          <w:highlight w:val="none"/>
        </w:rPr>
      </w:pPr>
      <w:r>
        <w:rPr>
          <w:color w:val="000000" w:themeColor="text1"/>
          <w:sz w:val="24"/>
          <w:highlight w:val="none"/>
        </w:rPr>
        <w:t>供应商名称：</w:t>
      </w:r>
      <w:r>
        <w:rPr>
          <w:sz w:val="24"/>
          <w:highlight w:val="none"/>
          <w:u w:val="single"/>
        </w:rPr>
        <w:t xml:space="preserve">                            </w:t>
      </w:r>
      <w:r>
        <w:rPr>
          <w:sz w:val="24"/>
          <w:highlight w:val="none"/>
        </w:rPr>
        <w:t xml:space="preserve"> </w:t>
      </w:r>
    </w:p>
    <w:p w14:paraId="192EBE1D">
      <w:pPr>
        <w:shd w:val="clear"/>
        <w:spacing w:line="400" w:lineRule="atLeast"/>
        <w:ind w:firstLine="480"/>
        <w:jc w:val="left"/>
        <w:rPr>
          <w:color w:val="000000" w:themeColor="text1"/>
          <w:sz w:val="24"/>
          <w:highlight w:val="none"/>
        </w:rPr>
      </w:pPr>
      <w:r>
        <w:rPr>
          <w:color w:val="000000" w:themeColor="text1"/>
          <w:sz w:val="24"/>
          <w:highlight w:val="none"/>
        </w:rPr>
        <w:t>单位性质：</w:t>
      </w:r>
      <w:r>
        <w:rPr>
          <w:sz w:val="24"/>
          <w:highlight w:val="none"/>
          <w:u w:val="single"/>
        </w:rPr>
        <w:t xml:space="preserve">                               </w:t>
      </w:r>
    </w:p>
    <w:p w14:paraId="2589BC8A">
      <w:pPr>
        <w:shd w:val="clear"/>
        <w:spacing w:line="400" w:lineRule="atLeast"/>
        <w:ind w:firstLine="480"/>
        <w:jc w:val="left"/>
        <w:rPr>
          <w:color w:val="000000" w:themeColor="text1"/>
          <w:sz w:val="24"/>
          <w:highlight w:val="none"/>
        </w:rPr>
      </w:pPr>
      <w:r>
        <w:rPr>
          <w:color w:val="000000" w:themeColor="text1"/>
          <w:sz w:val="24"/>
          <w:highlight w:val="none"/>
        </w:rPr>
        <w:t>地址：</w:t>
      </w:r>
      <w:r>
        <w:rPr>
          <w:sz w:val="24"/>
          <w:highlight w:val="none"/>
          <w:u w:val="single"/>
        </w:rPr>
        <w:t xml:space="preserve">                                  </w:t>
      </w:r>
    </w:p>
    <w:p w14:paraId="6215EE20">
      <w:pPr>
        <w:shd w:val="clear"/>
        <w:spacing w:line="400" w:lineRule="atLeast"/>
        <w:ind w:firstLine="480"/>
        <w:jc w:val="left"/>
        <w:rPr>
          <w:color w:val="000000" w:themeColor="text1"/>
          <w:sz w:val="24"/>
          <w:highlight w:val="none"/>
        </w:rPr>
      </w:pPr>
      <w:r>
        <w:rPr>
          <w:color w:val="000000" w:themeColor="text1"/>
          <w:sz w:val="24"/>
          <w:highlight w:val="none"/>
        </w:rPr>
        <w:t>成立时间：</w:t>
      </w:r>
      <w:r>
        <w:rPr>
          <w:sz w:val="24"/>
          <w:highlight w:val="none"/>
          <w:u w:val="single"/>
        </w:rPr>
        <w:t xml:space="preserve">       </w:t>
      </w:r>
      <w:r>
        <w:rPr>
          <w:rFonts w:hint="eastAsia"/>
          <w:sz w:val="24"/>
          <w:highlight w:val="none"/>
        </w:rPr>
        <w:t>年</w:t>
      </w:r>
      <w:r>
        <w:rPr>
          <w:sz w:val="24"/>
          <w:highlight w:val="none"/>
          <w:u w:val="single"/>
        </w:rPr>
        <w:t xml:space="preserve">       </w:t>
      </w:r>
      <w:r>
        <w:rPr>
          <w:rFonts w:hint="eastAsia"/>
          <w:sz w:val="24"/>
          <w:highlight w:val="none"/>
        </w:rPr>
        <w:t>月</w:t>
      </w:r>
      <w:r>
        <w:rPr>
          <w:sz w:val="24"/>
          <w:highlight w:val="none"/>
          <w:u w:val="single"/>
        </w:rPr>
        <w:t xml:space="preserve">       </w:t>
      </w:r>
      <w:r>
        <w:rPr>
          <w:rFonts w:hint="eastAsia"/>
          <w:sz w:val="24"/>
          <w:highlight w:val="none"/>
        </w:rPr>
        <w:t>日</w:t>
      </w:r>
    </w:p>
    <w:p w14:paraId="5706CDD6">
      <w:pPr>
        <w:shd w:val="clear"/>
        <w:spacing w:line="400" w:lineRule="atLeast"/>
        <w:ind w:firstLine="480"/>
        <w:jc w:val="left"/>
        <w:rPr>
          <w:color w:val="000000" w:themeColor="text1"/>
          <w:sz w:val="24"/>
          <w:highlight w:val="none"/>
        </w:rPr>
      </w:pPr>
      <w:r>
        <w:rPr>
          <w:color w:val="000000" w:themeColor="text1"/>
          <w:sz w:val="24"/>
          <w:highlight w:val="none"/>
        </w:rPr>
        <w:t>经营期限：</w:t>
      </w:r>
      <w:r>
        <w:rPr>
          <w:sz w:val="24"/>
          <w:highlight w:val="none"/>
          <w:u w:val="single"/>
        </w:rPr>
        <w:t xml:space="preserve">                              </w:t>
      </w:r>
    </w:p>
    <w:p w14:paraId="6C89E90E">
      <w:pPr>
        <w:shd w:val="clear"/>
        <w:spacing w:line="400" w:lineRule="atLeast"/>
        <w:ind w:firstLine="480"/>
        <w:jc w:val="left"/>
        <w:rPr>
          <w:color w:val="000000" w:themeColor="text1"/>
          <w:sz w:val="24"/>
          <w:highlight w:val="none"/>
          <w:u w:val="single"/>
        </w:rPr>
      </w:pPr>
      <w:r>
        <w:rPr>
          <w:color w:val="000000" w:themeColor="text1"/>
          <w:sz w:val="24"/>
          <w:highlight w:val="none"/>
        </w:rPr>
        <w:t>姓名：</w:t>
      </w:r>
      <w:r>
        <w:rPr>
          <w:rFonts w:hint="eastAsia"/>
          <w:color w:val="000000" w:themeColor="text1"/>
          <w:sz w:val="24"/>
          <w:highlight w:val="none"/>
          <w:u w:val="single"/>
        </w:rPr>
        <w:t xml:space="preserve">       </w:t>
      </w:r>
      <w:r>
        <w:rPr>
          <w:color w:val="000000" w:themeColor="text1"/>
          <w:sz w:val="24"/>
          <w:highlight w:val="none"/>
        </w:rPr>
        <w:t>性别：</w:t>
      </w:r>
      <w:r>
        <w:rPr>
          <w:rFonts w:hint="eastAsia"/>
          <w:color w:val="000000" w:themeColor="text1"/>
          <w:sz w:val="24"/>
          <w:highlight w:val="none"/>
          <w:u w:val="single"/>
        </w:rPr>
        <w:t xml:space="preserve">      </w:t>
      </w:r>
      <w:r>
        <w:rPr>
          <w:color w:val="000000" w:themeColor="text1"/>
          <w:sz w:val="24"/>
          <w:highlight w:val="none"/>
        </w:rPr>
        <w:t>年龄：</w:t>
      </w:r>
      <w:r>
        <w:rPr>
          <w:rFonts w:hint="eastAsia"/>
          <w:color w:val="000000" w:themeColor="text1"/>
          <w:sz w:val="24"/>
          <w:highlight w:val="none"/>
          <w:u w:val="single"/>
        </w:rPr>
        <w:t xml:space="preserve">       </w:t>
      </w:r>
      <w:r>
        <w:rPr>
          <w:color w:val="000000" w:themeColor="text1"/>
          <w:sz w:val="24"/>
          <w:highlight w:val="none"/>
        </w:rPr>
        <w:t>职务：</w:t>
      </w:r>
      <w:r>
        <w:rPr>
          <w:rFonts w:hint="eastAsia"/>
          <w:color w:val="000000" w:themeColor="text1"/>
          <w:sz w:val="24"/>
          <w:highlight w:val="none"/>
          <w:u w:val="single"/>
        </w:rPr>
        <w:t xml:space="preserve">      </w:t>
      </w:r>
    </w:p>
    <w:p w14:paraId="7F63EED5">
      <w:pPr>
        <w:shd w:val="clear"/>
        <w:spacing w:line="400" w:lineRule="atLeast"/>
        <w:ind w:firstLine="480"/>
        <w:jc w:val="left"/>
        <w:rPr>
          <w:color w:val="000000" w:themeColor="text1"/>
          <w:sz w:val="24"/>
          <w:highlight w:val="none"/>
        </w:rPr>
      </w:pPr>
      <w:r>
        <w:rPr>
          <w:color w:val="000000" w:themeColor="text1"/>
          <w:sz w:val="24"/>
          <w:highlight w:val="none"/>
        </w:rPr>
        <w:t>系</w:t>
      </w:r>
      <w:r>
        <w:rPr>
          <w:rFonts w:hint="eastAsia"/>
          <w:color w:val="000000" w:themeColor="text1"/>
          <w:sz w:val="24"/>
          <w:highlight w:val="none"/>
        </w:rPr>
        <w:t xml:space="preserve"> </w:t>
      </w:r>
      <w:r>
        <w:rPr>
          <w:rFonts w:hint="eastAsia"/>
          <w:color w:val="000000" w:themeColor="text1"/>
          <w:sz w:val="24"/>
          <w:highlight w:val="none"/>
          <w:u w:val="single"/>
        </w:rPr>
        <w:t xml:space="preserve">           </w:t>
      </w:r>
      <w:r>
        <w:rPr>
          <w:color w:val="000000" w:themeColor="text1"/>
          <w:sz w:val="24"/>
          <w:highlight w:val="none"/>
        </w:rPr>
        <w:t>（供应商名称）的法定代表人。</w:t>
      </w:r>
    </w:p>
    <w:p w14:paraId="5D1B4F57">
      <w:pPr>
        <w:shd w:val="clear"/>
        <w:spacing w:line="400" w:lineRule="atLeast"/>
        <w:ind w:firstLine="420"/>
        <w:jc w:val="left"/>
        <w:rPr>
          <w:color w:val="000000" w:themeColor="text1"/>
          <w:sz w:val="24"/>
          <w:highlight w:val="none"/>
        </w:rPr>
      </w:pPr>
      <w:r>
        <w:rPr>
          <w:color w:val="000000" w:themeColor="text1"/>
          <w:highlight w:val="none"/>
        </w:rPr>
        <w:pict>
          <v:shape id="Text Box 3" o:spid="_x0000_s1026" o:spt="202" type="#_x0000_t202" style="position:absolute;left:0pt;margin-left:1.05pt;margin-top:20.35pt;height:256.35pt;width:433.6pt;z-index:251660288;mso-width-relative:page;mso-height-relative:page;" coordsize="21600,21600" o:gfxdata="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IMrAd2QAA&#10;AAgBAAAPAAAAAAAAAAEAIAAAACIAAABkcnMvZG93bnJldi54bWxQSwECFAAUAAAACACHTuJAQrIm&#10;hB0CAABlBAAADgAAAAAAAAABACAAAAAoAQAAZHJzL2Uyb0RvYy54bWxQSwUGAAAAAAYABgBZAQAA&#10;twUAAAAA&#10;">
            <v:path/>
            <v:fill focussize="0,0"/>
            <v:stroke joinstyle="miter"/>
            <v:imagedata o:title=""/>
            <o:lock v:ext="edit"/>
            <v:textbox>
              <w:txbxContent>
                <w:p w14:paraId="6A89C0D8">
                  <w:pPr>
                    <w:spacing w:line="360" w:lineRule="auto"/>
                    <w:ind w:firstLine="480"/>
                    <w:rPr>
                      <w:sz w:val="24"/>
                    </w:rPr>
                  </w:pPr>
                </w:p>
                <w:p w14:paraId="3AF4C1A9">
                  <w:pPr>
                    <w:spacing w:line="360" w:lineRule="auto"/>
                    <w:ind w:firstLine="480"/>
                    <w:rPr>
                      <w:sz w:val="24"/>
                    </w:rPr>
                  </w:pPr>
                  <w:r>
                    <w:rPr>
                      <w:rFonts w:hint="eastAsia"/>
                      <w:sz w:val="24"/>
                    </w:rPr>
                    <w:t>附：法定代表人身份证复印件。</w:t>
                  </w:r>
                </w:p>
                <w:p w14:paraId="6406A64A">
                  <w:pPr>
                    <w:ind w:firstLine="420"/>
                  </w:pPr>
                </w:p>
              </w:txbxContent>
            </v:textbox>
          </v:shape>
        </w:pict>
      </w:r>
      <w:r>
        <w:rPr>
          <w:color w:val="000000" w:themeColor="text1"/>
          <w:sz w:val="24"/>
          <w:highlight w:val="none"/>
        </w:rPr>
        <w:t>特此证明。</w:t>
      </w:r>
    </w:p>
    <w:p w14:paraId="5CC54613">
      <w:pPr>
        <w:shd w:val="clear"/>
        <w:spacing w:line="400" w:lineRule="atLeast"/>
        <w:ind w:firstLine="420"/>
        <w:rPr>
          <w:color w:val="000000" w:themeColor="text1"/>
          <w:szCs w:val="21"/>
          <w:highlight w:val="none"/>
        </w:rPr>
      </w:pPr>
    </w:p>
    <w:p w14:paraId="73AE34A9">
      <w:pPr>
        <w:shd w:val="clear"/>
        <w:spacing w:line="400" w:lineRule="atLeast"/>
        <w:ind w:firstLine="480"/>
        <w:rPr>
          <w:color w:val="000000" w:themeColor="text1"/>
          <w:sz w:val="24"/>
          <w:highlight w:val="none"/>
        </w:rPr>
      </w:pPr>
    </w:p>
    <w:p w14:paraId="5DDC3A44">
      <w:pPr>
        <w:shd w:val="clear"/>
        <w:spacing w:line="400" w:lineRule="atLeast"/>
        <w:ind w:firstLine="480"/>
        <w:rPr>
          <w:color w:val="000000" w:themeColor="text1"/>
          <w:sz w:val="24"/>
          <w:highlight w:val="none"/>
        </w:rPr>
      </w:pPr>
    </w:p>
    <w:p w14:paraId="5C00A3CE">
      <w:pPr>
        <w:shd w:val="clear"/>
        <w:spacing w:line="400" w:lineRule="atLeast"/>
        <w:ind w:firstLine="480"/>
        <w:rPr>
          <w:color w:val="000000" w:themeColor="text1"/>
          <w:sz w:val="24"/>
          <w:highlight w:val="none"/>
        </w:rPr>
      </w:pPr>
    </w:p>
    <w:p w14:paraId="57AAB1F1">
      <w:pPr>
        <w:shd w:val="clear"/>
        <w:spacing w:line="400" w:lineRule="atLeast"/>
        <w:ind w:firstLine="480"/>
        <w:rPr>
          <w:color w:val="000000" w:themeColor="text1"/>
          <w:sz w:val="24"/>
          <w:highlight w:val="none"/>
        </w:rPr>
      </w:pPr>
    </w:p>
    <w:p w14:paraId="71C6D0DC">
      <w:pPr>
        <w:shd w:val="clear"/>
        <w:spacing w:line="400" w:lineRule="atLeast"/>
        <w:ind w:firstLine="480"/>
        <w:rPr>
          <w:color w:val="000000" w:themeColor="text1"/>
          <w:sz w:val="24"/>
          <w:highlight w:val="none"/>
        </w:rPr>
      </w:pPr>
    </w:p>
    <w:p w14:paraId="29E6AB85">
      <w:pPr>
        <w:shd w:val="clear"/>
        <w:spacing w:line="400" w:lineRule="atLeast"/>
        <w:ind w:firstLine="480"/>
        <w:rPr>
          <w:color w:val="000000" w:themeColor="text1"/>
          <w:sz w:val="24"/>
          <w:highlight w:val="none"/>
        </w:rPr>
      </w:pPr>
    </w:p>
    <w:p w14:paraId="58DC43D5">
      <w:pPr>
        <w:shd w:val="clear"/>
        <w:spacing w:line="400" w:lineRule="atLeast"/>
        <w:ind w:firstLine="480"/>
        <w:rPr>
          <w:color w:val="000000" w:themeColor="text1"/>
          <w:sz w:val="24"/>
          <w:highlight w:val="none"/>
        </w:rPr>
      </w:pPr>
    </w:p>
    <w:p w14:paraId="3FCDF750">
      <w:pPr>
        <w:shd w:val="clear"/>
        <w:spacing w:line="400" w:lineRule="atLeast"/>
        <w:ind w:firstLine="480"/>
        <w:rPr>
          <w:color w:val="000000" w:themeColor="text1"/>
          <w:sz w:val="24"/>
          <w:highlight w:val="none"/>
        </w:rPr>
      </w:pPr>
    </w:p>
    <w:p w14:paraId="0B9EC1B1">
      <w:pPr>
        <w:shd w:val="clear"/>
        <w:spacing w:line="400" w:lineRule="atLeast"/>
        <w:ind w:firstLine="480"/>
        <w:rPr>
          <w:color w:val="000000" w:themeColor="text1"/>
          <w:sz w:val="24"/>
          <w:highlight w:val="none"/>
        </w:rPr>
      </w:pPr>
    </w:p>
    <w:p w14:paraId="1906341C">
      <w:pPr>
        <w:shd w:val="clear"/>
        <w:spacing w:line="400" w:lineRule="atLeast"/>
        <w:ind w:firstLine="480"/>
        <w:rPr>
          <w:color w:val="000000" w:themeColor="text1"/>
          <w:sz w:val="24"/>
          <w:highlight w:val="none"/>
        </w:rPr>
      </w:pPr>
    </w:p>
    <w:p w14:paraId="31A56CCD">
      <w:pPr>
        <w:shd w:val="clear"/>
        <w:spacing w:line="400" w:lineRule="atLeast"/>
        <w:ind w:firstLine="480"/>
        <w:jc w:val="right"/>
        <w:rPr>
          <w:color w:val="000000" w:themeColor="text1"/>
          <w:sz w:val="24"/>
          <w:highlight w:val="none"/>
        </w:rPr>
      </w:pPr>
    </w:p>
    <w:p w14:paraId="72F68979">
      <w:pPr>
        <w:shd w:val="clear"/>
        <w:spacing w:line="400" w:lineRule="atLeast"/>
        <w:ind w:firstLine="480"/>
        <w:jc w:val="right"/>
        <w:rPr>
          <w:color w:val="000000" w:themeColor="text1"/>
          <w:sz w:val="24"/>
          <w:highlight w:val="none"/>
        </w:rPr>
      </w:pPr>
    </w:p>
    <w:p w14:paraId="20F02242">
      <w:pPr>
        <w:shd w:val="clear"/>
        <w:spacing w:line="400" w:lineRule="atLeast"/>
        <w:ind w:firstLine="480"/>
        <w:jc w:val="right"/>
        <w:rPr>
          <w:color w:val="000000" w:themeColor="text1"/>
          <w:sz w:val="24"/>
          <w:highlight w:val="none"/>
        </w:rPr>
      </w:pPr>
    </w:p>
    <w:p w14:paraId="11E5E7F4">
      <w:pPr>
        <w:shd w:val="clear"/>
        <w:spacing w:line="400" w:lineRule="atLeast"/>
        <w:ind w:firstLine="480"/>
        <w:jc w:val="right"/>
        <w:rPr>
          <w:color w:val="000000" w:themeColor="text1"/>
          <w:sz w:val="24"/>
          <w:highlight w:val="none"/>
        </w:rPr>
      </w:pPr>
    </w:p>
    <w:p w14:paraId="2263CE54">
      <w:pPr>
        <w:shd w:val="clear"/>
        <w:spacing w:line="400" w:lineRule="atLeast"/>
        <w:ind w:right="480"/>
        <w:jc w:val="right"/>
        <w:rPr>
          <w:color w:val="000000" w:themeColor="text1"/>
          <w:sz w:val="24"/>
          <w:highlight w:val="none"/>
        </w:rPr>
      </w:pPr>
      <w:r>
        <w:rPr>
          <w:color w:val="000000" w:themeColor="text1"/>
          <w:sz w:val="24"/>
          <w:highlight w:val="none"/>
        </w:rPr>
        <w:t>供应商：</w:t>
      </w:r>
      <w:r>
        <w:rPr>
          <w:sz w:val="24"/>
          <w:highlight w:val="none"/>
          <w:u w:val="single"/>
        </w:rPr>
        <w:t xml:space="preserve">                 </w:t>
      </w:r>
      <w:r>
        <w:rPr>
          <w:color w:val="000000" w:themeColor="text1"/>
          <w:sz w:val="24"/>
          <w:highlight w:val="none"/>
        </w:rPr>
        <w:t>（</w:t>
      </w:r>
      <w:r>
        <w:rPr>
          <w:rFonts w:hint="eastAsia"/>
          <w:color w:val="000000" w:themeColor="text1"/>
          <w:sz w:val="24"/>
          <w:highlight w:val="none"/>
        </w:rPr>
        <w:t>单位公章</w:t>
      </w:r>
      <w:r>
        <w:rPr>
          <w:color w:val="000000" w:themeColor="text1"/>
          <w:sz w:val="24"/>
          <w:highlight w:val="none"/>
        </w:rPr>
        <w:t>）</w:t>
      </w:r>
    </w:p>
    <w:p w14:paraId="225E55D8">
      <w:pPr>
        <w:shd w:val="clear"/>
        <w:spacing w:line="400" w:lineRule="atLeast"/>
        <w:ind w:firstLine="480"/>
        <w:jc w:val="center"/>
        <w:rPr>
          <w:color w:val="000000" w:themeColor="text1"/>
          <w:sz w:val="20"/>
          <w:szCs w:val="20"/>
          <w:highlight w:val="none"/>
        </w:rPr>
      </w:pPr>
      <w:r>
        <w:rPr>
          <w:rFonts w:hint="eastAsia"/>
          <w:color w:val="000000" w:themeColor="text1"/>
          <w:sz w:val="24"/>
          <w:highlight w:val="none"/>
        </w:rPr>
        <w:t xml:space="preserve">               </w:t>
      </w:r>
      <w:r>
        <w:rPr>
          <w:rFonts w:hint="eastAsia"/>
          <w:color w:val="000000" w:themeColor="text1"/>
          <w:sz w:val="24"/>
          <w:highlight w:val="none"/>
          <w:lang w:val="en-US" w:eastAsia="zh-CN"/>
        </w:rPr>
        <w:t xml:space="preserve">      </w:t>
      </w:r>
      <w:r>
        <w:rPr>
          <w:sz w:val="24"/>
          <w:highlight w:val="none"/>
          <w:u w:val="single"/>
        </w:rPr>
        <w:t xml:space="preserve">         </w:t>
      </w:r>
      <w:r>
        <w:rPr>
          <w:rFonts w:hint="eastAsia"/>
          <w:sz w:val="24"/>
          <w:highlight w:val="none"/>
        </w:rPr>
        <w:t>年</w:t>
      </w:r>
      <w:r>
        <w:rPr>
          <w:sz w:val="24"/>
          <w:highlight w:val="none"/>
          <w:u w:val="single"/>
        </w:rPr>
        <w:t xml:space="preserve">   </w:t>
      </w:r>
      <w:r>
        <w:rPr>
          <w:rFonts w:hint="eastAsia"/>
          <w:sz w:val="24"/>
          <w:highlight w:val="none"/>
          <w:u w:val="single"/>
          <w:lang w:val="en-US" w:eastAsia="zh-CN"/>
        </w:rPr>
        <w:t xml:space="preserve"> </w:t>
      </w:r>
      <w:r>
        <w:rPr>
          <w:sz w:val="24"/>
          <w:highlight w:val="none"/>
          <w:u w:val="single"/>
        </w:rPr>
        <w:t xml:space="preserve">   </w:t>
      </w:r>
      <w:r>
        <w:rPr>
          <w:rFonts w:hint="eastAsia"/>
          <w:sz w:val="24"/>
          <w:highlight w:val="none"/>
        </w:rPr>
        <w:t>月</w:t>
      </w:r>
      <w:r>
        <w:rPr>
          <w:sz w:val="24"/>
          <w:highlight w:val="none"/>
          <w:u w:val="single"/>
        </w:rPr>
        <w:t xml:space="preserve"> </w:t>
      </w:r>
      <w:r>
        <w:rPr>
          <w:rFonts w:hint="eastAsia"/>
          <w:sz w:val="24"/>
          <w:highlight w:val="none"/>
          <w:u w:val="single"/>
          <w:lang w:val="en-US" w:eastAsia="zh-CN"/>
        </w:rPr>
        <w:t xml:space="preserve">  </w:t>
      </w:r>
      <w:r>
        <w:rPr>
          <w:sz w:val="24"/>
          <w:highlight w:val="none"/>
          <w:u w:val="single"/>
        </w:rPr>
        <w:t xml:space="preserve">   </w:t>
      </w:r>
      <w:r>
        <w:rPr>
          <w:rFonts w:hint="eastAsia"/>
          <w:sz w:val="24"/>
          <w:highlight w:val="none"/>
        </w:rPr>
        <w:t>日</w:t>
      </w:r>
    </w:p>
    <w:p w14:paraId="36C04681">
      <w:pPr>
        <w:pStyle w:val="18"/>
        <w:shd w:val="clear"/>
        <w:ind w:firstLine="420"/>
        <w:rPr>
          <w:color w:val="000000" w:themeColor="text1"/>
          <w:highlight w:val="none"/>
        </w:rPr>
      </w:pPr>
    </w:p>
    <w:p w14:paraId="53415981">
      <w:pPr>
        <w:pStyle w:val="18"/>
        <w:shd w:val="clear"/>
        <w:ind w:firstLine="420"/>
        <w:rPr>
          <w:color w:val="000000" w:themeColor="text1"/>
          <w:highlight w:val="none"/>
        </w:rPr>
      </w:pPr>
    </w:p>
    <w:p w14:paraId="7C8FC895">
      <w:pPr>
        <w:widowControl/>
        <w:shd w:val="clear"/>
        <w:ind w:firstLine="422"/>
        <w:jc w:val="left"/>
        <w:rPr>
          <w:rFonts w:eastAsia="黑体"/>
          <w:color w:val="000000" w:themeColor="text1"/>
          <w:sz w:val="32"/>
          <w:szCs w:val="20"/>
          <w:highlight w:val="none"/>
        </w:rPr>
      </w:pPr>
      <w:r>
        <w:rPr>
          <w:b/>
          <w:color w:val="000000" w:themeColor="text1"/>
          <w:highlight w:val="none"/>
        </w:rPr>
        <w:br w:type="page"/>
      </w:r>
    </w:p>
    <w:p w14:paraId="7D70757A">
      <w:pPr>
        <w:pStyle w:val="2"/>
        <w:shd w:val="clear"/>
        <w:spacing w:before="0" w:after="0" w:line="240" w:lineRule="auto"/>
        <w:ind w:firstLine="0" w:firstLineChars="0"/>
        <w:jc w:val="center"/>
        <w:rPr>
          <w:rFonts w:ascii="Times New Roman" w:hAnsi="Times New Roman"/>
          <w:b w:val="0"/>
          <w:color w:val="000000" w:themeColor="text1"/>
          <w:highlight w:val="none"/>
        </w:rPr>
      </w:pPr>
      <w:bookmarkStart w:id="231" w:name="_Toc31327"/>
      <w:bookmarkStart w:id="232" w:name="_Toc28707"/>
      <w:r>
        <w:rPr>
          <w:rFonts w:ascii="Times New Roman" w:hAnsi="Times New Roman"/>
          <w:b w:val="0"/>
          <w:color w:val="000000" w:themeColor="text1"/>
          <w:highlight w:val="none"/>
        </w:rPr>
        <w:t>三、法定代表人授权委托书</w:t>
      </w:r>
      <w:bookmarkEnd w:id="231"/>
      <w:bookmarkEnd w:id="232"/>
    </w:p>
    <w:p w14:paraId="61179647">
      <w:pPr>
        <w:shd w:val="clear"/>
        <w:spacing w:line="400" w:lineRule="atLeast"/>
        <w:ind w:firstLine="420"/>
        <w:rPr>
          <w:color w:val="000000" w:themeColor="text1"/>
          <w:szCs w:val="21"/>
          <w:highlight w:val="none"/>
        </w:rPr>
      </w:pPr>
    </w:p>
    <w:p w14:paraId="2B545FCE">
      <w:pPr>
        <w:shd w:val="clear"/>
        <w:topLinePunct/>
        <w:spacing w:line="400" w:lineRule="atLeast"/>
        <w:ind w:firstLine="480"/>
        <w:rPr>
          <w:color w:val="000000" w:themeColor="text1"/>
          <w:sz w:val="24"/>
          <w:highlight w:val="none"/>
        </w:rPr>
      </w:pPr>
      <w:r>
        <w:rPr>
          <w:color w:val="000000" w:themeColor="text1"/>
          <w:sz w:val="24"/>
          <w:highlight w:val="none"/>
        </w:rPr>
        <w:t>本人</w:t>
      </w:r>
      <w:r>
        <w:rPr>
          <w:rFonts w:hint="eastAsia"/>
          <w:color w:val="000000" w:themeColor="text1"/>
          <w:sz w:val="24"/>
          <w:highlight w:val="none"/>
          <w:u w:val="single"/>
          <w:lang w:val="en-US" w:eastAsia="zh-CN"/>
        </w:rPr>
        <w:t xml:space="preserve">      </w:t>
      </w:r>
      <w:r>
        <w:rPr>
          <w:color w:val="000000" w:themeColor="text1"/>
          <w:sz w:val="24"/>
          <w:highlight w:val="none"/>
        </w:rPr>
        <w:t>（姓名）系</w:t>
      </w:r>
      <w:r>
        <w:rPr>
          <w:rFonts w:hint="eastAsia"/>
          <w:color w:val="000000" w:themeColor="text1"/>
          <w:sz w:val="24"/>
          <w:highlight w:val="none"/>
          <w:u w:val="single"/>
          <w:lang w:val="en-US" w:eastAsia="zh-CN"/>
        </w:rPr>
        <w:t xml:space="preserve">     </w:t>
      </w:r>
      <w:r>
        <w:rPr>
          <w:color w:val="000000" w:themeColor="text1"/>
          <w:sz w:val="24"/>
          <w:highlight w:val="none"/>
        </w:rPr>
        <w:t>（供应商）的法定代表人，现委托</w:t>
      </w:r>
      <w:r>
        <w:rPr>
          <w:rFonts w:hint="eastAsia"/>
          <w:color w:val="000000" w:themeColor="text1"/>
          <w:sz w:val="24"/>
          <w:highlight w:val="none"/>
          <w:u w:val="single"/>
          <w:lang w:val="en-US" w:eastAsia="zh-CN"/>
        </w:rPr>
        <w:t xml:space="preserve">     </w:t>
      </w:r>
      <w:r>
        <w:rPr>
          <w:color w:val="000000" w:themeColor="text1"/>
          <w:sz w:val="24"/>
          <w:highlight w:val="none"/>
        </w:rPr>
        <w:t>（姓名）为我方代理人。代理人根据授权，以我方名义签署、澄清、说明、补正、递交、撤回、修改</w:t>
      </w:r>
      <w:r>
        <w:rPr>
          <w:rFonts w:hint="eastAsia"/>
          <w:color w:val="000000" w:themeColor="text1"/>
          <w:sz w:val="24"/>
          <w:highlight w:val="none"/>
          <w:u w:val="single"/>
          <w:lang w:val="en-US" w:eastAsia="zh-CN"/>
        </w:rPr>
        <w:t xml:space="preserve"> </w:t>
      </w:r>
      <w:r>
        <w:rPr>
          <w:rFonts w:hint="eastAsia"/>
          <w:color w:val="000000" w:themeColor="text1"/>
          <w:sz w:val="24"/>
          <w:highlight w:val="none"/>
          <w:u w:val="single"/>
          <w:lang w:eastAsia="zh-CN"/>
        </w:rPr>
        <w:t>物流集散道路工程EPC项目-道路工程劳务</w:t>
      </w:r>
      <w:r>
        <w:rPr>
          <w:rFonts w:hint="eastAsia"/>
          <w:color w:val="000000" w:themeColor="text1"/>
          <w:sz w:val="24"/>
          <w:highlight w:val="none"/>
          <w:u w:val="single"/>
          <w:lang w:val="en-US" w:eastAsia="zh-CN"/>
        </w:rPr>
        <w:t xml:space="preserve"> </w:t>
      </w:r>
      <w:r>
        <w:rPr>
          <w:color w:val="000000" w:themeColor="text1"/>
          <w:sz w:val="24"/>
          <w:highlight w:val="none"/>
        </w:rPr>
        <w:t>响应文件、签订合同和处理有关事宜，其法律后果由我方承担。</w:t>
      </w:r>
    </w:p>
    <w:p w14:paraId="36E50B98">
      <w:pPr>
        <w:shd w:val="clear"/>
        <w:spacing w:line="400" w:lineRule="atLeast"/>
        <w:ind w:firstLine="480"/>
        <w:rPr>
          <w:color w:val="000000" w:themeColor="text1"/>
          <w:sz w:val="24"/>
          <w:highlight w:val="none"/>
        </w:rPr>
      </w:pPr>
      <w:r>
        <w:rPr>
          <w:color w:val="000000" w:themeColor="text1"/>
          <w:sz w:val="24"/>
          <w:highlight w:val="none"/>
        </w:rPr>
        <w:t>委托期限：</w:t>
      </w:r>
      <w:r>
        <w:rPr>
          <w:color w:val="000000" w:themeColor="text1"/>
          <w:sz w:val="24"/>
          <w:highlight w:val="none"/>
          <w:u w:val="single"/>
        </w:rPr>
        <w:t>同</w:t>
      </w:r>
      <w:r>
        <w:rPr>
          <w:rFonts w:hint="eastAsia"/>
          <w:color w:val="000000" w:themeColor="text1"/>
          <w:sz w:val="24"/>
          <w:highlight w:val="none"/>
          <w:u w:val="single"/>
        </w:rPr>
        <w:t>谈判</w:t>
      </w:r>
      <w:r>
        <w:rPr>
          <w:color w:val="000000" w:themeColor="text1"/>
          <w:sz w:val="24"/>
          <w:highlight w:val="none"/>
          <w:u w:val="single"/>
        </w:rPr>
        <w:t>有效期</w:t>
      </w:r>
      <w:r>
        <w:rPr>
          <w:color w:val="000000" w:themeColor="text1"/>
          <w:sz w:val="24"/>
          <w:highlight w:val="none"/>
        </w:rPr>
        <w:t>。</w:t>
      </w:r>
    </w:p>
    <w:p w14:paraId="769AE321">
      <w:pPr>
        <w:shd w:val="clear"/>
        <w:spacing w:line="400" w:lineRule="atLeast"/>
        <w:ind w:firstLine="480"/>
        <w:rPr>
          <w:color w:val="000000" w:themeColor="text1"/>
          <w:sz w:val="24"/>
          <w:highlight w:val="none"/>
        </w:rPr>
      </w:pPr>
      <w:r>
        <w:rPr>
          <w:color w:val="000000" w:themeColor="text1"/>
          <w:sz w:val="24"/>
          <w:highlight w:val="none"/>
        </w:rPr>
        <w:t>代理人无转委托权。</w:t>
      </w:r>
    </w:p>
    <w:p w14:paraId="0C142235">
      <w:pPr>
        <w:shd w:val="clear"/>
        <w:spacing w:line="400" w:lineRule="atLeast"/>
        <w:ind w:firstLine="420"/>
        <w:rPr>
          <w:color w:val="000000" w:themeColor="text1"/>
          <w:sz w:val="24"/>
          <w:highlight w:val="none"/>
        </w:rPr>
      </w:pPr>
      <w:r>
        <w:rPr>
          <w:color w:val="000000" w:themeColor="text1"/>
          <w:highlight w:val="none"/>
        </w:rPr>
        <w:pict>
          <v:shape id="Text Box 2" o:spid="_x0000_s3074" o:spt="202" type="#_x0000_t202" style="position:absolute;left:0pt;margin-left:6.1pt;margin-top:6.45pt;height:221.1pt;width:433.6pt;z-index:251661312;mso-width-relative:page;mso-height-relative:page;" coordsize="21600,21600" o:gfxdata="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JQfgQvZAAAA&#10;CQEAAA8AAAAAAAAAAQAgAAAAIgAAAGRycy9kb3ducmV2LnhtbFBLAQIUABQAAAAIAIdO4kDtq0Wx&#10;HAIAAGUEAAAOAAAAAAAAAAEAIAAAACgBAABkcnMvZTJvRG9jLnhtbFBLBQYAAAAABgAGAFkBAAC2&#10;BQAAAAA=&#10;">
            <v:path/>
            <v:fill focussize="0,0"/>
            <v:stroke joinstyle="miter"/>
            <v:imagedata o:title=""/>
            <o:lock v:ext="edit"/>
            <v:textbox>
              <w:txbxContent>
                <w:p w14:paraId="3037BBA1">
                  <w:pPr>
                    <w:pStyle w:val="45"/>
                    <w:snapToGrid w:val="0"/>
                    <w:spacing w:line="360" w:lineRule="auto"/>
                    <w:ind w:firstLine="480"/>
                    <w:rPr>
                      <w:bCs/>
                    </w:rPr>
                  </w:pPr>
                  <w:r>
                    <w:rPr>
                      <w:rFonts w:hint="eastAsia"/>
                      <w:bCs/>
                    </w:rPr>
                    <w:t>附代理人身份证复印件：</w:t>
                  </w:r>
                </w:p>
                <w:p w14:paraId="12EA2935">
                  <w:pPr>
                    <w:ind w:firstLine="420"/>
                  </w:pPr>
                </w:p>
              </w:txbxContent>
            </v:textbox>
          </v:shape>
        </w:pict>
      </w:r>
    </w:p>
    <w:p w14:paraId="25C54661">
      <w:pPr>
        <w:shd w:val="clear"/>
        <w:spacing w:line="400" w:lineRule="atLeast"/>
        <w:ind w:firstLine="480"/>
        <w:rPr>
          <w:color w:val="000000" w:themeColor="text1"/>
          <w:sz w:val="24"/>
          <w:highlight w:val="none"/>
        </w:rPr>
      </w:pPr>
    </w:p>
    <w:p w14:paraId="5939B7CC">
      <w:pPr>
        <w:shd w:val="clear"/>
        <w:spacing w:line="400" w:lineRule="atLeast"/>
        <w:ind w:firstLine="480"/>
        <w:rPr>
          <w:color w:val="000000" w:themeColor="text1"/>
          <w:sz w:val="24"/>
          <w:highlight w:val="none"/>
        </w:rPr>
      </w:pPr>
    </w:p>
    <w:p w14:paraId="425836CC">
      <w:pPr>
        <w:shd w:val="clear"/>
        <w:spacing w:line="400" w:lineRule="atLeast"/>
        <w:ind w:firstLine="480"/>
        <w:rPr>
          <w:color w:val="000000" w:themeColor="text1"/>
          <w:sz w:val="24"/>
          <w:highlight w:val="none"/>
        </w:rPr>
      </w:pPr>
    </w:p>
    <w:p w14:paraId="266524A2">
      <w:pPr>
        <w:shd w:val="clear"/>
        <w:spacing w:line="400" w:lineRule="atLeast"/>
        <w:ind w:firstLine="480"/>
        <w:rPr>
          <w:color w:val="000000" w:themeColor="text1"/>
          <w:sz w:val="24"/>
          <w:highlight w:val="none"/>
        </w:rPr>
      </w:pPr>
    </w:p>
    <w:p w14:paraId="1561DBD5">
      <w:pPr>
        <w:shd w:val="clear"/>
        <w:spacing w:line="400" w:lineRule="atLeast"/>
        <w:ind w:firstLine="480"/>
        <w:rPr>
          <w:color w:val="000000" w:themeColor="text1"/>
          <w:sz w:val="24"/>
          <w:highlight w:val="none"/>
        </w:rPr>
      </w:pPr>
    </w:p>
    <w:p w14:paraId="3E3FC828">
      <w:pPr>
        <w:shd w:val="clear"/>
        <w:spacing w:line="400" w:lineRule="atLeast"/>
        <w:ind w:firstLine="480"/>
        <w:rPr>
          <w:color w:val="000000" w:themeColor="text1"/>
          <w:sz w:val="24"/>
          <w:highlight w:val="none"/>
        </w:rPr>
      </w:pPr>
    </w:p>
    <w:p w14:paraId="71EF68FC">
      <w:pPr>
        <w:shd w:val="clear"/>
        <w:spacing w:line="400" w:lineRule="atLeast"/>
        <w:ind w:firstLine="480"/>
        <w:rPr>
          <w:color w:val="000000" w:themeColor="text1"/>
          <w:sz w:val="24"/>
          <w:highlight w:val="none"/>
        </w:rPr>
      </w:pPr>
    </w:p>
    <w:p w14:paraId="40F67726">
      <w:pPr>
        <w:shd w:val="clear"/>
        <w:spacing w:line="400" w:lineRule="atLeast"/>
        <w:ind w:firstLine="480"/>
        <w:rPr>
          <w:color w:val="000000" w:themeColor="text1"/>
          <w:sz w:val="24"/>
          <w:highlight w:val="none"/>
        </w:rPr>
      </w:pPr>
    </w:p>
    <w:p w14:paraId="2DDD812F">
      <w:pPr>
        <w:shd w:val="clear"/>
        <w:spacing w:line="400" w:lineRule="atLeast"/>
        <w:ind w:firstLine="480"/>
        <w:rPr>
          <w:color w:val="000000" w:themeColor="text1"/>
          <w:sz w:val="24"/>
          <w:highlight w:val="none"/>
        </w:rPr>
      </w:pPr>
    </w:p>
    <w:p w14:paraId="4895EFC2">
      <w:pPr>
        <w:shd w:val="clear"/>
        <w:spacing w:line="400" w:lineRule="atLeast"/>
        <w:ind w:firstLine="480"/>
        <w:rPr>
          <w:color w:val="000000" w:themeColor="text1"/>
          <w:sz w:val="24"/>
          <w:highlight w:val="none"/>
        </w:rPr>
      </w:pPr>
    </w:p>
    <w:p w14:paraId="69F30687">
      <w:pPr>
        <w:shd w:val="clear"/>
        <w:spacing w:line="400" w:lineRule="atLeast"/>
        <w:ind w:firstLine="480"/>
        <w:rPr>
          <w:color w:val="000000" w:themeColor="text1"/>
          <w:sz w:val="24"/>
          <w:highlight w:val="none"/>
        </w:rPr>
      </w:pPr>
    </w:p>
    <w:p w14:paraId="7DF2C336">
      <w:pPr>
        <w:shd w:val="clear"/>
        <w:spacing w:line="400" w:lineRule="atLeast"/>
        <w:ind w:firstLine="4108" w:firstLineChars="1712"/>
        <w:jc w:val="left"/>
        <w:rPr>
          <w:color w:val="000000" w:themeColor="text1"/>
          <w:sz w:val="24"/>
          <w:highlight w:val="none"/>
        </w:rPr>
      </w:pPr>
    </w:p>
    <w:p w14:paraId="6A7A172E">
      <w:pPr>
        <w:shd w:val="clear"/>
        <w:spacing w:line="400" w:lineRule="atLeast"/>
        <w:ind w:firstLine="4108" w:firstLineChars="1712"/>
        <w:jc w:val="left"/>
        <w:rPr>
          <w:color w:val="000000" w:themeColor="text1"/>
          <w:sz w:val="24"/>
          <w:highlight w:val="none"/>
        </w:rPr>
      </w:pPr>
      <w:r>
        <w:rPr>
          <w:color w:val="000000" w:themeColor="text1"/>
          <w:sz w:val="24"/>
          <w:highlight w:val="none"/>
        </w:rPr>
        <w:t>供应商：</w:t>
      </w:r>
      <w:r>
        <w:rPr>
          <w:sz w:val="24"/>
          <w:highlight w:val="none"/>
          <w:u w:val="single"/>
        </w:rPr>
        <w:t xml:space="preserve">                 </w:t>
      </w:r>
      <w:r>
        <w:rPr>
          <w:color w:val="000000" w:themeColor="text1"/>
          <w:sz w:val="24"/>
          <w:highlight w:val="none"/>
        </w:rPr>
        <w:t>（盖单位章）</w:t>
      </w:r>
    </w:p>
    <w:p w14:paraId="596329AE">
      <w:pPr>
        <w:shd w:val="clear"/>
        <w:spacing w:line="400" w:lineRule="atLeast"/>
        <w:ind w:firstLine="4108" w:firstLineChars="1712"/>
        <w:jc w:val="left"/>
        <w:rPr>
          <w:color w:val="000000" w:themeColor="text1"/>
          <w:sz w:val="24"/>
          <w:highlight w:val="none"/>
        </w:rPr>
      </w:pPr>
    </w:p>
    <w:p w14:paraId="4DFE2209">
      <w:pPr>
        <w:shd w:val="clear"/>
        <w:spacing w:line="400" w:lineRule="atLeast"/>
        <w:ind w:firstLine="4108" w:firstLineChars="1712"/>
        <w:jc w:val="left"/>
        <w:rPr>
          <w:color w:val="000000" w:themeColor="text1"/>
          <w:sz w:val="24"/>
          <w:highlight w:val="none"/>
        </w:rPr>
      </w:pPr>
      <w:r>
        <w:rPr>
          <w:color w:val="000000" w:themeColor="text1"/>
          <w:sz w:val="24"/>
          <w:highlight w:val="none"/>
        </w:rPr>
        <w:t>法定代表人：</w:t>
      </w:r>
      <w:r>
        <w:rPr>
          <w:sz w:val="24"/>
          <w:highlight w:val="none"/>
          <w:u w:val="single"/>
        </w:rPr>
        <w:t xml:space="preserve">                 </w:t>
      </w:r>
      <w:r>
        <w:rPr>
          <w:color w:val="000000" w:themeColor="text1"/>
          <w:sz w:val="24"/>
          <w:highlight w:val="none"/>
        </w:rPr>
        <w:t>（签字）</w:t>
      </w:r>
    </w:p>
    <w:p w14:paraId="35EFD8A7">
      <w:pPr>
        <w:shd w:val="clear"/>
        <w:spacing w:line="400" w:lineRule="atLeast"/>
        <w:ind w:firstLine="4108" w:firstLineChars="1712"/>
        <w:jc w:val="left"/>
        <w:rPr>
          <w:color w:val="000000" w:themeColor="text1"/>
          <w:sz w:val="24"/>
          <w:highlight w:val="none"/>
        </w:rPr>
      </w:pPr>
    </w:p>
    <w:p w14:paraId="52C35011">
      <w:pPr>
        <w:shd w:val="clear"/>
        <w:spacing w:line="400" w:lineRule="atLeast"/>
        <w:ind w:firstLine="4108" w:firstLineChars="1712"/>
        <w:jc w:val="left"/>
        <w:rPr>
          <w:color w:val="000000" w:themeColor="text1"/>
          <w:sz w:val="24"/>
          <w:highlight w:val="none"/>
        </w:rPr>
      </w:pPr>
      <w:r>
        <w:rPr>
          <w:color w:val="000000" w:themeColor="text1"/>
          <w:sz w:val="24"/>
          <w:highlight w:val="none"/>
        </w:rPr>
        <w:t>身份证号码：</w:t>
      </w:r>
      <w:r>
        <w:rPr>
          <w:sz w:val="24"/>
          <w:highlight w:val="none"/>
          <w:u w:val="single"/>
        </w:rPr>
        <w:t xml:space="preserve">                  </w:t>
      </w:r>
    </w:p>
    <w:p w14:paraId="20418C16">
      <w:pPr>
        <w:shd w:val="clear"/>
        <w:spacing w:line="400" w:lineRule="atLeast"/>
        <w:ind w:firstLine="4108" w:firstLineChars="1712"/>
        <w:jc w:val="left"/>
        <w:rPr>
          <w:color w:val="000000" w:themeColor="text1"/>
          <w:sz w:val="24"/>
          <w:highlight w:val="none"/>
        </w:rPr>
      </w:pPr>
    </w:p>
    <w:p w14:paraId="2DA09A89">
      <w:pPr>
        <w:shd w:val="clear"/>
        <w:spacing w:line="400" w:lineRule="atLeast"/>
        <w:ind w:firstLine="4108" w:firstLineChars="1712"/>
        <w:jc w:val="left"/>
        <w:rPr>
          <w:color w:val="000000" w:themeColor="text1"/>
          <w:sz w:val="24"/>
          <w:highlight w:val="none"/>
        </w:rPr>
      </w:pPr>
      <w:r>
        <w:rPr>
          <w:color w:val="000000" w:themeColor="text1"/>
          <w:sz w:val="24"/>
          <w:highlight w:val="none"/>
        </w:rPr>
        <w:t>委托代理人：</w:t>
      </w:r>
      <w:r>
        <w:rPr>
          <w:sz w:val="24"/>
          <w:highlight w:val="none"/>
          <w:u w:val="single"/>
        </w:rPr>
        <w:t xml:space="preserve">                  </w:t>
      </w:r>
      <w:r>
        <w:rPr>
          <w:color w:val="000000" w:themeColor="text1"/>
          <w:sz w:val="24"/>
          <w:highlight w:val="none"/>
        </w:rPr>
        <w:t>（签字）</w:t>
      </w:r>
    </w:p>
    <w:p w14:paraId="4E1D1AA3">
      <w:pPr>
        <w:shd w:val="clear"/>
        <w:spacing w:line="400" w:lineRule="atLeast"/>
        <w:ind w:firstLine="4108" w:firstLineChars="1712"/>
        <w:jc w:val="left"/>
        <w:rPr>
          <w:color w:val="000000" w:themeColor="text1"/>
          <w:sz w:val="24"/>
          <w:highlight w:val="none"/>
        </w:rPr>
      </w:pPr>
    </w:p>
    <w:p w14:paraId="2DAC4E91">
      <w:pPr>
        <w:shd w:val="clear"/>
        <w:spacing w:line="400" w:lineRule="atLeast"/>
        <w:ind w:firstLine="4108" w:firstLineChars="1712"/>
        <w:jc w:val="left"/>
        <w:rPr>
          <w:color w:val="000000" w:themeColor="text1"/>
          <w:sz w:val="24"/>
          <w:highlight w:val="none"/>
        </w:rPr>
      </w:pPr>
      <w:r>
        <w:rPr>
          <w:color w:val="000000" w:themeColor="text1"/>
          <w:sz w:val="24"/>
          <w:highlight w:val="none"/>
        </w:rPr>
        <w:t>身份证号码：</w:t>
      </w:r>
      <w:r>
        <w:rPr>
          <w:sz w:val="24"/>
          <w:highlight w:val="none"/>
          <w:u w:val="single"/>
        </w:rPr>
        <w:t xml:space="preserve">                 </w:t>
      </w:r>
    </w:p>
    <w:p w14:paraId="1BBEBCF1">
      <w:pPr>
        <w:shd w:val="clear"/>
        <w:spacing w:line="400" w:lineRule="atLeast"/>
        <w:ind w:firstLine="3595" w:firstLineChars="1712"/>
        <w:jc w:val="left"/>
        <w:rPr>
          <w:color w:val="000000" w:themeColor="text1"/>
          <w:szCs w:val="21"/>
          <w:highlight w:val="none"/>
        </w:rPr>
      </w:pPr>
    </w:p>
    <w:p w14:paraId="7F6BA276">
      <w:pPr>
        <w:shd w:val="clear"/>
        <w:spacing w:line="400" w:lineRule="atLeast"/>
        <w:ind w:firstLine="4468" w:firstLineChars="1862"/>
        <w:jc w:val="left"/>
        <w:rPr>
          <w:color w:val="000000" w:themeColor="text1"/>
          <w:sz w:val="24"/>
          <w:highlight w:val="none"/>
        </w:rPr>
      </w:pPr>
      <w:r>
        <w:rPr>
          <w:sz w:val="24"/>
          <w:highlight w:val="none"/>
          <w:u w:val="single"/>
        </w:rPr>
        <w:t xml:space="preserve">       </w:t>
      </w:r>
      <w:r>
        <w:rPr>
          <w:rFonts w:hint="eastAsia"/>
          <w:sz w:val="24"/>
          <w:highlight w:val="none"/>
        </w:rPr>
        <w:t>年</w:t>
      </w:r>
      <w:r>
        <w:rPr>
          <w:sz w:val="24"/>
          <w:highlight w:val="none"/>
          <w:u w:val="single"/>
        </w:rPr>
        <w:t xml:space="preserve">       </w:t>
      </w:r>
      <w:r>
        <w:rPr>
          <w:rFonts w:hint="eastAsia"/>
          <w:sz w:val="24"/>
          <w:highlight w:val="none"/>
        </w:rPr>
        <w:t>月</w:t>
      </w:r>
      <w:r>
        <w:rPr>
          <w:sz w:val="24"/>
          <w:highlight w:val="none"/>
          <w:u w:val="single"/>
        </w:rPr>
        <w:t xml:space="preserve">       </w:t>
      </w:r>
      <w:r>
        <w:rPr>
          <w:rFonts w:hint="eastAsia"/>
          <w:sz w:val="24"/>
          <w:highlight w:val="none"/>
        </w:rPr>
        <w:t>日</w:t>
      </w:r>
    </w:p>
    <w:bookmarkEnd w:id="223"/>
    <w:bookmarkEnd w:id="224"/>
    <w:bookmarkEnd w:id="225"/>
    <w:bookmarkEnd w:id="226"/>
    <w:bookmarkEnd w:id="227"/>
    <w:bookmarkEnd w:id="228"/>
    <w:p w14:paraId="7CA7A11D">
      <w:pPr>
        <w:shd w:val="clear"/>
        <w:ind w:firstLine="420"/>
        <w:rPr>
          <w:color w:val="000000" w:themeColor="text1"/>
          <w:highlight w:val="none"/>
        </w:rPr>
      </w:pPr>
      <w:bookmarkStart w:id="233" w:name="_Toc443200896"/>
      <w:bookmarkStart w:id="234" w:name="_Toc144974863"/>
      <w:bookmarkStart w:id="235" w:name="_Toc152042584"/>
      <w:bookmarkStart w:id="236" w:name="_Toc152045795"/>
      <w:bookmarkStart w:id="237" w:name="_Toc247527835"/>
      <w:bookmarkStart w:id="238" w:name="_Toc247514287"/>
      <w:r>
        <w:rPr>
          <w:color w:val="000000" w:themeColor="text1"/>
          <w:highlight w:val="none"/>
        </w:rPr>
        <w:br w:type="page"/>
      </w:r>
    </w:p>
    <w:p w14:paraId="72B6E9C2">
      <w:pPr>
        <w:pStyle w:val="2"/>
        <w:numPr>
          <w:ilvl w:val="0"/>
          <w:numId w:val="0"/>
        </w:numPr>
        <w:shd w:val="clear"/>
        <w:spacing w:before="0" w:after="0" w:line="240" w:lineRule="auto"/>
        <w:ind w:leftChars="200"/>
        <w:jc w:val="center"/>
        <w:rPr>
          <w:rFonts w:ascii="Times New Roman" w:hAnsi="Times New Roman"/>
          <w:b w:val="0"/>
          <w:color w:val="000000" w:themeColor="text1"/>
          <w:highlight w:val="none"/>
        </w:rPr>
      </w:pPr>
      <w:bookmarkStart w:id="239" w:name="_Toc26231"/>
      <w:bookmarkStart w:id="240" w:name="_Toc898"/>
      <w:r>
        <w:rPr>
          <w:rFonts w:hint="eastAsia" w:ascii="Times New Roman" w:hAnsi="Times New Roman"/>
          <w:b w:val="0"/>
          <w:color w:val="000000" w:themeColor="text1"/>
          <w:highlight w:val="none"/>
          <w:lang w:eastAsia="zh-CN"/>
        </w:rPr>
        <w:t>四、</w:t>
      </w:r>
      <w:r>
        <w:rPr>
          <w:rFonts w:ascii="Times New Roman" w:hAnsi="Times New Roman"/>
          <w:b w:val="0"/>
          <w:color w:val="000000" w:themeColor="text1"/>
          <w:highlight w:val="none"/>
        </w:rPr>
        <w:t>供应商承诺书</w:t>
      </w:r>
      <w:bookmarkEnd w:id="239"/>
      <w:bookmarkEnd w:id="240"/>
    </w:p>
    <w:p w14:paraId="484D287B">
      <w:pPr>
        <w:numPr>
          <w:ilvl w:val="0"/>
          <w:numId w:val="0"/>
        </w:numPr>
        <w:shd w:val="clear"/>
        <w:ind w:leftChars="200"/>
        <w:rPr>
          <w:highlight w:val="none"/>
        </w:rPr>
      </w:pPr>
    </w:p>
    <w:p w14:paraId="2AED4717">
      <w:pPr>
        <w:shd w:val="clear"/>
        <w:spacing w:line="400" w:lineRule="atLeast"/>
        <w:ind w:firstLine="0" w:firstLineChars="0"/>
        <w:rPr>
          <w:rFonts w:hint="eastAsia" w:eastAsia="宋体"/>
          <w:color w:val="000000" w:themeColor="text1"/>
          <w:sz w:val="24"/>
          <w:highlight w:val="none"/>
          <w:lang w:eastAsia="zh-CN"/>
        </w:rPr>
      </w:pPr>
      <w:r>
        <w:rPr>
          <w:color w:val="000000" w:themeColor="text1"/>
          <w:sz w:val="24"/>
          <w:highlight w:val="none"/>
        </w:rPr>
        <w:t>致：</w:t>
      </w:r>
      <w:r>
        <w:rPr>
          <w:rFonts w:hint="eastAsia"/>
          <w:color w:val="000000" w:themeColor="text1"/>
          <w:sz w:val="24"/>
          <w:highlight w:val="none"/>
          <w:u w:val="single"/>
          <w:lang w:eastAsia="zh-CN"/>
        </w:rPr>
        <w:t>连云港徐圩城建工程有限公司</w:t>
      </w:r>
    </w:p>
    <w:p w14:paraId="58785E03">
      <w:pPr>
        <w:shd w:val="clear"/>
        <w:adjustRightInd w:val="0"/>
        <w:snapToGrid w:val="0"/>
        <w:ind w:firstLine="480"/>
        <w:rPr>
          <w:rFonts w:ascii="宋体" w:hAnsi="宋体"/>
          <w:sz w:val="24"/>
          <w:highlight w:val="none"/>
        </w:rPr>
      </w:pPr>
      <w:r>
        <w:rPr>
          <w:rFonts w:ascii="宋体" w:hAnsi="宋体"/>
          <w:sz w:val="24"/>
          <w:highlight w:val="none"/>
        </w:rPr>
        <w:t>本人</w:t>
      </w:r>
      <w:r>
        <w:rPr>
          <w:rFonts w:ascii="宋体" w:hAnsi="宋体"/>
          <w:sz w:val="24"/>
          <w:highlight w:val="none"/>
          <w:u w:val="single"/>
        </w:rPr>
        <w:t xml:space="preserve">         </w:t>
      </w:r>
      <w:r>
        <w:rPr>
          <w:rFonts w:ascii="宋体" w:hAnsi="宋体"/>
          <w:sz w:val="24"/>
          <w:highlight w:val="none"/>
        </w:rPr>
        <w:t>（姓名）以</w:t>
      </w:r>
      <w:r>
        <w:rPr>
          <w:rFonts w:ascii="宋体" w:hAnsi="宋体"/>
          <w:sz w:val="24"/>
          <w:highlight w:val="none"/>
          <w:u w:val="single"/>
        </w:rPr>
        <w:t xml:space="preserve">       </w:t>
      </w:r>
      <w:r>
        <w:rPr>
          <w:rFonts w:hint="eastAsia" w:ascii="宋体" w:hAnsi="宋体"/>
          <w:sz w:val="24"/>
          <w:highlight w:val="none"/>
          <w:u w:val="single"/>
        </w:rPr>
        <w:t xml:space="preserve">     </w:t>
      </w:r>
      <w:r>
        <w:rPr>
          <w:rFonts w:ascii="宋体" w:hAnsi="宋体"/>
          <w:sz w:val="24"/>
          <w:highlight w:val="none"/>
          <w:u w:val="single"/>
        </w:rPr>
        <w:t xml:space="preserve">  </w:t>
      </w:r>
      <w:r>
        <w:rPr>
          <w:rFonts w:hint="eastAsia" w:ascii="宋体" w:hAnsi="宋体"/>
          <w:sz w:val="24"/>
          <w:highlight w:val="none"/>
          <w:u w:val="single"/>
        </w:rPr>
        <w:t xml:space="preserve">  </w:t>
      </w:r>
      <w:r>
        <w:rPr>
          <w:rFonts w:ascii="宋体" w:hAnsi="宋体"/>
          <w:sz w:val="24"/>
          <w:highlight w:val="none"/>
          <w:u w:val="single"/>
        </w:rPr>
        <w:t xml:space="preserve"> </w:t>
      </w:r>
      <w:r>
        <w:rPr>
          <w:rFonts w:hint="eastAsia" w:ascii="宋体" w:hAnsi="宋体"/>
          <w:sz w:val="24"/>
          <w:highlight w:val="none"/>
          <w:u w:val="single"/>
        </w:rPr>
        <w:t xml:space="preserve">  </w:t>
      </w:r>
      <w:r>
        <w:rPr>
          <w:rFonts w:ascii="宋体" w:hAnsi="宋体"/>
          <w:sz w:val="24"/>
          <w:highlight w:val="none"/>
          <w:u w:val="single"/>
        </w:rPr>
        <w:t xml:space="preserve">     </w:t>
      </w:r>
      <w:r>
        <w:rPr>
          <w:rFonts w:ascii="宋体" w:hAnsi="宋体"/>
          <w:sz w:val="24"/>
          <w:highlight w:val="none"/>
        </w:rPr>
        <w:t>（单位名称）法定代表人的资格，郑重承诺：</w:t>
      </w:r>
    </w:p>
    <w:p w14:paraId="34B63BDD">
      <w:pPr>
        <w:shd w:val="clear"/>
        <w:spacing w:line="440" w:lineRule="exact"/>
        <w:ind w:firstLine="480"/>
        <w:jc w:val="left"/>
        <w:rPr>
          <w:kern w:val="0"/>
          <w:sz w:val="24"/>
          <w:highlight w:val="none"/>
        </w:rPr>
      </w:pPr>
      <w:r>
        <w:rPr>
          <w:rFonts w:hint="eastAsia"/>
          <w:kern w:val="0"/>
          <w:sz w:val="24"/>
          <w:highlight w:val="none"/>
        </w:rPr>
        <w:t>1.</w:t>
      </w:r>
      <w:r>
        <w:rPr>
          <w:color w:val="000000" w:themeColor="text1"/>
          <w:sz w:val="24"/>
          <w:highlight w:val="none"/>
        </w:rPr>
        <w:t>我</w:t>
      </w:r>
      <w:r>
        <w:rPr>
          <w:rFonts w:hint="eastAsia"/>
          <w:color w:val="000000" w:themeColor="text1"/>
          <w:sz w:val="24"/>
          <w:highlight w:val="none"/>
        </w:rPr>
        <w:t>单位</w:t>
      </w:r>
      <w:r>
        <w:rPr>
          <w:color w:val="000000" w:themeColor="text1"/>
          <w:sz w:val="24"/>
          <w:highlight w:val="none"/>
        </w:rPr>
        <w:t>不存在</w:t>
      </w:r>
      <w:r>
        <w:rPr>
          <w:rFonts w:hint="eastAsia"/>
          <w:color w:val="000000" w:themeColor="text1"/>
          <w:sz w:val="24"/>
          <w:highlight w:val="none"/>
        </w:rPr>
        <w:t>谈判文件</w:t>
      </w:r>
      <w:r>
        <w:rPr>
          <w:color w:val="000000" w:themeColor="text1"/>
          <w:sz w:val="24"/>
          <w:highlight w:val="none"/>
        </w:rPr>
        <w:t>第二章“供应商须知”第1.4.3项规定的任何一种情形。</w:t>
      </w:r>
    </w:p>
    <w:p w14:paraId="6082091F">
      <w:pPr>
        <w:shd w:val="clear"/>
        <w:spacing w:line="440" w:lineRule="exact"/>
        <w:ind w:firstLine="480"/>
        <w:jc w:val="left"/>
        <w:rPr>
          <w:rFonts w:hint="eastAsia" w:eastAsia="宋体"/>
          <w:sz w:val="24"/>
          <w:highlight w:val="none"/>
          <w:lang w:eastAsia="zh-CN"/>
        </w:rPr>
      </w:pPr>
      <w:r>
        <w:rPr>
          <w:rFonts w:hint="eastAsia"/>
          <w:kern w:val="0"/>
          <w:sz w:val="24"/>
          <w:highlight w:val="none"/>
        </w:rPr>
        <w:t>2.我单位</w:t>
      </w:r>
      <w:r>
        <w:rPr>
          <w:kern w:val="0"/>
          <w:sz w:val="24"/>
          <w:highlight w:val="none"/>
        </w:rPr>
        <w:t>未被有关部门限制在采购项目所在地承接项目的</w:t>
      </w:r>
      <w:r>
        <w:rPr>
          <w:rFonts w:hint="eastAsia"/>
          <w:kern w:val="0"/>
          <w:sz w:val="24"/>
          <w:highlight w:val="none"/>
          <w:lang w:eastAsia="zh-CN"/>
        </w:rPr>
        <w:t>。</w:t>
      </w:r>
    </w:p>
    <w:p w14:paraId="09D90E7C">
      <w:pPr>
        <w:shd w:val="clear"/>
        <w:adjustRightInd w:val="0"/>
        <w:snapToGrid w:val="0"/>
        <w:ind w:firstLine="480"/>
        <w:rPr>
          <w:kern w:val="0"/>
          <w:sz w:val="24"/>
          <w:highlight w:val="none"/>
        </w:rPr>
      </w:pPr>
      <w:r>
        <w:rPr>
          <w:rFonts w:hint="eastAsia"/>
          <w:kern w:val="0"/>
          <w:sz w:val="24"/>
          <w:highlight w:val="none"/>
        </w:rPr>
        <w:t>3.我单位</w:t>
      </w:r>
      <w:r>
        <w:rPr>
          <w:kern w:val="0"/>
          <w:sz w:val="24"/>
          <w:highlight w:val="none"/>
        </w:rPr>
        <w:t>未被列为失信被执行人。</w:t>
      </w:r>
    </w:p>
    <w:p w14:paraId="3ED73AEE">
      <w:pPr>
        <w:shd w:val="clear"/>
        <w:adjustRightInd w:val="0"/>
        <w:snapToGrid w:val="0"/>
        <w:ind w:firstLine="480"/>
        <w:rPr>
          <w:rFonts w:hint="default" w:eastAsia="宋体"/>
          <w:kern w:val="0"/>
          <w:sz w:val="24"/>
          <w:highlight w:val="none"/>
          <w:lang w:val="en-US" w:eastAsia="zh-CN"/>
        </w:rPr>
      </w:pPr>
      <w:r>
        <w:rPr>
          <w:rFonts w:hint="eastAsia"/>
          <w:kern w:val="0"/>
          <w:sz w:val="24"/>
          <w:highlight w:val="none"/>
          <w:lang w:val="en-US" w:eastAsia="zh-CN"/>
        </w:rPr>
        <w:t>4.</w:t>
      </w:r>
      <w:r>
        <w:rPr>
          <w:rFonts w:hint="eastAsia" w:ascii="宋体" w:hAnsi="宋体"/>
          <w:sz w:val="24"/>
          <w:highlight w:val="none"/>
        </w:rPr>
        <w:t>我单位法定代表人及拟投入项目负责人近5年无行贿行为。</w:t>
      </w:r>
    </w:p>
    <w:p w14:paraId="0A202AF9">
      <w:pPr>
        <w:shd w:val="clear"/>
        <w:adjustRightInd w:val="0"/>
        <w:snapToGrid w:val="0"/>
        <w:ind w:firstLine="480"/>
        <w:rPr>
          <w:kern w:val="0"/>
          <w:sz w:val="24"/>
          <w:highlight w:val="none"/>
        </w:rPr>
      </w:pPr>
      <w:r>
        <w:rPr>
          <w:rFonts w:hint="eastAsia"/>
          <w:kern w:val="0"/>
          <w:sz w:val="24"/>
          <w:highlight w:val="none"/>
          <w:lang w:val="en-US" w:eastAsia="zh-CN"/>
        </w:rPr>
        <w:t>5</w:t>
      </w:r>
      <w:r>
        <w:rPr>
          <w:rFonts w:hint="eastAsia"/>
          <w:kern w:val="0"/>
          <w:sz w:val="24"/>
          <w:highlight w:val="none"/>
        </w:rPr>
        <w:t>.我单位若被确定为成交候选人必定按照合同要求诚信履约。</w:t>
      </w:r>
    </w:p>
    <w:p w14:paraId="21ED0F30">
      <w:pPr>
        <w:shd w:val="clear"/>
        <w:adjustRightInd w:val="0"/>
        <w:snapToGrid w:val="0"/>
        <w:ind w:firstLine="480"/>
        <w:rPr>
          <w:rFonts w:hint="eastAsia" w:ascii="宋体" w:hAnsi="宋体"/>
          <w:sz w:val="24"/>
          <w:highlight w:val="none"/>
        </w:rPr>
      </w:pPr>
      <w:r>
        <w:rPr>
          <w:rFonts w:hint="eastAsia" w:ascii="宋体" w:hAnsi="宋体"/>
          <w:sz w:val="24"/>
          <w:highlight w:val="none"/>
        </w:rPr>
        <w:t>我单位在本次谈判活动全过程出示的文件资料均是真实、有效的，无弄虚作假、出借、挂靠资质和恶意串通等违法、违规行为，我单位承诺如有虚假，愿意无条件接受被取消</w:t>
      </w:r>
      <w:r>
        <w:rPr>
          <w:rFonts w:hint="eastAsia" w:ascii="宋体" w:hAnsi="宋体"/>
          <w:sz w:val="24"/>
          <w:highlight w:val="none"/>
          <w:lang w:val="en-US" w:eastAsia="zh-CN"/>
        </w:rPr>
        <w:t>参与</w:t>
      </w:r>
      <w:r>
        <w:rPr>
          <w:rFonts w:hint="eastAsia" w:ascii="宋体" w:hAnsi="宋体"/>
          <w:sz w:val="24"/>
          <w:highlight w:val="none"/>
        </w:rPr>
        <w:t>谈判、成交或成交（候选人）资格、谈判保证金不予退还、</w:t>
      </w:r>
      <w:r>
        <w:rPr>
          <w:rFonts w:hint="eastAsia" w:ascii="宋体" w:hAnsi="宋体"/>
          <w:sz w:val="24"/>
          <w:highlight w:val="none"/>
          <w:lang w:eastAsia="zh-CN"/>
        </w:rPr>
        <w:t>履约</w:t>
      </w:r>
      <w:r>
        <w:rPr>
          <w:rFonts w:hint="eastAsia" w:ascii="宋体" w:hAnsi="宋体"/>
          <w:sz w:val="24"/>
          <w:highlight w:val="none"/>
        </w:rPr>
        <w:t>保证金不予退还</w:t>
      </w:r>
      <w:r>
        <w:rPr>
          <w:rFonts w:hint="eastAsia" w:ascii="宋体" w:hAnsi="宋体"/>
          <w:sz w:val="24"/>
          <w:highlight w:val="none"/>
          <w:lang w:eastAsia="zh-CN"/>
        </w:rPr>
        <w:t>、</w:t>
      </w:r>
      <w:r>
        <w:rPr>
          <w:rFonts w:hint="eastAsia" w:ascii="宋体" w:hAnsi="宋体"/>
          <w:sz w:val="24"/>
          <w:highlight w:val="none"/>
        </w:rPr>
        <w:t>合同无效且按发包人要求清除出场，一切损失由我单位自行承担，同时愿意接受相关处罚。</w:t>
      </w:r>
    </w:p>
    <w:p w14:paraId="5C6346A9">
      <w:pPr>
        <w:shd w:val="clear"/>
        <w:adjustRightInd w:val="0"/>
        <w:snapToGrid w:val="0"/>
        <w:ind w:firstLine="480"/>
        <w:rPr>
          <w:rFonts w:ascii="宋体" w:hAnsi="宋体"/>
          <w:bCs/>
          <w:sz w:val="24"/>
          <w:highlight w:val="none"/>
        </w:rPr>
      </w:pPr>
      <w:r>
        <w:rPr>
          <w:rFonts w:hint="eastAsia" w:ascii="宋体" w:hAnsi="宋体"/>
          <w:sz w:val="24"/>
          <w:highlight w:val="none"/>
        </w:rPr>
        <w:t>特此承诺！</w:t>
      </w:r>
    </w:p>
    <w:p w14:paraId="580DAE8E">
      <w:pPr>
        <w:shd w:val="clear"/>
        <w:spacing w:line="400" w:lineRule="atLeast"/>
        <w:ind w:firstLine="480"/>
        <w:rPr>
          <w:color w:val="000000" w:themeColor="text1"/>
          <w:sz w:val="24"/>
          <w:highlight w:val="none"/>
        </w:rPr>
      </w:pPr>
    </w:p>
    <w:p w14:paraId="75567599">
      <w:pPr>
        <w:shd w:val="clear"/>
        <w:spacing w:line="400" w:lineRule="atLeast"/>
        <w:jc w:val="right"/>
        <w:rPr>
          <w:color w:val="000000" w:themeColor="text1"/>
          <w:sz w:val="24"/>
          <w:highlight w:val="none"/>
        </w:rPr>
      </w:pPr>
      <w:r>
        <w:rPr>
          <w:color w:val="000000" w:themeColor="text1"/>
          <w:sz w:val="24"/>
          <w:highlight w:val="none"/>
        </w:rPr>
        <w:t>供应商：</w:t>
      </w:r>
      <w:r>
        <w:rPr>
          <w:rFonts w:hAnsi="宋体" w:eastAsia="宋体" w:cs="宋体"/>
          <w:sz w:val="24"/>
          <w:szCs w:val="24"/>
          <w:highlight w:val="none"/>
          <w:u w:val="single"/>
        </w:rPr>
        <w:t xml:space="preserve">                   </w:t>
      </w:r>
      <w:r>
        <w:rPr>
          <w:color w:val="000000" w:themeColor="text1"/>
          <w:sz w:val="24"/>
          <w:highlight w:val="none"/>
        </w:rPr>
        <w:t>（</w:t>
      </w:r>
      <w:r>
        <w:rPr>
          <w:rFonts w:hint="eastAsia"/>
          <w:color w:val="000000" w:themeColor="text1"/>
          <w:sz w:val="24"/>
          <w:highlight w:val="none"/>
        </w:rPr>
        <w:t>单位公章</w:t>
      </w:r>
      <w:r>
        <w:rPr>
          <w:color w:val="000000" w:themeColor="text1"/>
          <w:sz w:val="24"/>
          <w:highlight w:val="none"/>
        </w:rPr>
        <w:t>）</w:t>
      </w:r>
    </w:p>
    <w:p w14:paraId="52C5891C">
      <w:pPr>
        <w:shd w:val="clear"/>
        <w:spacing w:line="400" w:lineRule="atLeast"/>
        <w:ind w:firstLine="4108" w:firstLineChars="1712"/>
        <w:rPr>
          <w:color w:val="000000" w:themeColor="text1"/>
          <w:sz w:val="24"/>
          <w:highlight w:val="none"/>
        </w:rPr>
      </w:pPr>
    </w:p>
    <w:p w14:paraId="2D76BB9D">
      <w:pPr>
        <w:shd w:val="clear"/>
        <w:spacing w:line="400" w:lineRule="atLeast"/>
        <w:jc w:val="right"/>
        <w:rPr>
          <w:color w:val="000000" w:themeColor="text1"/>
          <w:sz w:val="24"/>
          <w:highlight w:val="none"/>
        </w:rPr>
      </w:pPr>
      <w:r>
        <w:rPr>
          <w:color w:val="000000" w:themeColor="text1"/>
          <w:sz w:val="24"/>
          <w:highlight w:val="none"/>
        </w:rPr>
        <w:t>法定代表人：</w:t>
      </w:r>
      <w:r>
        <w:rPr>
          <w:rFonts w:hAnsi="宋体" w:eastAsia="宋体" w:cs="宋体"/>
          <w:sz w:val="24"/>
          <w:szCs w:val="24"/>
          <w:highlight w:val="none"/>
          <w:u w:val="single"/>
        </w:rPr>
        <w:t xml:space="preserve">                </w:t>
      </w:r>
      <w:r>
        <w:rPr>
          <w:color w:val="000000" w:themeColor="text1"/>
          <w:sz w:val="24"/>
          <w:highlight w:val="none"/>
        </w:rPr>
        <w:t>（签字或盖章）</w:t>
      </w:r>
    </w:p>
    <w:p w14:paraId="0A922CDA">
      <w:pPr>
        <w:shd w:val="clear"/>
        <w:spacing w:line="400" w:lineRule="atLeast"/>
        <w:ind w:firstLine="4108" w:firstLineChars="1712"/>
        <w:rPr>
          <w:color w:val="000000" w:themeColor="text1"/>
          <w:sz w:val="24"/>
          <w:highlight w:val="none"/>
        </w:rPr>
      </w:pPr>
    </w:p>
    <w:p w14:paraId="084D0C62">
      <w:pPr>
        <w:shd w:val="clear"/>
        <w:spacing w:line="400" w:lineRule="atLeast"/>
        <w:jc w:val="right"/>
        <w:rPr>
          <w:color w:val="000000" w:themeColor="text1"/>
          <w:sz w:val="24"/>
          <w:highlight w:val="none"/>
        </w:rPr>
      </w:pPr>
      <w:r>
        <w:rPr>
          <w:color w:val="000000" w:themeColor="text1"/>
          <w:sz w:val="24"/>
          <w:highlight w:val="none"/>
        </w:rPr>
        <w:t>授权委托人：</w:t>
      </w:r>
      <w:r>
        <w:rPr>
          <w:rFonts w:hAnsi="宋体" w:eastAsia="宋体" w:cs="宋体"/>
          <w:sz w:val="24"/>
          <w:szCs w:val="24"/>
          <w:highlight w:val="none"/>
          <w:u w:val="single"/>
        </w:rPr>
        <w:t xml:space="preserve">                   </w:t>
      </w:r>
      <w:r>
        <w:rPr>
          <w:color w:val="000000" w:themeColor="text1"/>
          <w:sz w:val="24"/>
          <w:highlight w:val="none"/>
        </w:rPr>
        <w:t>（签字）</w:t>
      </w:r>
    </w:p>
    <w:p w14:paraId="2A549334">
      <w:pPr>
        <w:shd w:val="clear"/>
        <w:spacing w:line="400" w:lineRule="atLeast"/>
        <w:ind w:firstLine="4108" w:firstLineChars="1712"/>
        <w:rPr>
          <w:color w:val="000000" w:themeColor="text1"/>
          <w:sz w:val="24"/>
          <w:highlight w:val="none"/>
        </w:rPr>
      </w:pPr>
    </w:p>
    <w:p w14:paraId="367C766F">
      <w:pPr>
        <w:pStyle w:val="115"/>
        <w:keepNext w:val="0"/>
        <w:keepLines w:val="0"/>
        <w:pageBreakBefore w:val="0"/>
        <w:widowControl w:val="0"/>
        <w:shd w:val="clear"/>
        <w:tabs>
          <w:tab w:val="left" w:pos="5665"/>
          <w:tab w:val="right" w:pos="8360"/>
        </w:tabs>
        <w:kinsoku/>
        <w:wordWrap/>
        <w:overflowPunct/>
        <w:topLinePunct w:val="0"/>
        <w:autoSpaceDE/>
        <w:autoSpaceDN/>
        <w:bidi w:val="0"/>
        <w:snapToGrid/>
        <w:spacing w:line="400" w:lineRule="exact"/>
        <w:ind w:right="42"/>
        <w:jc w:val="right"/>
        <w:rPr>
          <w:color w:val="000000" w:themeColor="text1"/>
          <w:sz w:val="24"/>
          <w:highlight w:val="none"/>
        </w:rPr>
        <w:sectPr>
          <w:headerReference r:id="rId16" w:type="default"/>
          <w:footerReference r:id="rId17" w:type="default"/>
          <w:pgSz w:w="11905" w:h="16838"/>
          <w:pgMar w:top="1247" w:right="1247" w:bottom="1247" w:left="1247" w:header="720" w:footer="720" w:gutter="0"/>
          <w:pgBorders>
            <w:top w:val="none" w:sz="0" w:space="0"/>
            <w:left w:val="none" w:sz="0" w:space="0"/>
            <w:bottom w:val="none" w:sz="0" w:space="0"/>
            <w:right w:val="none" w:sz="0" w:space="0"/>
          </w:pgBorders>
          <w:pgNumType w:fmt="decimal"/>
          <w:cols w:space="0" w:num="1"/>
          <w:rtlGutter w:val="0"/>
          <w:docGrid w:type="lines" w:linePitch="326" w:charSpace="0"/>
        </w:sectPr>
      </w:pPr>
      <w:r>
        <w:rPr>
          <w:rFonts w:hint="eastAsia" w:hAnsi="宋体" w:eastAsia="宋体" w:cs="宋体"/>
          <w:sz w:val="24"/>
          <w:szCs w:val="24"/>
          <w:highlight w:val="none"/>
        </w:rPr>
        <w:t>日</w:t>
      </w:r>
      <w:r>
        <w:rPr>
          <w:rFonts w:hAnsi="宋体" w:eastAsia="宋体" w:cs="宋体"/>
          <w:sz w:val="24"/>
          <w:szCs w:val="24"/>
          <w:highlight w:val="none"/>
        </w:rPr>
        <w:t xml:space="preserve"> </w:t>
      </w:r>
      <w:r>
        <w:rPr>
          <w:rFonts w:hint="eastAsia" w:hAnsi="宋体" w:eastAsia="宋体" w:cs="宋体"/>
          <w:sz w:val="24"/>
          <w:szCs w:val="24"/>
          <w:highlight w:val="none"/>
          <w:lang w:val="en-US" w:eastAsia="zh-CN"/>
        </w:rPr>
        <w:t xml:space="preserve">  </w:t>
      </w:r>
      <w:r>
        <w:rPr>
          <w:rFonts w:hint="eastAsia" w:hAnsi="宋体" w:eastAsia="宋体" w:cs="宋体"/>
          <w:sz w:val="24"/>
          <w:szCs w:val="24"/>
          <w:highlight w:val="none"/>
        </w:rPr>
        <w:t>期：</w:t>
      </w:r>
      <w:r>
        <w:rPr>
          <w:rFonts w:hint="eastAsia" w:hAnsi="宋体" w:eastAsia="宋体" w:cs="宋体"/>
          <w:sz w:val="24"/>
          <w:szCs w:val="24"/>
          <w:highlight w:val="none"/>
          <w:u w:val="single"/>
        </w:rPr>
        <w:t xml:space="preserve">       </w:t>
      </w:r>
      <w:r>
        <w:rPr>
          <w:rFonts w:hint="eastAsia" w:hAnsi="宋体" w:eastAsia="宋体" w:cs="宋体"/>
          <w:sz w:val="24"/>
          <w:szCs w:val="24"/>
          <w:highlight w:val="none"/>
          <w:u w:val="none"/>
        </w:rPr>
        <w:t>年</w:t>
      </w:r>
      <w:r>
        <w:rPr>
          <w:rFonts w:hint="eastAsia" w:hAnsi="宋体" w:eastAsia="宋体" w:cs="宋体"/>
          <w:sz w:val="24"/>
          <w:szCs w:val="24"/>
          <w:highlight w:val="none"/>
          <w:u w:val="single"/>
        </w:rPr>
        <w:t xml:space="preserve">       </w:t>
      </w:r>
      <w:r>
        <w:rPr>
          <w:rFonts w:hint="eastAsia" w:hAnsi="宋体" w:eastAsia="宋体" w:cs="宋体"/>
          <w:sz w:val="24"/>
          <w:szCs w:val="24"/>
          <w:highlight w:val="none"/>
          <w:u w:val="none"/>
        </w:rPr>
        <w:t>月</w:t>
      </w:r>
      <w:r>
        <w:rPr>
          <w:rFonts w:hint="eastAsia" w:hAnsi="宋体" w:eastAsia="宋体" w:cs="宋体"/>
          <w:sz w:val="24"/>
          <w:szCs w:val="24"/>
          <w:highlight w:val="none"/>
          <w:u w:val="single"/>
        </w:rPr>
        <w:t xml:space="preserve">       </w:t>
      </w:r>
      <w:r>
        <w:rPr>
          <w:rFonts w:hint="eastAsia" w:hAnsi="宋体" w:eastAsia="宋体" w:cs="宋体"/>
          <w:sz w:val="24"/>
          <w:szCs w:val="24"/>
          <w:highlight w:val="none"/>
          <w:u w:val="none"/>
        </w:rPr>
        <w:t>日</w:t>
      </w:r>
    </w:p>
    <w:bookmarkEnd w:id="233"/>
    <w:bookmarkEnd w:id="234"/>
    <w:bookmarkEnd w:id="235"/>
    <w:bookmarkEnd w:id="236"/>
    <w:bookmarkEnd w:id="237"/>
    <w:bookmarkEnd w:id="238"/>
    <w:p w14:paraId="37157397">
      <w:pPr>
        <w:pStyle w:val="2"/>
        <w:shd w:val="clear"/>
        <w:spacing w:before="0" w:after="0" w:line="415" w:lineRule="auto"/>
        <w:ind w:firstLine="0" w:firstLineChars="0"/>
        <w:jc w:val="center"/>
        <w:outlineLvl w:val="9"/>
        <w:rPr>
          <w:rFonts w:hint="eastAsia" w:ascii="Times New Roman" w:hAnsi="Times New Roman"/>
          <w:b w:val="0"/>
          <w:bCs/>
          <w:color w:val="000000" w:themeColor="text1"/>
          <w:szCs w:val="32"/>
          <w:highlight w:val="none"/>
          <w:lang w:eastAsia="zh-CN"/>
        </w:rPr>
        <w:sectPr>
          <w:type w:val="continuous"/>
          <w:pgSz w:w="11905" w:h="16838"/>
          <w:pgMar w:top="1247" w:right="1247" w:bottom="1247" w:left="1247" w:header="720" w:footer="720" w:gutter="0"/>
          <w:pgBorders>
            <w:top w:val="none" w:sz="0" w:space="0"/>
            <w:left w:val="none" w:sz="0" w:space="0"/>
            <w:bottom w:val="none" w:sz="0" w:space="0"/>
            <w:right w:val="none" w:sz="0" w:space="0"/>
          </w:pgBorders>
          <w:pgNumType w:fmt="decimal"/>
          <w:cols w:space="0" w:num="1"/>
          <w:rtlGutter w:val="0"/>
          <w:docGrid w:type="lines" w:linePitch="326" w:charSpace="0"/>
        </w:sectPr>
      </w:pPr>
      <w:bookmarkStart w:id="241" w:name="_Toc13590"/>
      <w:bookmarkStart w:id="242" w:name="_Toc144974864"/>
      <w:bookmarkStart w:id="243" w:name="_Toc443200899"/>
      <w:bookmarkStart w:id="244" w:name="_Toc247527836"/>
      <w:bookmarkStart w:id="245" w:name="_Toc247514288"/>
      <w:bookmarkStart w:id="246" w:name="_Toc152042585"/>
      <w:bookmarkStart w:id="247" w:name="_Toc152045796"/>
    </w:p>
    <w:p w14:paraId="514BB8AB">
      <w:pPr>
        <w:pStyle w:val="2"/>
        <w:shd w:val="clear"/>
        <w:spacing w:before="0" w:after="0" w:line="415" w:lineRule="auto"/>
        <w:ind w:firstLine="0" w:firstLineChars="0"/>
        <w:jc w:val="center"/>
        <w:rPr>
          <w:rFonts w:hint="eastAsia" w:ascii="Times New Roman" w:hAnsi="Times New Roman"/>
          <w:b w:val="0"/>
          <w:bCs/>
          <w:color w:val="000000" w:themeColor="text1"/>
          <w:szCs w:val="32"/>
          <w:highlight w:val="none"/>
          <w:lang w:eastAsia="zh-CN"/>
        </w:rPr>
        <w:sectPr>
          <w:headerReference r:id="rId18" w:type="default"/>
          <w:footerReference r:id="rId19" w:type="default"/>
          <w:type w:val="continuous"/>
          <w:pgSz w:w="11905" w:h="16838"/>
          <w:pgMar w:top="1247" w:right="1247" w:bottom="1247" w:left="1247" w:header="720" w:footer="720" w:gutter="0"/>
          <w:pgBorders>
            <w:top w:val="none" w:sz="0" w:space="0"/>
            <w:left w:val="none" w:sz="0" w:space="0"/>
            <w:bottom w:val="none" w:sz="0" w:space="0"/>
            <w:right w:val="none" w:sz="0" w:space="0"/>
          </w:pgBorders>
          <w:pgNumType w:fmt="decimal"/>
          <w:cols w:space="0" w:num="1"/>
          <w:rtlGutter w:val="0"/>
          <w:docGrid w:type="lines" w:linePitch="326" w:charSpace="0"/>
        </w:sectPr>
      </w:pPr>
      <w:bookmarkStart w:id="248" w:name="_Toc23648"/>
    </w:p>
    <w:p w14:paraId="2281C68D">
      <w:pPr>
        <w:pStyle w:val="2"/>
        <w:shd w:val="clear"/>
        <w:spacing w:before="0" w:after="0" w:line="415" w:lineRule="auto"/>
        <w:ind w:firstLine="0" w:firstLineChars="0"/>
        <w:jc w:val="center"/>
        <w:rPr>
          <w:b w:val="0"/>
          <w:bCs/>
          <w:color w:val="000000" w:themeColor="text1"/>
          <w:szCs w:val="32"/>
          <w:highlight w:val="none"/>
        </w:rPr>
      </w:pPr>
      <w:r>
        <w:rPr>
          <w:rFonts w:hint="eastAsia" w:ascii="Times New Roman" w:hAnsi="Times New Roman"/>
          <w:b w:val="0"/>
          <w:bCs/>
          <w:color w:val="000000" w:themeColor="text1"/>
          <w:szCs w:val="32"/>
          <w:highlight w:val="none"/>
          <w:lang w:eastAsia="zh-CN"/>
        </w:rPr>
        <w:t>五</w:t>
      </w:r>
      <w:r>
        <w:rPr>
          <w:rFonts w:ascii="Times New Roman" w:hAnsi="Times New Roman"/>
          <w:b w:val="0"/>
          <w:bCs/>
          <w:color w:val="000000" w:themeColor="text1"/>
          <w:szCs w:val="32"/>
          <w:highlight w:val="none"/>
        </w:rPr>
        <w:t>、</w:t>
      </w:r>
      <w:r>
        <w:rPr>
          <w:b w:val="0"/>
          <w:bCs/>
          <w:color w:val="000000" w:themeColor="text1"/>
          <w:szCs w:val="32"/>
          <w:highlight w:val="none"/>
        </w:rPr>
        <w:t>供应商基本情况表</w:t>
      </w:r>
      <w:bookmarkEnd w:id="241"/>
      <w:bookmarkEnd w:id="248"/>
    </w:p>
    <w:tbl>
      <w:tblPr>
        <w:tblStyle w:val="49"/>
        <w:tblW w:w="90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2"/>
        <w:gridCol w:w="1093"/>
        <w:gridCol w:w="658"/>
        <w:gridCol w:w="1346"/>
        <w:gridCol w:w="346"/>
        <w:gridCol w:w="1413"/>
        <w:gridCol w:w="765"/>
        <w:gridCol w:w="1824"/>
      </w:tblGrid>
      <w:tr w14:paraId="352C1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12" w:type="dxa"/>
            <w:vAlign w:val="center"/>
          </w:tcPr>
          <w:p w14:paraId="78A390E2">
            <w:pPr>
              <w:keepNext w:val="0"/>
              <w:keepLines w:val="0"/>
              <w:suppressLineNumbers w:val="0"/>
              <w:shd w:val="clear"/>
              <w:spacing w:before="0" w:beforeAutospacing="0" w:after="0" w:afterAutospacing="0" w:line="400" w:lineRule="atLeast"/>
              <w:ind w:left="0" w:right="0" w:firstLine="0" w:firstLineChars="0"/>
              <w:jc w:val="center"/>
              <w:rPr>
                <w:rFonts w:hint="default"/>
                <w:color w:val="000000" w:themeColor="text1"/>
                <w:sz w:val="24"/>
                <w:highlight w:val="none"/>
              </w:rPr>
            </w:pPr>
            <w:r>
              <w:rPr>
                <w:rFonts w:hint="default"/>
                <w:color w:val="000000" w:themeColor="text1"/>
                <w:sz w:val="24"/>
                <w:highlight w:val="none"/>
              </w:rPr>
              <w:t>供应商名称</w:t>
            </w:r>
          </w:p>
        </w:tc>
        <w:tc>
          <w:tcPr>
            <w:tcW w:w="7445" w:type="dxa"/>
            <w:gridSpan w:val="7"/>
            <w:vAlign w:val="center"/>
          </w:tcPr>
          <w:p w14:paraId="55A3734C">
            <w:pPr>
              <w:keepNext w:val="0"/>
              <w:keepLines w:val="0"/>
              <w:suppressLineNumbers w:val="0"/>
              <w:shd w:val="clear"/>
              <w:spacing w:before="0" w:beforeAutospacing="0" w:after="0" w:afterAutospacing="0" w:line="400" w:lineRule="atLeast"/>
              <w:ind w:left="0" w:right="0" w:firstLine="0" w:firstLineChars="0"/>
              <w:jc w:val="center"/>
              <w:rPr>
                <w:rFonts w:hint="default"/>
                <w:color w:val="000000" w:themeColor="text1"/>
                <w:sz w:val="24"/>
                <w:highlight w:val="none"/>
              </w:rPr>
            </w:pPr>
          </w:p>
        </w:tc>
      </w:tr>
      <w:tr w14:paraId="39F5F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12" w:type="dxa"/>
            <w:vAlign w:val="center"/>
          </w:tcPr>
          <w:p w14:paraId="44982676">
            <w:pPr>
              <w:keepNext w:val="0"/>
              <w:keepLines w:val="0"/>
              <w:suppressLineNumbers w:val="0"/>
              <w:shd w:val="clear"/>
              <w:spacing w:before="0" w:beforeAutospacing="0" w:after="0" w:afterAutospacing="0" w:line="400" w:lineRule="atLeast"/>
              <w:ind w:left="0" w:right="0" w:firstLine="0" w:firstLineChars="0"/>
              <w:jc w:val="center"/>
              <w:rPr>
                <w:rFonts w:hint="default"/>
                <w:color w:val="000000" w:themeColor="text1"/>
                <w:sz w:val="24"/>
                <w:highlight w:val="none"/>
              </w:rPr>
            </w:pPr>
            <w:r>
              <w:rPr>
                <w:rFonts w:hint="default"/>
                <w:color w:val="000000" w:themeColor="text1"/>
                <w:sz w:val="24"/>
                <w:highlight w:val="none"/>
              </w:rPr>
              <w:t>注册地址</w:t>
            </w:r>
          </w:p>
        </w:tc>
        <w:tc>
          <w:tcPr>
            <w:tcW w:w="3443" w:type="dxa"/>
            <w:gridSpan w:val="4"/>
            <w:vAlign w:val="center"/>
          </w:tcPr>
          <w:p w14:paraId="5AC6FA4A">
            <w:pPr>
              <w:keepNext w:val="0"/>
              <w:keepLines w:val="0"/>
              <w:suppressLineNumbers w:val="0"/>
              <w:shd w:val="clear"/>
              <w:spacing w:before="0" w:beforeAutospacing="0" w:after="0" w:afterAutospacing="0" w:line="400" w:lineRule="atLeast"/>
              <w:ind w:left="0" w:right="0" w:firstLine="0" w:firstLineChars="0"/>
              <w:jc w:val="center"/>
              <w:rPr>
                <w:rFonts w:hint="default"/>
                <w:color w:val="000000" w:themeColor="text1"/>
                <w:sz w:val="24"/>
                <w:highlight w:val="none"/>
              </w:rPr>
            </w:pPr>
          </w:p>
        </w:tc>
        <w:tc>
          <w:tcPr>
            <w:tcW w:w="1413" w:type="dxa"/>
            <w:vAlign w:val="center"/>
          </w:tcPr>
          <w:p w14:paraId="0800A74C">
            <w:pPr>
              <w:keepNext w:val="0"/>
              <w:keepLines w:val="0"/>
              <w:suppressLineNumbers w:val="0"/>
              <w:shd w:val="clear"/>
              <w:spacing w:before="0" w:beforeAutospacing="0" w:after="0" w:afterAutospacing="0" w:line="400" w:lineRule="atLeast"/>
              <w:ind w:left="0" w:right="0" w:firstLine="0" w:firstLineChars="0"/>
              <w:jc w:val="center"/>
              <w:rPr>
                <w:rFonts w:hint="default"/>
                <w:color w:val="000000" w:themeColor="text1"/>
                <w:sz w:val="24"/>
                <w:highlight w:val="none"/>
              </w:rPr>
            </w:pPr>
            <w:r>
              <w:rPr>
                <w:rFonts w:hint="default"/>
                <w:color w:val="000000" w:themeColor="text1"/>
                <w:sz w:val="24"/>
                <w:highlight w:val="none"/>
              </w:rPr>
              <w:t>邮政编码</w:t>
            </w:r>
          </w:p>
        </w:tc>
        <w:tc>
          <w:tcPr>
            <w:tcW w:w="2589" w:type="dxa"/>
            <w:gridSpan w:val="2"/>
            <w:vAlign w:val="center"/>
          </w:tcPr>
          <w:p w14:paraId="20B1E20F">
            <w:pPr>
              <w:keepNext w:val="0"/>
              <w:keepLines w:val="0"/>
              <w:suppressLineNumbers w:val="0"/>
              <w:shd w:val="clear"/>
              <w:spacing w:before="0" w:beforeAutospacing="0" w:after="0" w:afterAutospacing="0" w:line="400" w:lineRule="atLeast"/>
              <w:ind w:left="0" w:right="0" w:firstLine="0" w:firstLineChars="0"/>
              <w:jc w:val="center"/>
              <w:rPr>
                <w:rFonts w:hint="default"/>
                <w:color w:val="000000" w:themeColor="text1"/>
                <w:sz w:val="24"/>
                <w:highlight w:val="none"/>
              </w:rPr>
            </w:pPr>
          </w:p>
        </w:tc>
      </w:tr>
      <w:tr w14:paraId="0BAC5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12" w:type="dxa"/>
            <w:vMerge w:val="restart"/>
            <w:vAlign w:val="center"/>
          </w:tcPr>
          <w:p w14:paraId="3A363121">
            <w:pPr>
              <w:keepNext w:val="0"/>
              <w:keepLines w:val="0"/>
              <w:suppressLineNumbers w:val="0"/>
              <w:shd w:val="clear"/>
              <w:spacing w:before="0" w:beforeAutospacing="0" w:after="0" w:afterAutospacing="0" w:line="400" w:lineRule="atLeast"/>
              <w:ind w:left="0" w:right="0" w:firstLine="0" w:firstLineChars="0"/>
              <w:jc w:val="center"/>
              <w:rPr>
                <w:rFonts w:hint="default"/>
                <w:color w:val="000000" w:themeColor="text1"/>
                <w:sz w:val="24"/>
                <w:highlight w:val="none"/>
              </w:rPr>
            </w:pPr>
            <w:r>
              <w:rPr>
                <w:rFonts w:hint="default"/>
                <w:color w:val="000000" w:themeColor="text1"/>
                <w:sz w:val="24"/>
                <w:highlight w:val="none"/>
              </w:rPr>
              <w:t>联系方式</w:t>
            </w:r>
          </w:p>
        </w:tc>
        <w:tc>
          <w:tcPr>
            <w:tcW w:w="1093" w:type="dxa"/>
            <w:vAlign w:val="center"/>
          </w:tcPr>
          <w:p w14:paraId="13675006">
            <w:pPr>
              <w:keepNext w:val="0"/>
              <w:keepLines w:val="0"/>
              <w:suppressLineNumbers w:val="0"/>
              <w:shd w:val="clear"/>
              <w:spacing w:before="0" w:beforeAutospacing="0" w:after="0" w:afterAutospacing="0" w:line="400" w:lineRule="atLeast"/>
              <w:ind w:left="0" w:right="0" w:firstLine="0" w:firstLineChars="0"/>
              <w:jc w:val="center"/>
              <w:rPr>
                <w:rFonts w:hint="default"/>
                <w:color w:val="000000" w:themeColor="text1"/>
                <w:sz w:val="24"/>
                <w:highlight w:val="none"/>
              </w:rPr>
            </w:pPr>
            <w:r>
              <w:rPr>
                <w:rFonts w:hint="default"/>
                <w:color w:val="000000" w:themeColor="text1"/>
                <w:sz w:val="24"/>
                <w:highlight w:val="none"/>
              </w:rPr>
              <w:t>联系人</w:t>
            </w:r>
          </w:p>
        </w:tc>
        <w:tc>
          <w:tcPr>
            <w:tcW w:w="2350" w:type="dxa"/>
            <w:gridSpan w:val="3"/>
            <w:vAlign w:val="center"/>
          </w:tcPr>
          <w:p w14:paraId="57355479">
            <w:pPr>
              <w:keepNext w:val="0"/>
              <w:keepLines w:val="0"/>
              <w:suppressLineNumbers w:val="0"/>
              <w:shd w:val="clear"/>
              <w:spacing w:before="0" w:beforeAutospacing="0" w:after="0" w:afterAutospacing="0" w:line="400" w:lineRule="atLeast"/>
              <w:ind w:left="0" w:right="0" w:firstLine="0" w:firstLineChars="0"/>
              <w:jc w:val="center"/>
              <w:rPr>
                <w:rFonts w:hint="default"/>
                <w:color w:val="000000" w:themeColor="text1"/>
                <w:sz w:val="24"/>
                <w:highlight w:val="none"/>
              </w:rPr>
            </w:pPr>
          </w:p>
        </w:tc>
        <w:tc>
          <w:tcPr>
            <w:tcW w:w="1413" w:type="dxa"/>
            <w:vAlign w:val="center"/>
          </w:tcPr>
          <w:p w14:paraId="4EEF90B5">
            <w:pPr>
              <w:keepNext w:val="0"/>
              <w:keepLines w:val="0"/>
              <w:suppressLineNumbers w:val="0"/>
              <w:shd w:val="clear"/>
              <w:spacing w:before="0" w:beforeAutospacing="0" w:after="0" w:afterAutospacing="0" w:line="400" w:lineRule="atLeast"/>
              <w:ind w:left="0" w:right="0" w:firstLine="0" w:firstLineChars="0"/>
              <w:jc w:val="center"/>
              <w:rPr>
                <w:rFonts w:hint="default"/>
                <w:color w:val="000000" w:themeColor="text1"/>
                <w:sz w:val="24"/>
                <w:highlight w:val="none"/>
              </w:rPr>
            </w:pPr>
            <w:r>
              <w:rPr>
                <w:rFonts w:hint="default"/>
                <w:color w:val="000000" w:themeColor="text1"/>
                <w:sz w:val="24"/>
                <w:highlight w:val="none"/>
              </w:rPr>
              <w:t>电话</w:t>
            </w:r>
          </w:p>
        </w:tc>
        <w:tc>
          <w:tcPr>
            <w:tcW w:w="2589" w:type="dxa"/>
            <w:gridSpan w:val="2"/>
            <w:vAlign w:val="center"/>
          </w:tcPr>
          <w:p w14:paraId="48439644">
            <w:pPr>
              <w:keepNext w:val="0"/>
              <w:keepLines w:val="0"/>
              <w:suppressLineNumbers w:val="0"/>
              <w:shd w:val="clear"/>
              <w:spacing w:before="0" w:beforeAutospacing="0" w:after="0" w:afterAutospacing="0" w:line="400" w:lineRule="atLeast"/>
              <w:ind w:left="0" w:right="0" w:firstLine="0" w:firstLineChars="0"/>
              <w:jc w:val="center"/>
              <w:rPr>
                <w:rFonts w:hint="default"/>
                <w:color w:val="000000" w:themeColor="text1"/>
                <w:sz w:val="24"/>
                <w:highlight w:val="none"/>
              </w:rPr>
            </w:pPr>
          </w:p>
        </w:tc>
      </w:tr>
      <w:tr w14:paraId="78478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12" w:type="dxa"/>
            <w:vMerge w:val="continue"/>
            <w:vAlign w:val="center"/>
          </w:tcPr>
          <w:p w14:paraId="1A0F245D">
            <w:pPr>
              <w:keepNext w:val="0"/>
              <w:keepLines w:val="0"/>
              <w:suppressLineNumbers w:val="0"/>
              <w:shd w:val="clear"/>
              <w:spacing w:before="0" w:beforeAutospacing="0" w:after="0" w:afterAutospacing="0" w:line="400" w:lineRule="atLeast"/>
              <w:ind w:left="0" w:right="0" w:firstLine="0" w:firstLineChars="0"/>
              <w:jc w:val="center"/>
              <w:rPr>
                <w:rFonts w:hint="default"/>
                <w:color w:val="000000" w:themeColor="text1"/>
                <w:sz w:val="24"/>
                <w:highlight w:val="none"/>
              </w:rPr>
            </w:pPr>
          </w:p>
        </w:tc>
        <w:tc>
          <w:tcPr>
            <w:tcW w:w="1093" w:type="dxa"/>
            <w:vAlign w:val="center"/>
          </w:tcPr>
          <w:p w14:paraId="46FFB952">
            <w:pPr>
              <w:keepNext w:val="0"/>
              <w:keepLines w:val="0"/>
              <w:suppressLineNumbers w:val="0"/>
              <w:shd w:val="clear"/>
              <w:spacing w:before="0" w:beforeAutospacing="0" w:after="0" w:afterAutospacing="0" w:line="400" w:lineRule="atLeast"/>
              <w:ind w:left="0" w:right="0" w:firstLine="0" w:firstLineChars="0"/>
              <w:jc w:val="center"/>
              <w:rPr>
                <w:rFonts w:hint="default"/>
                <w:color w:val="000000" w:themeColor="text1"/>
                <w:sz w:val="24"/>
                <w:highlight w:val="none"/>
              </w:rPr>
            </w:pPr>
            <w:r>
              <w:rPr>
                <w:rFonts w:hint="default"/>
                <w:color w:val="000000" w:themeColor="text1"/>
                <w:sz w:val="24"/>
                <w:highlight w:val="none"/>
              </w:rPr>
              <w:t>传真</w:t>
            </w:r>
          </w:p>
        </w:tc>
        <w:tc>
          <w:tcPr>
            <w:tcW w:w="2350" w:type="dxa"/>
            <w:gridSpan w:val="3"/>
            <w:vAlign w:val="center"/>
          </w:tcPr>
          <w:p w14:paraId="3E1DE8BC">
            <w:pPr>
              <w:keepNext w:val="0"/>
              <w:keepLines w:val="0"/>
              <w:suppressLineNumbers w:val="0"/>
              <w:shd w:val="clear"/>
              <w:spacing w:before="0" w:beforeAutospacing="0" w:after="0" w:afterAutospacing="0" w:line="400" w:lineRule="atLeast"/>
              <w:ind w:left="0" w:right="0" w:firstLine="0" w:firstLineChars="0"/>
              <w:jc w:val="center"/>
              <w:rPr>
                <w:rFonts w:hint="default"/>
                <w:color w:val="000000" w:themeColor="text1"/>
                <w:sz w:val="24"/>
                <w:highlight w:val="none"/>
              </w:rPr>
            </w:pPr>
          </w:p>
        </w:tc>
        <w:tc>
          <w:tcPr>
            <w:tcW w:w="1413" w:type="dxa"/>
            <w:vAlign w:val="center"/>
          </w:tcPr>
          <w:p w14:paraId="21EF5CF3">
            <w:pPr>
              <w:keepNext w:val="0"/>
              <w:keepLines w:val="0"/>
              <w:suppressLineNumbers w:val="0"/>
              <w:shd w:val="clear"/>
              <w:spacing w:before="0" w:beforeAutospacing="0" w:after="0" w:afterAutospacing="0" w:line="400" w:lineRule="atLeast"/>
              <w:ind w:left="0" w:right="0" w:firstLine="0" w:firstLineChars="0"/>
              <w:jc w:val="center"/>
              <w:rPr>
                <w:rFonts w:hint="default"/>
                <w:color w:val="000000" w:themeColor="text1"/>
                <w:sz w:val="24"/>
                <w:highlight w:val="none"/>
              </w:rPr>
            </w:pPr>
            <w:r>
              <w:rPr>
                <w:rFonts w:hint="default"/>
                <w:color w:val="000000" w:themeColor="text1"/>
                <w:sz w:val="24"/>
                <w:highlight w:val="none"/>
              </w:rPr>
              <w:t>网址</w:t>
            </w:r>
          </w:p>
        </w:tc>
        <w:tc>
          <w:tcPr>
            <w:tcW w:w="2589" w:type="dxa"/>
            <w:gridSpan w:val="2"/>
            <w:vAlign w:val="center"/>
          </w:tcPr>
          <w:p w14:paraId="311687F4">
            <w:pPr>
              <w:keepNext w:val="0"/>
              <w:keepLines w:val="0"/>
              <w:suppressLineNumbers w:val="0"/>
              <w:shd w:val="clear"/>
              <w:spacing w:before="0" w:beforeAutospacing="0" w:after="0" w:afterAutospacing="0" w:line="400" w:lineRule="atLeast"/>
              <w:ind w:left="0" w:right="0" w:firstLine="0" w:firstLineChars="0"/>
              <w:jc w:val="center"/>
              <w:rPr>
                <w:rFonts w:hint="default"/>
                <w:color w:val="000000" w:themeColor="text1"/>
                <w:sz w:val="24"/>
                <w:highlight w:val="none"/>
              </w:rPr>
            </w:pPr>
          </w:p>
        </w:tc>
      </w:tr>
      <w:tr w14:paraId="0F92F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12" w:type="dxa"/>
            <w:vAlign w:val="center"/>
          </w:tcPr>
          <w:p w14:paraId="5EEA3711">
            <w:pPr>
              <w:keepNext w:val="0"/>
              <w:keepLines w:val="0"/>
              <w:suppressLineNumbers w:val="0"/>
              <w:shd w:val="clear"/>
              <w:spacing w:before="0" w:beforeAutospacing="0" w:after="0" w:afterAutospacing="0" w:line="400" w:lineRule="atLeast"/>
              <w:ind w:left="0" w:right="0" w:firstLine="0" w:firstLineChars="0"/>
              <w:jc w:val="center"/>
              <w:rPr>
                <w:rFonts w:hint="default"/>
                <w:color w:val="000000" w:themeColor="text1"/>
                <w:sz w:val="24"/>
                <w:highlight w:val="none"/>
              </w:rPr>
            </w:pPr>
            <w:r>
              <w:rPr>
                <w:rFonts w:hint="default"/>
                <w:color w:val="000000" w:themeColor="text1"/>
                <w:sz w:val="24"/>
                <w:highlight w:val="none"/>
              </w:rPr>
              <w:t>企业统一社会信用代码</w:t>
            </w:r>
          </w:p>
        </w:tc>
        <w:tc>
          <w:tcPr>
            <w:tcW w:w="7445" w:type="dxa"/>
            <w:gridSpan w:val="7"/>
            <w:vAlign w:val="center"/>
          </w:tcPr>
          <w:p w14:paraId="58D5D614">
            <w:pPr>
              <w:keepNext w:val="0"/>
              <w:keepLines w:val="0"/>
              <w:suppressLineNumbers w:val="0"/>
              <w:shd w:val="clear"/>
              <w:spacing w:before="0" w:beforeAutospacing="0" w:after="0" w:afterAutospacing="0" w:line="400" w:lineRule="atLeast"/>
              <w:ind w:left="0" w:right="0" w:firstLine="0" w:firstLineChars="0"/>
              <w:jc w:val="center"/>
              <w:rPr>
                <w:rFonts w:hint="default"/>
                <w:color w:val="000000" w:themeColor="text1"/>
                <w:sz w:val="24"/>
                <w:highlight w:val="none"/>
              </w:rPr>
            </w:pPr>
          </w:p>
        </w:tc>
      </w:tr>
      <w:tr w14:paraId="4EBDA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12" w:type="dxa"/>
            <w:vAlign w:val="center"/>
          </w:tcPr>
          <w:p w14:paraId="10774A3F">
            <w:pPr>
              <w:keepNext w:val="0"/>
              <w:keepLines w:val="0"/>
              <w:suppressLineNumbers w:val="0"/>
              <w:shd w:val="clear"/>
              <w:spacing w:before="0" w:beforeAutospacing="0" w:after="0" w:afterAutospacing="0" w:line="400" w:lineRule="atLeast"/>
              <w:ind w:left="0" w:right="0" w:firstLine="0" w:firstLineChars="0"/>
              <w:jc w:val="center"/>
              <w:rPr>
                <w:rFonts w:hint="default"/>
                <w:color w:val="000000" w:themeColor="text1"/>
                <w:sz w:val="24"/>
                <w:highlight w:val="none"/>
              </w:rPr>
            </w:pPr>
            <w:r>
              <w:rPr>
                <w:rFonts w:hint="default"/>
                <w:color w:val="000000" w:themeColor="text1"/>
                <w:sz w:val="24"/>
                <w:highlight w:val="none"/>
              </w:rPr>
              <w:t>法定代表人</w:t>
            </w:r>
          </w:p>
        </w:tc>
        <w:tc>
          <w:tcPr>
            <w:tcW w:w="1751" w:type="dxa"/>
            <w:gridSpan w:val="2"/>
            <w:vAlign w:val="center"/>
          </w:tcPr>
          <w:p w14:paraId="19997D6A">
            <w:pPr>
              <w:keepNext w:val="0"/>
              <w:keepLines w:val="0"/>
              <w:suppressLineNumbers w:val="0"/>
              <w:shd w:val="clear"/>
              <w:spacing w:before="0" w:beforeAutospacing="0" w:after="0" w:afterAutospacing="0" w:line="400" w:lineRule="atLeast"/>
              <w:ind w:left="0" w:right="0" w:firstLine="0" w:firstLineChars="0"/>
              <w:jc w:val="center"/>
              <w:rPr>
                <w:rFonts w:hint="default"/>
                <w:color w:val="000000" w:themeColor="text1"/>
                <w:sz w:val="24"/>
                <w:highlight w:val="none"/>
              </w:rPr>
            </w:pPr>
          </w:p>
        </w:tc>
        <w:tc>
          <w:tcPr>
            <w:tcW w:w="1346" w:type="dxa"/>
            <w:vAlign w:val="center"/>
          </w:tcPr>
          <w:p w14:paraId="45B144C0">
            <w:pPr>
              <w:keepNext w:val="0"/>
              <w:keepLines w:val="0"/>
              <w:suppressLineNumbers w:val="0"/>
              <w:shd w:val="clear"/>
              <w:spacing w:before="0" w:beforeAutospacing="0" w:after="0" w:afterAutospacing="0" w:line="400" w:lineRule="atLeast"/>
              <w:ind w:left="0" w:right="0" w:firstLine="0" w:firstLineChars="0"/>
              <w:jc w:val="center"/>
              <w:rPr>
                <w:rFonts w:hint="default"/>
                <w:color w:val="000000" w:themeColor="text1"/>
                <w:sz w:val="24"/>
                <w:highlight w:val="none"/>
              </w:rPr>
            </w:pPr>
            <w:r>
              <w:rPr>
                <w:rFonts w:hint="default"/>
                <w:color w:val="000000" w:themeColor="text1"/>
                <w:sz w:val="24"/>
                <w:highlight w:val="none"/>
              </w:rPr>
              <w:t>技术职称</w:t>
            </w:r>
          </w:p>
        </w:tc>
        <w:tc>
          <w:tcPr>
            <w:tcW w:w="1759" w:type="dxa"/>
            <w:gridSpan w:val="2"/>
            <w:vAlign w:val="center"/>
          </w:tcPr>
          <w:p w14:paraId="7206821E">
            <w:pPr>
              <w:keepNext w:val="0"/>
              <w:keepLines w:val="0"/>
              <w:suppressLineNumbers w:val="0"/>
              <w:shd w:val="clear"/>
              <w:spacing w:before="0" w:beforeAutospacing="0" w:after="0" w:afterAutospacing="0" w:line="400" w:lineRule="atLeast"/>
              <w:ind w:left="0" w:right="0" w:firstLine="0" w:firstLineChars="0"/>
              <w:jc w:val="center"/>
              <w:rPr>
                <w:rFonts w:hint="default"/>
                <w:color w:val="000000" w:themeColor="text1"/>
                <w:sz w:val="24"/>
                <w:highlight w:val="none"/>
              </w:rPr>
            </w:pPr>
          </w:p>
        </w:tc>
        <w:tc>
          <w:tcPr>
            <w:tcW w:w="765" w:type="dxa"/>
            <w:vAlign w:val="center"/>
          </w:tcPr>
          <w:p w14:paraId="35C80249">
            <w:pPr>
              <w:keepNext w:val="0"/>
              <w:keepLines w:val="0"/>
              <w:suppressLineNumbers w:val="0"/>
              <w:shd w:val="clear"/>
              <w:spacing w:before="0" w:beforeAutospacing="0" w:after="0" w:afterAutospacing="0" w:line="400" w:lineRule="atLeast"/>
              <w:ind w:left="0" w:right="0" w:firstLine="0" w:firstLineChars="0"/>
              <w:jc w:val="center"/>
              <w:rPr>
                <w:rFonts w:hint="default"/>
                <w:color w:val="000000" w:themeColor="text1"/>
                <w:sz w:val="24"/>
                <w:highlight w:val="none"/>
              </w:rPr>
            </w:pPr>
            <w:r>
              <w:rPr>
                <w:rFonts w:hint="default"/>
                <w:color w:val="000000" w:themeColor="text1"/>
                <w:sz w:val="24"/>
                <w:highlight w:val="none"/>
              </w:rPr>
              <w:t>电话</w:t>
            </w:r>
          </w:p>
        </w:tc>
        <w:tc>
          <w:tcPr>
            <w:tcW w:w="1824" w:type="dxa"/>
            <w:vAlign w:val="center"/>
          </w:tcPr>
          <w:p w14:paraId="503C3E5D">
            <w:pPr>
              <w:keepNext w:val="0"/>
              <w:keepLines w:val="0"/>
              <w:suppressLineNumbers w:val="0"/>
              <w:shd w:val="clear"/>
              <w:spacing w:before="0" w:beforeAutospacing="0" w:after="0" w:afterAutospacing="0" w:line="400" w:lineRule="atLeast"/>
              <w:ind w:left="0" w:right="0" w:firstLine="0" w:firstLineChars="0"/>
              <w:jc w:val="center"/>
              <w:rPr>
                <w:rFonts w:hint="default"/>
                <w:color w:val="000000" w:themeColor="text1"/>
                <w:sz w:val="24"/>
                <w:highlight w:val="none"/>
              </w:rPr>
            </w:pPr>
          </w:p>
        </w:tc>
      </w:tr>
      <w:tr w14:paraId="33835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12" w:type="dxa"/>
            <w:vAlign w:val="center"/>
          </w:tcPr>
          <w:p w14:paraId="3723B74A">
            <w:pPr>
              <w:keepNext w:val="0"/>
              <w:keepLines w:val="0"/>
              <w:suppressLineNumbers w:val="0"/>
              <w:shd w:val="clear"/>
              <w:spacing w:before="0" w:beforeAutospacing="0" w:after="0" w:afterAutospacing="0" w:line="400" w:lineRule="atLeast"/>
              <w:ind w:left="0" w:right="0" w:firstLine="0" w:firstLineChars="0"/>
              <w:jc w:val="center"/>
              <w:rPr>
                <w:rFonts w:hint="default"/>
                <w:color w:val="000000" w:themeColor="text1"/>
                <w:sz w:val="24"/>
                <w:highlight w:val="none"/>
              </w:rPr>
            </w:pPr>
            <w:r>
              <w:rPr>
                <w:rFonts w:hint="default"/>
                <w:color w:val="000000" w:themeColor="text1"/>
                <w:sz w:val="24"/>
                <w:highlight w:val="none"/>
              </w:rPr>
              <w:t>技术负责人</w:t>
            </w:r>
          </w:p>
        </w:tc>
        <w:tc>
          <w:tcPr>
            <w:tcW w:w="1751" w:type="dxa"/>
            <w:gridSpan w:val="2"/>
            <w:vAlign w:val="center"/>
          </w:tcPr>
          <w:p w14:paraId="7DDC451B">
            <w:pPr>
              <w:keepNext w:val="0"/>
              <w:keepLines w:val="0"/>
              <w:suppressLineNumbers w:val="0"/>
              <w:shd w:val="clear"/>
              <w:spacing w:before="0" w:beforeAutospacing="0" w:after="0" w:afterAutospacing="0" w:line="400" w:lineRule="atLeast"/>
              <w:ind w:left="0" w:right="0" w:firstLine="0" w:firstLineChars="0"/>
              <w:jc w:val="center"/>
              <w:rPr>
                <w:rFonts w:hint="default"/>
                <w:color w:val="000000" w:themeColor="text1"/>
                <w:sz w:val="24"/>
                <w:highlight w:val="none"/>
              </w:rPr>
            </w:pPr>
          </w:p>
        </w:tc>
        <w:tc>
          <w:tcPr>
            <w:tcW w:w="1346" w:type="dxa"/>
            <w:vAlign w:val="center"/>
          </w:tcPr>
          <w:p w14:paraId="336AED26">
            <w:pPr>
              <w:keepNext w:val="0"/>
              <w:keepLines w:val="0"/>
              <w:suppressLineNumbers w:val="0"/>
              <w:shd w:val="clear"/>
              <w:spacing w:before="0" w:beforeAutospacing="0" w:after="0" w:afterAutospacing="0" w:line="400" w:lineRule="atLeast"/>
              <w:ind w:left="0" w:right="0" w:firstLine="0" w:firstLineChars="0"/>
              <w:jc w:val="center"/>
              <w:rPr>
                <w:rFonts w:hint="default"/>
                <w:color w:val="000000" w:themeColor="text1"/>
                <w:sz w:val="24"/>
                <w:highlight w:val="none"/>
              </w:rPr>
            </w:pPr>
            <w:r>
              <w:rPr>
                <w:rFonts w:hint="default"/>
                <w:color w:val="000000" w:themeColor="text1"/>
                <w:sz w:val="24"/>
                <w:highlight w:val="none"/>
              </w:rPr>
              <w:t>技术职称</w:t>
            </w:r>
          </w:p>
        </w:tc>
        <w:tc>
          <w:tcPr>
            <w:tcW w:w="1759" w:type="dxa"/>
            <w:gridSpan w:val="2"/>
            <w:vAlign w:val="center"/>
          </w:tcPr>
          <w:p w14:paraId="6ED7083C">
            <w:pPr>
              <w:keepNext w:val="0"/>
              <w:keepLines w:val="0"/>
              <w:suppressLineNumbers w:val="0"/>
              <w:shd w:val="clear"/>
              <w:spacing w:before="0" w:beforeAutospacing="0" w:after="0" w:afterAutospacing="0" w:line="400" w:lineRule="atLeast"/>
              <w:ind w:left="0" w:right="0" w:firstLine="0" w:firstLineChars="0"/>
              <w:jc w:val="center"/>
              <w:rPr>
                <w:rFonts w:hint="default"/>
                <w:color w:val="000000" w:themeColor="text1"/>
                <w:sz w:val="24"/>
                <w:highlight w:val="none"/>
              </w:rPr>
            </w:pPr>
          </w:p>
        </w:tc>
        <w:tc>
          <w:tcPr>
            <w:tcW w:w="765" w:type="dxa"/>
            <w:vAlign w:val="center"/>
          </w:tcPr>
          <w:p w14:paraId="78A8B48B">
            <w:pPr>
              <w:keepNext w:val="0"/>
              <w:keepLines w:val="0"/>
              <w:suppressLineNumbers w:val="0"/>
              <w:shd w:val="clear"/>
              <w:spacing w:before="0" w:beforeAutospacing="0" w:after="0" w:afterAutospacing="0" w:line="400" w:lineRule="atLeast"/>
              <w:ind w:left="0" w:right="0" w:firstLine="0" w:firstLineChars="0"/>
              <w:jc w:val="center"/>
              <w:rPr>
                <w:rFonts w:hint="default"/>
                <w:color w:val="000000" w:themeColor="text1"/>
                <w:sz w:val="24"/>
                <w:highlight w:val="none"/>
              </w:rPr>
            </w:pPr>
            <w:r>
              <w:rPr>
                <w:rFonts w:hint="default"/>
                <w:color w:val="000000" w:themeColor="text1"/>
                <w:sz w:val="24"/>
                <w:highlight w:val="none"/>
              </w:rPr>
              <w:t>电话</w:t>
            </w:r>
          </w:p>
        </w:tc>
        <w:tc>
          <w:tcPr>
            <w:tcW w:w="1824" w:type="dxa"/>
            <w:vAlign w:val="center"/>
          </w:tcPr>
          <w:p w14:paraId="5479DEED">
            <w:pPr>
              <w:keepNext w:val="0"/>
              <w:keepLines w:val="0"/>
              <w:suppressLineNumbers w:val="0"/>
              <w:shd w:val="clear"/>
              <w:spacing w:before="0" w:beforeAutospacing="0" w:after="0" w:afterAutospacing="0" w:line="400" w:lineRule="atLeast"/>
              <w:ind w:left="0" w:right="0" w:firstLine="0" w:firstLineChars="0"/>
              <w:jc w:val="center"/>
              <w:rPr>
                <w:rFonts w:hint="default"/>
                <w:color w:val="000000" w:themeColor="text1"/>
                <w:sz w:val="24"/>
                <w:highlight w:val="none"/>
              </w:rPr>
            </w:pPr>
          </w:p>
        </w:tc>
      </w:tr>
      <w:tr w14:paraId="60CAC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12" w:type="dxa"/>
            <w:vAlign w:val="center"/>
          </w:tcPr>
          <w:p w14:paraId="6AEBB549">
            <w:pPr>
              <w:keepNext w:val="0"/>
              <w:keepLines w:val="0"/>
              <w:suppressLineNumbers w:val="0"/>
              <w:shd w:val="clear"/>
              <w:spacing w:before="0" w:beforeAutospacing="0" w:after="0" w:afterAutospacing="0" w:line="400" w:lineRule="atLeast"/>
              <w:ind w:left="0" w:right="0" w:firstLine="0" w:firstLineChars="0"/>
              <w:jc w:val="center"/>
              <w:rPr>
                <w:rFonts w:hint="default"/>
                <w:color w:val="000000" w:themeColor="text1"/>
                <w:sz w:val="24"/>
                <w:highlight w:val="none"/>
              </w:rPr>
            </w:pPr>
            <w:r>
              <w:rPr>
                <w:rFonts w:hint="default"/>
                <w:color w:val="000000" w:themeColor="text1"/>
                <w:sz w:val="24"/>
                <w:highlight w:val="none"/>
              </w:rPr>
              <w:t>成立时间</w:t>
            </w:r>
          </w:p>
        </w:tc>
        <w:tc>
          <w:tcPr>
            <w:tcW w:w="1751" w:type="dxa"/>
            <w:gridSpan w:val="2"/>
            <w:vAlign w:val="center"/>
          </w:tcPr>
          <w:p w14:paraId="6A1FCD89">
            <w:pPr>
              <w:keepNext w:val="0"/>
              <w:keepLines w:val="0"/>
              <w:suppressLineNumbers w:val="0"/>
              <w:shd w:val="clear"/>
              <w:spacing w:before="0" w:beforeAutospacing="0" w:after="0" w:afterAutospacing="0" w:line="400" w:lineRule="atLeast"/>
              <w:ind w:left="0" w:right="0" w:firstLine="0" w:firstLineChars="0"/>
              <w:jc w:val="center"/>
              <w:rPr>
                <w:rFonts w:hint="default"/>
                <w:color w:val="000000" w:themeColor="text1"/>
                <w:sz w:val="24"/>
                <w:highlight w:val="none"/>
              </w:rPr>
            </w:pPr>
          </w:p>
        </w:tc>
        <w:tc>
          <w:tcPr>
            <w:tcW w:w="3105" w:type="dxa"/>
            <w:gridSpan w:val="3"/>
            <w:vAlign w:val="center"/>
          </w:tcPr>
          <w:p w14:paraId="0D36953E">
            <w:pPr>
              <w:keepNext w:val="0"/>
              <w:keepLines w:val="0"/>
              <w:suppressLineNumbers w:val="0"/>
              <w:shd w:val="clear"/>
              <w:spacing w:before="0" w:beforeAutospacing="0" w:after="0" w:afterAutospacing="0" w:line="400" w:lineRule="atLeast"/>
              <w:ind w:left="0" w:right="0" w:firstLine="0" w:firstLineChars="0"/>
              <w:jc w:val="center"/>
              <w:rPr>
                <w:rFonts w:hint="default"/>
                <w:color w:val="000000" w:themeColor="text1"/>
                <w:sz w:val="24"/>
                <w:highlight w:val="none"/>
              </w:rPr>
            </w:pPr>
            <w:r>
              <w:rPr>
                <w:rFonts w:hint="default"/>
                <w:color w:val="000000" w:themeColor="text1"/>
                <w:sz w:val="24"/>
                <w:highlight w:val="none"/>
              </w:rPr>
              <w:t>员工总人数</w:t>
            </w:r>
          </w:p>
        </w:tc>
        <w:tc>
          <w:tcPr>
            <w:tcW w:w="2589" w:type="dxa"/>
            <w:gridSpan w:val="2"/>
            <w:vAlign w:val="center"/>
          </w:tcPr>
          <w:p w14:paraId="462E376D">
            <w:pPr>
              <w:keepNext w:val="0"/>
              <w:keepLines w:val="0"/>
              <w:suppressLineNumbers w:val="0"/>
              <w:shd w:val="clear"/>
              <w:spacing w:before="0" w:beforeAutospacing="0" w:after="0" w:afterAutospacing="0" w:line="400" w:lineRule="atLeast"/>
              <w:ind w:left="0" w:right="0" w:firstLine="0" w:firstLineChars="0"/>
              <w:rPr>
                <w:rFonts w:hint="default"/>
                <w:color w:val="000000" w:themeColor="text1"/>
                <w:sz w:val="24"/>
                <w:highlight w:val="none"/>
              </w:rPr>
            </w:pPr>
          </w:p>
        </w:tc>
      </w:tr>
      <w:tr w14:paraId="714ED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12" w:type="dxa"/>
            <w:vAlign w:val="center"/>
          </w:tcPr>
          <w:p w14:paraId="63A188B7">
            <w:pPr>
              <w:keepNext w:val="0"/>
              <w:keepLines w:val="0"/>
              <w:suppressLineNumbers w:val="0"/>
              <w:shd w:val="clear"/>
              <w:spacing w:before="0" w:beforeAutospacing="0" w:after="0" w:afterAutospacing="0" w:line="400" w:lineRule="atLeast"/>
              <w:ind w:left="0" w:right="0" w:firstLine="0" w:firstLineChars="0"/>
              <w:jc w:val="center"/>
              <w:rPr>
                <w:rFonts w:hint="default"/>
                <w:color w:val="000000" w:themeColor="text1"/>
                <w:sz w:val="24"/>
                <w:highlight w:val="none"/>
              </w:rPr>
            </w:pPr>
            <w:r>
              <w:rPr>
                <w:rFonts w:hint="default"/>
                <w:color w:val="000000" w:themeColor="text1"/>
                <w:sz w:val="24"/>
                <w:highlight w:val="none"/>
              </w:rPr>
              <w:t>企业资质等级</w:t>
            </w:r>
          </w:p>
        </w:tc>
        <w:tc>
          <w:tcPr>
            <w:tcW w:w="1751" w:type="dxa"/>
            <w:gridSpan w:val="2"/>
            <w:vAlign w:val="center"/>
          </w:tcPr>
          <w:p w14:paraId="36C68530">
            <w:pPr>
              <w:keepNext w:val="0"/>
              <w:keepLines w:val="0"/>
              <w:suppressLineNumbers w:val="0"/>
              <w:shd w:val="clear"/>
              <w:spacing w:before="0" w:beforeAutospacing="0" w:after="0" w:afterAutospacing="0" w:line="400" w:lineRule="atLeast"/>
              <w:ind w:left="0" w:right="0" w:firstLine="0" w:firstLineChars="0"/>
              <w:jc w:val="center"/>
              <w:rPr>
                <w:rFonts w:hint="default"/>
                <w:color w:val="000000" w:themeColor="text1"/>
                <w:sz w:val="24"/>
                <w:highlight w:val="none"/>
              </w:rPr>
            </w:pPr>
          </w:p>
        </w:tc>
        <w:tc>
          <w:tcPr>
            <w:tcW w:w="1346" w:type="dxa"/>
            <w:vMerge w:val="restart"/>
            <w:vAlign w:val="center"/>
          </w:tcPr>
          <w:p w14:paraId="20C507E5">
            <w:pPr>
              <w:keepNext w:val="0"/>
              <w:keepLines w:val="0"/>
              <w:suppressLineNumbers w:val="0"/>
              <w:shd w:val="clear"/>
              <w:spacing w:before="0" w:beforeAutospacing="0" w:after="0" w:afterAutospacing="0" w:line="400" w:lineRule="atLeast"/>
              <w:ind w:left="0" w:right="0" w:firstLine="0" w:firstLineChars="0"/>
              <w:jc w:val="center"/>
              <w:rPr>
                <w:rFonts w:hint="default"/>
                <w:color w:val="000000" w:themeColor="text1"/>
                <w:sz w:val="24"/>
                <w:highlight w:val="none"/>
              </w:rPr>
            </w:pPr>
            <w:r>
              <w:rPr>
                <w:rFonts w:hint="default"/>
                <w:color w:val="000000" w:themeColor="text1"/>
                <w:sz w:val="24"/>
                <w:highlight w:val="none"/>
              </w:rPr>
              <w:t>其中</w:t>
            </w:r>
          </w:p>
        </w:tc>
        <w:tc>
          <w:tcPr>
            <w:tcW w:w="1759" w:type="dxa"/>
            <w:gridSpan w:val="2"/>
            <w:vAlign w:val="center"/>
          </w:tcPr>
          <w:p w14:paraId="4FB129D2">
            <w:pPr>
              <w:keepNext w:val="0"/>
              <w:keepLines w:val="0"/>
              <w:suppressLineNumbers w:val="0"/>
              <w:shd w:val="clear"/>
              <w:spacing w:before="0" w:beforeAutospacing="0" w:after="0" w:afterAutospacing="0" w:line="400" w:lineRule="atLeast"/>
              <w:ind w:left="0" w:right="0" w:firstLine="0" w:firstLineChars="0"/>
              <w:jc w:val="center"/>
              <w:rPr>
                <w:rFonts w:hint="default"/>
                <w:color w:val="000000" w:themeColor="text1"/>
                <w:sz w:val="24"/>
                <w:highlight w:val="none"/>
              </w:rPr>
            </w:pPr>
            <w:r>
              <w:rPr>
                <w:rFonts w:hint="default"/>
                <w:color w:val="000000" w:themeColor="text1"/>
                <w:sz w:val="24"/>
                <w:highlight w:val="none"/>
              </w:rPr>
              <w:t>高级职称人员</w:t>
            </w:r>
          </w:p>
        </w:tc>
        <w:tc>
          <w:tcPr>
            <w:tcW w:w="2589" w:type="dxa"/>
            <w:gridSpan w:val="2"/>
            <w:vAlign w:val="center"/>
          </w:tcPr>
          <w:p w14:paraId="76254E0A">
            <w:pPr>
              <w:keepNext w:val="0"/>
              <w:keepLines w:val="0"/>
              <w:suppressLineNumbers w:val="0"/>
              <w:shd w:val="clear"/>
              <w:spacing w:before="0" w:beforeAutospacing="0" w:after="0" w:afterAutospacing="0" w:line="400" w:lineRule="atLeast"/>
              <w:ind w:left="0" w:right="0" w:firstLine="0" w:firstLineChars="0"/>
              <w:jc w:val="center"/>
              <w:rPr>
                <w:rFonts w:hint="default"/>
                <w:color w:val="000000" w:themeColor="text1"/>
                <w:sz w:val="24"/>
                <w:highlight w:val="none"/>
              </w:rPr>
            </w:pPr>
          </w:p>
        </w:tc>
      </w:tr>
      <w:tr w14:paraId="7BF1F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12" w:type="dxa"/>
            <w:vAlign w:val="center"/>
          </w:tcPr>
          <w:p w14:paraId="4F5EA39E">
            <w:pPr>
              <w:keepNext w:val="0"/>
              <w:keepLines w:val="0"/>
              <w:suppressLineNumbers w:val="0"/>
              <w:shd w:val="clear"/>
              <w:spacing w:before="0" w:beforeAutospacing="0" w:after="0" w:afterAutospacing="0" w:line="400" w:lineRule="atLeast"/>
              <w:ind w:left="0" w:right="0" w:firstLine="0" w:firstLineChars="0"/>
              <w:jc w:val="center"/>
              <w:rPr>
                <w:rFonts w:hint="default"/>
                <w:color w:val="000000" w:themeColor="text1"/>
                <w:sz w:val="24"/>
                <w:highlight w:val="none"/>
              </w:rPr>
            </w:pPr>
            <w:r>
              <w:rPr>
                <w:rFonts w:hint="default"/>
                <w:color w:val="000000" w:themeColor="text1"/>
                <w:sz w:val="24"/>
                <w:highlight w:val="none"/>
              </w:rPr>
              <w:t>营业执照号</w:t>
            </w:r>
          </w:p>
        </w:tc>
        <w:tc>
          <w:tcPr>
            <w:tcW w:w="1751" w:type="dxa"/>
            <w:gridSpan w:val="2"/>
            <w:vAlign w:val="center"/>
          </w:tcPr>
          <w:p w14:paraId="197EA0E6">
            <w:pPr>
              <w:keepNext w:val="0"/>
              <w:keepLines w:val="0"/>
              <w:suppressLineNumbers w:val="0"/>
              <w:shd w:val="clear"/>
              <w:spacing w:before="0" w:beforeAutospacing="0" w:after="0" w:afterAutospacing="0" w:line="400" w:lineRule="atLeast"/>
              <w:ind w:left="0" w:right="0" w:firstLine="0" w:firstLineChars="0"/>
              <w:jc w:val="center"/>
              <w:rPr>
                <w:rFonts w:hint="default"/>
                <w:color w:val="000000" w:themeColor="text1"/>
                <w:sz w:val="24"/>
                <w:highlight w:val="none"/>
              </w:rPr>
            </w:pPr>
          </w:p>
        </w:tc>
        <w:tc>
          <w:tcPr>
            <w:tcW w:w="1346" w:type="dxa"/>
            <w:vMerge w:val="continue"/>
            <w:vAlign w:val="center"/>
          </w:tcPr>
          <w:p w14:paraId="63388D7F">
            <w:pPr>
              <w:keepNext w:val="0"/>
              <w:keepLines w:val="0"/>
              <w:suppressLineNumbers w:val="0"/>
              <w:shd w:val="clear"/>
              <w:spacing w:before="0" w:beforeAutospacing="0" w:after="0" w:afterAutospacing="0" w:line="400" w:lineRule="atLeast"/>
              <w:ind w:left="0" w:right="0" w:firstLine="0" w:firstLineChars="0"/>
              <w:jc w:val="center"/>
              <w:rPr>
                <w:rFonts w:hint="default"/>
                <w:color w:val="000000" w:themeColor="text1"/>
                <w:sz w:val="24"/>
                <w:highlight w:val="none"/>
              </w:rPr>
            </w:pPr>
          </w:p>
        </w:tc>
        <w:tc>
          <w:tcPr>
            <w:tcW w:w="1759" w:type="dxa"/>
            <w:gridSpan w:val="2"/>
            <w:vAlign w:val="center"/>
          </w:tcPr>
          <w:p w14:paraId="0289371A">
            <w:pPr>
              <w:keepNext w:val="0"/>
              <w:keepLines w:val="0"/>
              <w:suppressLineNumbers w:val="0"/>
              <w:shd w:val="clear"/>
              <w:spacing w:before="0" w:beforeAutospacing="0" w:after="0" w:afterAutospacing="0" w:line="400" w:lineRule="atLeast"/>
              <w:ind w:left="0" w:right="0" w:firstLine="0" w:firstLineChars="0"/>
              <w:jc w:val="center"/>
              <w:rPr>
                <w:rFonts w:hint="default"/>
                <w:color w:val="000000" w:themeColor="text1"/>
                <w:sz w:val="24"/>
                <w:highlight w:val="none"/>
              </w:rPr>
            </w:pPr>
            <w:r>
              <w:rPr>
                <w:rFonts w:hint="default"/>
                <w:color w:val="000000" w:themeColor="text1"/>
                <w:sz w:val="24"/>
                <w:highlight w:val="none"/>
              </w:rPr>
              <w:t>中级职称人员</w:t>
            </w:r>
          </w:p>
        </w:tc>
        <w:tc>
          <w:tcPr>
            <w:tcW w:w="2589" w:type="dxa"/>
            <w:gridSpan w:val="2"/>
            <w:vAlign w:val="center"/>
          </w:tcPr>
          <w:p w14:paraId="20F1FAB1">
            <w:pPr>
              <w:keepNext w:val="0"/>
              <w:keepLines w:val="0"/>
              <w:suppressLineNumbers w:val="0"/>
              <w:shd w:val="clear"/>
              <w:spacing w:before="0" w:beforeAutospacing="0" w:after="0" w:afterAutospacing="0" w:line="400" w:lineRule="atLeast"/>
              <w:ind w:left="0" w:right="0" w:firstLine="0" w:firstLineChars="0"/>
              <w:jc w:val="center"/>
              <w:rPr>
                <w:rFonts w:hint="default"/>
                <w:color w:val="000000" w:themeColor="text1"/>
                <w:sz w:val="24"/>
                <w:highlight w:val="none"/>
              </w:rPr>
            </w:pPr>
          </w:p>
        </w:tc>
      </w:tr>
      <w:tr w14:paraId="5C1AF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12" w:type="dxa"/>
            <w:vAlign w:val="center"/>
          </w:tcPr>
          <w:p w14:paraId="7418F53C">
            <w:pPr>
              <w:keepNext w:val="0"/>
              <w:keepLines w:val="0"/>
              <w:suppressLineNumbers w:val="0"/>
              <w:shd w:val="clear"/>
              <w:spacing w:before="0" w:beforeAutospacing="0" w:after="0" w:afterAutospacing="0" w:line="400" w:lineRule="atLeast"/>
              <w:ind w:left="0" w:right="0" w:firstLine="0" w:firstLineChars="0"/>
              <w:jc w:val="center"/>
              <w:rPr>
                <w:rFonts w:hint="default"/>
                <w:color w:val="000000" w:themeColor="text1"/>
                <w:sz w:val="24"/>
                <w:highlight w:val="none"/>
              </w:rPr>
            </w:pPr>
            <w:r>
              <w:rPr>
                <w:rFonts w:hint="default"/>
                <w:color w:val="000000" w:themeColor="text1"/>
                <w:sz w:val="24"/>
                <w:highlight w:val="none"/>
              </w:rPr>
              <w:t>注册资金</w:t>
            </w:r>
          </w:p>
        </w:tc>
        <w:tc>
          <w:tcPr>
            <w:tcW w:w="1751" w:type="dxa"/>
            <w:gridSpan w:val="2"/>
            <w:vAlign w:val="center"/>
          </w:tcPr>
          <w:p w14:paraId="1DBF65FB">
            <w:pPr>
              <w:keepNext w:val="0"/>
              <w:keepLines w:val="0"/>
              <w:suppressLineNumbers w:val="0"/>
              <w:shd w:val="clear"/>
              <w:spacing w:before="0" w:beforeAutospacing="0" w:after="0" w:afterAutospacing="0" w:line="400" w:lineRule="atLeast"/>
              <w:ind w:left="0" w:right="0" w:firstLine="0" w:firstLineChars="0"/>
              <w:jc w:val="center"/>
              <w:rPr>
                <w:rFonts w:hint="default"/>
                <w:color w:val="000000" w:themeColor="text1"/>
                <w:sz w:val="24"/>
                <w:highlight w:val="none"/>
              </w:rPr>
            </w:pPr>
          </w:p>
        </w:tc>
        <w:tc>
          <w:tcPr>
            <w:tcW w:w="1346" w:type="dxa"/>
            <w:vMerge w:val="continue"/>
            <w:vAlign w:val="center"/>
          </w:tcPr>
          <w:p w14:paraId="797CA716">
            <w:pPr>
              <w:keepNext w:val="0"/>
              <w:keepLines w:val="0"/>
              <w:suppressLineNumbers w:val="0"/>
              <w:shd w:val="clear"/>
              <w:spacing w:before="0" w:beforeAutospacing="0" w:after="0" w:afterAutospacing="0" w:line="400" w:lineRule="atLeast"/>
              <w:ind w:left="0" w:right="0" w:firstLine="0" w:firstLineChars="0"/>
              <w:jc w:val="center"/>
              <w:rPr>
                <w:rFonts w:hint="default"/>
                <w:color w:val="000000" w:themeColor="text1"/>
                <w:sz w:val="24"/>
                <w:highlight w:val="none"/>
              </w:rPr>
            </w:pPr>
          </w:p>
        </w:tc>
        <w:tc>
          <w:tcPr>
            <w:tcW w:w="1759" w:type="dxa"/>
            <w:gridSpan w:val="2"/>
            <w:vAlign w:val="center"/>
          </w:tcPr>
          <w:p w14:paraId="4792108F">
            <w:pPr>
              <w:keepNext w:val="0"/>
              <w:keepLines w:val="0"/>
              <w:suppressLineNumbers w:val="0"/>
              <w:shd w:val="clear"/>
              <w:spacing w:before="0" w:beforeAutospacing="0" w:after="0" w:afterAutospacing="0" w:line="400" w:lineRule="atLeast"/>
              <w:ind w:left="0" w:right="0" w:firstLine="0" w:firstLineChars="0"/>
              <w:jc w:val="center"/>
              <w:rPr>
                <w:rFonts w:hint="default"/>
                <w:color w:val="000000" w:themeColor="text1"/>
                <w:sz w:val="24"/>
                <w:highlight w:val="none"/>
              </w:rPr>
            </w:pPr>
            <w:r>
              <w:rPr>
                <w:rFonts w:hint="default"/>
                <w:color w:val="000000" w:themeColor="text1"/>
                <w:sz w:val="24"/>
                <w:highlight w:val="none"/>
              </w:rPr>
              <w:t>初级职称人员</w:t>
            </w:r>
          </w:p>
        </w:tc>
        <w:tc>
          <w:tcPr>
            <w:tcW w:w="2589" w:type="dxa"/>
            <w:gridSpan w:val="2"/>
            <w:vAlign w:val="center"/>
          </w:tcPr>
          <w:p w14:paraId="288CB41A">
            <w:pPr>
              <w:keepNext w:val="0"/>
              <w:keepLines w:val="0"/>
              <w:suppressLineNumbers w:val="0"/>
              <w:shd w:val="clear"/>
              <w:spacing w:before="0" w:beforeAutospacing="0" w:after="0" w:afterAutospacing="0" w:line="400" w:lineRule="atLeast"/>
              <w:ind w:left="0" w:right="0" w:firstLine="0" w:firstLineChars="0"/>
              <w:jc w:val="center"/>
              <w:rPr>
                <w:rFonts w:hint="default"/>
                <w:color w:val="000000" w:themeColor="text1"/>
                <w:sz w:val="24"/>
                <w:highlight w:val="none"/>
              </w:rPr>
            </w:pPr>
          </w:p>
        </w:tc>
      </w:tr>
      <w:tr w14:paraId="6362D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12" w:type="dxa"/>
            <w:vAlign w:val="center"/>
          </w:tcPr>
          <w:p w14:paraId="544EBD1C">
            <w:pPr>
              <w:keepNext w:val="0"/>
              <w:keepLines w:val="0"/>
              <w:suppressLineNumbers w:val="0"/>
              <w:shd w:val="clear"/>
              <w:spacing w:before="0" w:beforeAutospacing="0" w:after="0" w:afterAutospacing="0" w:line="400" w:lineRule="atLeast"/>
              <w:ind w:left="0" w:right="0" w:firstLine="0" w:firstLineChars="0"/>
              <w:jc w:val="center"/>
              <w:rPr>
                <w:rFonts w:hint="default"/>
                <w:color w:val="000000" w:themeColor="text1"/>
                <w:sz w:val="24"/>
                <w:highlight w:val="none"/>
              </w:rPr>
            </w:pPr>
            <w:r>
              <w:rPr>
                <w:rFonts w:hint="default"/>
                <w:color w:val="000000" w:themeColor="text1"/>
                <w:sz w:val="24"/>
                <w:highlight w:val="none"/>
              </w:rPr>
              <w:t>开户银行</w:t>
            </w:r>
          </w:p>
        </w:tc>
        <w:tc>
          <w:tcPr>
            <w:tcW w:w="1751" w:type="dxa"/>
            <w:gridSpan w:val="2"/>
            <w:vAlign w:val="center"/>
          </w:tcPr>
          <w:p w14:paraId="57074D72">
            <w:pPr>
              <w:keepNext w:val="0"/>
              <w:keepLines w:val="0"/>
              <w:suppressLineNumbers w:val="0"/>
              <w:shd w:val="clear"/>
              <w:spacing w:before="0" w:beforeAutospacing="0" w:after="0" w:afterAutospacing="0" w:line="400" w:lineRule="atLeast"/>
              <w:ind w:left="0" w:right="0" w:firstLine="0" w:firstLineChars="0"/>
              <w:jc w:val="center"/>
              <w:rPr>
                <w:rFonts w:hint="default"/>
                <w:color w:val="000000" w:themeColor="text1"/>
                <w:sz w:val="24"/>
                <w:highlight w:val="none"/>
              </w:rPr>
            </w:pPr>
          </w:p>
        </w:tc>
        <w:tc>
          <w:tcPr>
            <w:tcW w:w="1346" w:type="dxa"/>
            <w:vMerge w:val="continue"/>
            <w:vAlign w:val="center"/>
          </w:tcPr>
          <w:p w14:paraId="4FA12DE1">
            <w:pPr>
              <w:keepNext w:val="0"/>
              <w:keepLines w:val="0"/>
              <w:suppressLineNumbers w:val="0"/>
              <w:shd w:val="clear"/>
              <w:spacing w:before="0" w:beforeAutospacing="0" w:after="0" w:afterAutospacing="0" w:line="400" w:lineRule="atLeast"/>
              <w:ind w:left="0" w:right="0" w:firstLine="0" w:firstLineChars="0"/>
              <w:jc w:val="center"/>
              <w:rPr>
                <w:rFonts w:hint="default"/>
                <w:color w:val="000000" w:themeColor="text1"/>
                <w:sz w:val="24"/>
                <w:highlight w:val="none"/>
              </w:rPr>
            </w:pPr>
          </w:p>
        </w:tc>
        <w:tc>
          <w:tcPr>
            <w:tcW w:w="1759" w:type="dxa"/>
            <w:gridSpan w:val="2"/>
            <w:vAlign w:val="center"/>
          </w:tcPr>
          <w:p w14:paraId="0023739E">
            <w:pPr>
              <w:keepNext w:val="0"/>
              <w:keepLines w:val="0"/>
              <w:suppressLineNumbers w:val="0"/>
              <w:shd w:val="clear"/>
              <w:spacing w:before="0" w:beforeAutospacing="0" w:after="0" w:afterAutospacing="0" w:line="400" w:lineRule="atLeast"/>
              <w:ind w:left="0" w:right="0" w:firstLine="0" w:firstLineChars="0"/>
              <w:jc w:val="center"/>
              <w:rPr>
                <w:rFonts w:hint="default"/>
                <w:color w:val="000000" w:themeColor="text1"/>
                <w:sz w:val="24"/>
                <w:highlight w:val="none"/>
              </w:rPr>
            </w:pPr>
            <w:r>
              <w:rPr>
                <w:rFonts w:hint="default"/>
                <w:color w:val="000000" w:themeColor="text1"/>
                <w:sz w:val="24"/>
                <w:highlight w:val="none"/>
              </w:rPr>
              <w:t>技工</w:t>
            </w:r>
          </w:p>
        </w:tc>
        <w:tc>
          <w:tcPr>
            <w:tcW w:w="2589" w:type="dxa"/>
            <w:gridSpan w:val="2"/>
            <w:vAlign w:val="center"/>
          </w:tcPr>
          <w:p w14:paraId="7800342B">
            <w:pPr>
              <w:keepNext w:val="0"/>
              <w:keepLines w:val="0"/>
              <w:suppressLineNumbers w:val="0"/>
              <w:shd w:val="clear"/>
              <w:spacing w:before="0" w:beforeAutospacing="0" w:after="0" w:afterAutospacing="0" w:line="400" w:lineRule="atLeast"/>
              <w:ind w:left="0" w:right="0" w:firstLine="0" w:firstLineChars="0"/>
              <w:jc w:val="center"/>
              <w:rPr>
                <w:rFonts w:hint="default"/>
                <w:color w:val="000000" w:themeColor="text1"/>
                <w:sz w:val="24"/>
                <w:highlight w:val="none"/>
              </w:rPr>
            </w:pPr>
          </w:p>
        </w:tc>
      </w:tr>
      <w:tr w14:paraId="558ED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12" w:type="dxa"/>
            <w:vAlign w:val="center"/>
          </w:tcPr>
          <w:p w14:paraId="4E88458E">
            <w:pPr>
              <w:keepNext w:val="0"/>
              <w:keepLines w:val="0"/>
              <w:suppressLineNumbers w:val="0"/>
              <w:shd w:val="clear"/>
              <w:spacing w:before="0" w:beforeAutospacing="0" w:after="0" w:afterAutospacing="0" w:line="400" w:lineRule="atLeast"/>
              <w:ind w:left="0" w:right="0" w:firstLine="0" w:firstLineChars="0"/>
              <w:jc w:val="center"/>
              <w:rPr>
                <w:rFonts w:hint="default"/>
                <w:color w:val="000000" w:themeColor="text1"/>
                <w:sz w:val="24"/>
                <w:highlight w:val="none"/>
              </w:rPr>
            </w:pPr>
            <w:r>
              <w:rPr>
                <w:rFonts w:hint="default"/>
                <w:color w:val="000000" w:themeColor="text1"/>
                <w:sz w:val="24"/>
                <w:highlight w:val="none"/>
              </w:rPr>
              <w:t>账号</w:t>
            </w:r>
          </w:p>
        </w:tc>
        <w:tc>
          <w:tcPr>
            <w:tcW w:w="1751" w:type="dxa"/>
            <w:gridSpan w:val="2"/>
            <w:vAlign w:val="center"/>
          </w:tcPr>
          <w:p w14:paraId="7F209C1C">
            <w:pPr>
              <w:keepNext w:val="0"/>
              <w:keepLines w:val="0"/>
              <w:suppressLineNumbers w:val="0"/>
              <w:shd w:val="clear"/>
              <w:spacing w:before="0" w:beforeAutospacing="0" w:after="0" w:afterAutospacing="0" w:line="400" w:lineRule="atLeast"/>
              <w:ind w:left="0" w:right="0" w:firstLine="0" w:firstLineChars="0"/>
              <w:jc w:val="center"/>
              <w:rPr>
                <w:rFonts w:hint="default"/>
                <w:color w:val="000000" w:themeColor="text1"/>
                <w:sz w:val="24"/>
                <w:highlight w:val="none"/>
              </w:rPr>
            </w:pPr>
          </w:p>
        </w:tc>
        <w:tc>
          <w:tcPr>
            <w:tcW w:w="1346" w:type="dxa"/>
            <w:vMerge w:val="continue"/>
            <w:vAlign w:val="center"/>
          </w:tcPr>
          <w:p w14:paraId="2EE3F470">
            <w:pPr>
              <w:keepNext w:val="0"/>
              <w:keepLines w:val="0"/>
              <w:suppressLineNumbers w:val="0"/>
              <w:shd w:val="clear"/>
              <w:spacing w:before="0" w:beforeAutospacing="0" w:after="0" w:afterAutospacing="0" w:line="400" w:lineRule="atLeast"/>
              <w:ind w:left="0" w:right="0" w:firstLine="0" w:firstLineChars="0"/>
              <w:jc w:val="center"/>
              <w:rPr>
                <w:rFonts w:hint="default"/>
                <w:color w:val="000000" w:themeColor="text1"/>
                <w:sz w:val="24"/>
                <w:highlight w:val="none"/>
              </w:rPr>
            </w:pPr>
          </w:p>
        </w:tc>
        <w:tc>
          <w:tcPr>
            <w:tcW w:w="1759" w:type="dxa"/>
            <w:gridSpan w:val="2"/>
            <w:vAlign w:val="center"/>
          </w:tcPr>
          <w:p w14:paraId="1D74A73B">
            <w:pPr>
              <w:keepNext w:val="0"/>
              <w:keepLines w:val="0"/>
              <w:suppressLineNumbers w:val="0"/>
              <w:shd w:val="clear"/>
              <w:spacing w:before="0" w:beforeAutospacing="0" w:after="0" w:afterAutospacing="0" w:line="400" w:lineRule="atLeast"/>
              <w:ind w:left="0" w:right="0" w:firstLine="0" w:firstLineChars="0"/>
              <w:jc w:val="center"/>
              <w:rPr>
                <w:rFonts w:hint="default"/>
                <w:color w:val="000000" w:themeColor="text1"/>
                <w:sz w:val="24"/>
                <w:highlight w:val="none"/>
              </w:rPr>
            </w:pPr>
          </w:p>
        </w:tc>
        <w:tc>
          <w:tcPr>
            <w:tcW w:w="2589" w:type="dxa"/>
            <w:gridSpan w:val="2"/>
            <w:vAlign w:val="center"/>
          </w:tcPr>
          <w:p w14:paraId="5A99B1C8">
            <w:pPr>
              <w:keepNext w:val="0"/>
              <w:keepLines w:val="0"/>
              <w:suppressLineNumbers w:val="0"/>
              <w:shd w:val="clear"/>
              <w:spacing w:before="0" w:beforeAutospacing="0" w:after="0" w:afterAutospacing="0" w:line="400" w:lineRule="atLeast"/>
              <w:ind w:left="0" w:right="0" w:firstLine="0" w:firstLineChars="0"/>
              <w:jc w:val="center"/>
              <w:rPr>
                <w:rFonts w:hint="default"/>
                <w:color w:val="000000" w:themeColor="text1"/>
                <w:sz w:val="24"/>
                <w:highlight w:val="none"/>
              </w:rPr>
            </w:pPr>
          </w:p>
        </w:tc>
      </w:tr>
      <w:tr w14:paraId="102A6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8" w:hRule="atLeast"/>
          <w:jc w:val="center"/>
        </w:trPr>
        <w:tc>
          <w:tcPr>
            <w:tcW w:w="1612" w:type="dxa"/>
            <w:vAlign w:val="center"/>
          </w:tcPr>
          <w:p w14:paraId="0E3C27F5">
            <w:pPr>
              <w:keepNext w:val="0"/>
              <w:keepLines w:val="0"/>
              <w:suppressLineNumbers w:val="0"/>
              <w:shd w:val="clear"/>
              <w:spacing w:before="0" w:beforeAutospacing="0" w:after="0" w:afterAutospacing="0" w:line="400" w:lineRule="atLeast"/>
              <w:ind w:left="0" w:right="0" w:firstLine="0" w:firstLineChars="0"/>
              <w:jc w:val="center"/>
              <w:rPr>
                <w:rFonts w:hint="default"/>
                <w:color w:val="000000" w:themeColor="text1"/>
                <w:sz w:val="24"/>
                <w:highlight w:val="none"/>
              </w:rPr>
            </w:pPr>
            <w:r>
              <w:rPr>
                <w:rFonts w:hint="default"/>
                <w:color w:val="000000" w:themeColor="text1"/>
                <w:sz w:val="24"/>
                <w:highlight w:val="none"/>
              </w:rPr>
              <w:t>经营范围</w:t>
            </w:r>
          </w:p>
        </w:tc>
        <w:tc>
          <w:tcPr>
            <w:tcW w:w="7445" w:type="dxa"/>
            <w:gridSpan w:val="7"/>
            <w:vAlign w:val="center"/>
          </w:tcPr>
          <w:p w14:paraId="34615E68">
            <w:pPr>
              <w:keepNext w:val="0"/>
              <w:keepLines w:val="0"/>
              <w:suppressLineNumbers w:val="0"/>
              <w:shd w:val="clear"/>
              <w:spacing w:before="0" w:beforeAutospacing="0" w:after="0" w:afterAutospacing="0" w:line="400" w:lineRule="atLeast"/>
              <w:ind w:left="0" w:right="0" w:firstLine="0" w:firstLineChars="0"/>
              <w:jc w:val="center"/>
              <w:rPr>
                <w:rFonts w:hint="default"/>
                <w:color w:val="000000" w:themeColor="text1"/>
                <w:sz w:val="24"/>
                <w:highlight w:val="none"/>
              </w:rPr>
            </w:pPr>
          </w:p>
        </w:tc>
      </w:tr>
      <w:tr w14:paraId="3969E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1612" w:type="dxa"/>
            <w:vAlign w:val="center"/>
          </w:tcPr>
          <w:p w14:paraId="69B9BFF5">
            <w:pPr>
              <w:keepNext w:val="0"/>
              <w:keepLines w:val="0"/>
              <w:suppressLineNumbers w:val="0"/>
              <w:shd w:val="clear"/>
              <w:spacing w:before="0" w:beforeAutospacing="0" w:after="0" w:afterAutospacing="0" w:line="400" w:lineRule="atLeast"/>
              <w:ind w:left="0" w:right="0" w:firstLine="0" w:firstLineChars="0"/>
              <w:jc w:val="center"/>
              <w:rPr>
                <w:rFonts w:hint="default"/>
                <w:color w:val="000000" w:themeColor="text1"/>
                <w:sz w:val="24"/>
                <w:highlight w:val="none"/>
              </w:rPr>
            </w:pPr>
            <w:r>
              <w:rPr>
                <w:rFonts w:hint="default"/>
                <w:color w:val="000000" w:themeColor="text1"/>
                <w:sz w:val="24"/>
                <w:highlight w:val="none"/>
              </w:rPr>
              <w:t>备注</w:t>
            </w:r>
          </w:p>
        </w:tc>
        <w:tc>
          <w:tcPr>
            <w:tcW w:w="7445" w:type="dxa"/>
            <w:gridSpan w:val="7"/>
            <w:vAlign w:val="center"/>
          </w:tcPr>
          <w:p w14:paraId="12D7E8E4">
            <w:pPr>
              <w:keepNext w:val="0"/>
              <w:keepLines w:val="0"/>
              <w:suppressLineNumbers w:val="0"/>
              <w:shd w:val="clear"/>
              <w:spacing w:before="0" w:beforeAutospacing="0" w:after="0" w:afterAutospacing="0" w:line="400" w:lineRule="atLeast"/>
              <w:ind w:left="0" w:right="0" w:firstLine="0" w:firstLineChars="0"/>
              <w:jc w:val="center"/>
              <w:rPr>
                <w:rFonts w:hint="default"/>
                <w:color w:val="000000" w:themeColor="text1"/>
                <w:sz w:val="24"/>
                <w:highlight w:val="none"/>
              </w:rPr>
            </w:pPr>
          </w:p>
        </w:tc>
      </w:tr>
    </w:tbl>
    <w:p w14:paraId="02011C53">
      <w:pPr>
        <w:pStyle w:val="4"/>
        <w:spacing w:line="400" w:lineRule="atLeast"/>
        <w:ind w:firstLine="420" w:firstLineChars="200"/>
        <w:jc w:val="left"/>
        <w:outlineLvl w:val="1"/>
        <w:rPr>
          <w:color w:val="000000" w:themeColor="text1"/>
          <w:highlight w:val="none"/>
        </w:rPr>
        <w:sectPr>
          <w:headerReference r:id="rId20" w:type="default"/>
          <w:footerReference r:id="rId21" w:type="default"/>
          <w:pgSz w:w="11905" w:h="16838"/>
          <w:pgMar w:top="1247" w:right="1247" w:bottom="1247" w:left="1247" w:header="720" w:footer="720" w:gutter="0"/>
          <w:pgBorders>
            <w:top w:val="none" w:sz="0" w:space="0"/>
            <w:left w:val="none" w:sz="0" w:space="0"/>
            <w:bottom w:val="none" w:sz="0" w:space="0"/>
            <w:right w:val="none" w:sz="0" w:space="0"/>
          </w:pgBorders>
          <w:pgNumType w:fmt="decimal"/>
          <w:cols w:space="0" w:num="1"/>
          <w:rtlGutter w:val="0"/>
          <w:docGrid w:type="lines" w:linePitch="326" w:charSpace="0"/>
        </w:sectPr>
      </w:pPr>
      <w:r>
        <w:rPr>
          <w:rFonts w:hint="eastAsia" w:ascii="Times New Roman" w:hAnsi="Times New Roman" w:eastAsia="宋体" w:cs="Times New Roman"/>
          <w:b w:val="0"/>
          <w:color w:val="000000" w:themeColor="text1"/>
          <w:kern w:val="2"/>
          <w:sz w:val="21"/>
          <w:szCs w:val="24"/>
          <w:lang w:val="en-US" w:eastAsia="zh-CN" w:bidi="ar-SA"/>
        </w:rPr>
        <w:t>注：后附企业</w:t>
      </w:r>
      <w:r>
        <w:rPr>
          <w:rFonts w:hint="eastAsia" w:ascii="Times New Roman" w:hAnsi="Times New Roman" w:eastAsia="宋体" w:cs="Times New Roman"/>
          <w:b/>
          <w:bCs/>
          <w:color w:val="000000" w:themeColor="text1"/>
          <w:kern w:val="2"/>
          <w:sz w:val="21"/>
          <w:szCs w:val="24"/>
          <w:lang w:val="en-US" w:eastAsia="zh-CN" w:bidi="ar-SA"/>
        </w:rPr>
        <w:t>营业执照</w:t>
      </w:r>
      <w:r>
        <w:rPr>
          <w:rFonts w:hint="eastAsia" w:ascii="Times New Roman" w:hAnsi="Times New Roman" w:eastAsia="宋体" w:cs="Times New Roman"/>
          <w:b w:val="0"/>
          <w:color w:val="000000" w:themeColor="text1"/>
          <w:kern w:val="2"/>
          <w:sz w:val="21"/>
          <w:szCs w:val="24"/>
          <w:lang w:val="en-US" w:eastAsia="zh-CN" w:bidi="ar-SA"/>
        </w:rPr>
        <w:t>、</w:t>
      </w:r>
      <w:r>
        <w:rPr>
          <w:rFonts w:hint="eastAsia" w:ascii="Times New Roman" w:hAnsi="Times New Roman" w:eastAsia="宋体" w:cs="Times New Roman"/>
          <w:b/>
          <w:bCs/>
          <w:color w:val="000000" w:themeColor="text1"/>
          <w:kern w:val="2"/>
          <w:sz w:val="21"/>
          <w:szCs w:val="24"/>
          <w:lang w:val="en-US" w:eastAsia="zh-CN" w:bidi="ar-SA"/>
        </w:rPr>
        <w:t>开户许可证或基本存款账户信息</w:t>
      </w:r>
      <w:r>
        <w:rPr>
          <w:rFonts w:hint="eastAsia" w:cs="Times New Roman"/>
          <w:b w:val="0"/>
          <w:color w:val="000000" w:themeColor="text1"/>
          <w:kern w:val="2"/>
          <w:sz w:val="21"/>
          <w:szCs w:val="24"/>
          <w:lang w:val="en-US" w:eastAsia="zh-CN" w:bidi="ar-SA"/>
        </w:rPr>
        <w:t>扫描件</w:t>
      </w:r>
      <w:r>
        <w:rPr>
          <w:rFonts w:hint="eastAsia" w:ascii="Times New Roman" w:hAnsi="Times New Roman" w:eastAsia="宋体" w:cs="Times New Roman"/>
          <w:b w:val="0"/>
          <w:color w:val="000000" w:themeColor="text1"/>
          <w:kern w:val="2"/>
          <w:sz w:val="21"/>
          <w:szCs w:val="24"/>
          <w:lang w:val="en-US" w:eastAsia="zh-CN" w:bidi="ar-SA"/>
        </w:rPr>
        <w:t>（盖单位公章）。</w:t>
      </w:r>
      <w:r>
        <w:rPr>
          <w:color w:val="000000" w:themeColor="text1"/>
          <w:highlight w:val="none"/>
        </w:rPr>
        <w:br w:type="page"/>
      </w:r>
      <w:bookmarkEnd w:id="242"/>
      <w:bookmarkEnd w:id="243"/>
      <w:bookmarkEnd w:id="244"/>
      <w:bookmarkEnd w:id="245"/>
      <w:bookmarkEnd w:id="246"/>
      <w:bookmarkEnd w:id="247"/>
      <w:bookmarkStart w:id="249" w:name="_Toc24900"/>
      <w:bookmarkStart w:id="250" w:name="_Toc10837"/>
    </w:p>
    <w:p w14:paraId="6EB2CC62">
      <w:pPr>
        <w:pStyle w:val="4"/>
        <w:spacing w:line="400" w:lineRule="atLeast"/>
        <w:ind w:firstLine="0" w:firstLineChars="0"/>
        <w:jc w:val="center"/>
        <w:outlineLvl w:val="1"/>
        <w:rPr>
          <w:rStyle w:val="104"/>
          <w:b w:val="0"/>
          <w:bCs/>
          <w:highlight w:val="none"/>
        </w:rPr>
      </w:pPr>
      <w:r>
        <w:rPr>
          <w:rStyle w:val="104"/>
          <w:rFonts w:hint="eastAsia"/>
          <w:b w:val="0"/>
          <w:bCs/>
          <w:highlight w:val="none"/>
          <w:lang w:eastAsia="zh-CN"/>
        </w:rPr>
        <w:t>六</w:t>
      </w:r>
      <w:r>
        <w:rPr>
          <w:rStyle w:val="104"/>
          <w:rFonts w:hint="eastAsia"/>
          <w:b w:val="0"/>
          <w:bCs/>
          <w:highlight w:val="none"/>
        </w:rPr>
        <w:t>、项目负责人简历表</w:t>
      </w:r>
      <w:bookmarkEnd w:id="249"/>
      <w:bookmarkEnd w:id="250"/>
    </w:p>
    <w:tbl>
      <w:tblPr>
        <w:tblStyle w:val="49"/>
        <w:tblW w:w="87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9"/>
        <w:gridCol w:w="759"/>
        <w:gridCol w:w="1138"/>
        <w:gridCol w:w="1139"/>
        <w:gridCol w:w="1291"/>
        <w:gridCol w:w="1125"/>
        <w:gridCol w:w="2160"/>
      </w:tblGrid>
      <w:tr w14:paraId="14B8C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1139" w:type="dxa"/>
            <w:vAlign w:val="center"/>
          </w:tcPr>
          <w:p w14:paraId="2F969360">
            <w:pPr>
              <w:keepNext w:val="0"/>
              <w:keepLines w:val="0"/>
              <w:suppressLineNumbers w:val="0"/>
              <w:spacing w:before="0" w:beforeAutospacing="0" w:after="0" w:afterAutospacing="0" w:line="400" w:lineRule="atLeast"/>
              <w:ind w:left="0" w:right="0" w:firstLine="0" w:firstLineChars="0"/>
              <w:jc w:val="center"/>
              <w:rPr>
                <w:rFonts w:hint="default"/>
                <w:color w:val="000000" w:themeColor="text1"/>
                <w:highlight w:val="none"/>
              </w:rPr>
            </w:pPr>
            <w:r>
              <w:rPr>
                <w:rFonts w:hint="default"/>
                <w:color w:val="000000" w:themeColor="text1"/>
                <w:highlight w:val="none"/>
              </w:rPr>
              <w:t>姓名</w:t>
            </w:r>
          </w:p>
        </w:tc>
        <w:tc>
          <w:tcPr>
            <w:tcW w:w="1897" w:type="dxa"/>
            <w:gridSpan w:val="2"/>
            <w:vAlign w:val="center"/>
          </w:tcPr>
          <w:p w14:paraId="77957513">
            <w:pPr>
              <w:keepNext w:val="0"/>
              <w:keepLines w:val="0"/>
              <w:suppressLineNumbers w:val="0"/>
              <w:spacing w:before="0" w:beforeAutospacing="0" w:after="0" w:afterAutospacing="0" w:line="400" w:lineRule="atLeast"/>
              <w:ind w:left="0" w:right="0" w:firstLine="0" w:firstLineChars="0"/>
              <w:jc w:val="center"/>
              <w:rPr>
                <w:rFonts w:hint="default"/>
                <w:color w:val="000000" w:themeColor="text1"/>
                <w:highlight w:val="none"/>
              </w:rPr>
            </w:pPr>
          </w:p>
        </w:tc>
        <w:tc>
          <w:tcPr>
            <w:tcW w:w="1139" w:type="dxa"/>
            <w:vAlign w:val="center"/>
          </w:tcPr>
          <w:p w14:paraId="612E3437">
            <w:pPr>
              <w:keepNext w:val="0"/>
              <w:keepLines w:val="0"/>
              <w:suppressLineNumbers w:val="0"/>
              <w:spacing w:before="0" w:beforeAutospacing="0" w:after="0" w:afterAutospacing="0" w:line="400" w:lineRule="atLeast"/>
              <w:ind w:left="0" w:right="0" w:firstLine="0" w:firstLineChars="0"/>
              <w:jc w:val="center"/>
              <w:rPr>
                <w:rFonts w:hint="default"/>
                <w:color w:val="000000" w:themeColor="text1"/>
                <w:highlight w:val="none"/>
              </w:rPr>
            </w:pPr>
            <w:r>
              <w:rPr>
                <w:rFonts w:hint="default"/>
                <w:color w:val="000000" w:themeColor="text1"/>
                <w:highlight w:val="none"/>
              </w:rPr>
              <w:t>性别</w:t>
            </w:r>
          </w:p>
        </w:tc>
        <w:tc>
          <w:tcPr>
            <w:tcW w:w="1291" w:type="dxa"/>
            <w:vAlign w:val="center"/>
          </w:tcPr>
          <w:p w14:paraId="1200105E">
            <w:pPr>
              <w:keepNext w:val="0"/>
              <w:keepLines w:val="0"/>
              <w:suppressLineNumbers w:val="0"/>
              <w:spacing w:before="0" w:beforeAutospacing="0" w:after="0" w:afterAutospacing="0" w:line="400" w:lineRule="atLeast"/>
              <w:ind w:left="0" w:right="0" w:firstLine="0" w:firstLineChars="0"/>
              <w:jc w:val="center"/>
              <w:rPr>
                <w:rFonts w:hint="default"/>
                <w:color w:val="000000" w:themeColor="text1"/>
                <w:highlight w:val="none"/>
              </w:rPr>
            </w:pPr>
          </w:p>
        </w:tc>
        <w:tc>
          <w:tcPr>
            <w:tcW w:w="1125" w:type="dxa"/>
            <w:vAlign w:val="center"/>
          </w:tcPr>
          <w:p w14:paraId="4B6261BE">
            <w:pPr>
              <w:keepNext w:val="0"/>
              <w:keepLines w:val="0"/>
              <w:suppressLineNumbers w:val="0"/>
              <w:spacing w:before="0" w:beforeAutospacing="0" w:after="0" w:afterAutospacing="0" w:line="400" w:lineRule="atLeast"/>
              <w:ind w:left="0" w:right="0" w:firstLine="0" w:firstLineChars="0"/>
              <w:jc w:val="center"/>
              <w:rPr>
                <w:rFonts w:hint="default"/>
                <w:color w:val="000000" w:themeColor="text1"/>
                <w:highlight w:val="none"/>
              </w:rPr>
            </w:pPr>
            <w:r>
              <w:rPr>
                <w:rFonts w:hint="default"/>
                <w:color w:val="000000" w:themeColor="text1"/>
                <w:highlight w:val="none"/>
              </w:rPr>
              <w:t>年龄</w:t>
            </w:r>
          </w:p>
        </w:tc>
        <w:tc>
          <w:tcPr>
            <w:tcW w:w="2160" w:type="dxa"/>
            <w:vAlign w:val="center"/>
          </w:tcPr>
          <w:p w14:paraId="0DDD56AC">
            <w:pPr>
              <w:keepNext w:val="0"/>
              <w:keepLines w:val="0"/>
              <w:suppressLineNumbers w:val="0"/>
              <w:spacing w:before="0" w:beforeAutospacing="0" w:after="0" w:afterAutospacing="0" w:line="400" w:lineRule="atLeast"/>
              <w:ind w:left="0" w:right="0" w:firstLine="0" w:firstLineChars="0"/>
              <w:jc w:val="center"/>
              <w:rPr>
                <w:rFonts w:hint="default"/>
                <w:color w:val="000000" w:themeColor="text1"/>
                <w:highlight w:val="none"/>
              </w:rPr>
            </w:pPr>
          </w:p>
        </w:tc>
      </w:tr>
      <w:tr w14:paraId="57E0F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1139" w:type="dxa"/>
            <w:vAlign w:val="center"/>
          </w:tcPr>
          <w:p w14:paraId="0CBA50A5">
            <w:pPr>
              <w:keepNext w:val="0"/>
              <w:keepLines w:val="0"/>
              <w:suppressLineNumbers w:val="0"/>
              <w:spacing w:before="0" w:beforeAutospacing="0" w:after="0" w:afterAutospacing="0" w:line="400" w:lineRule="atLeast"/>
              <w:ind w:left="0" w:right="0" w:firstLine="0" w:firstLineChars="0"/>
              <w:jc w:val="center"/>
              <w:rPr>
                <w:rFonts w:hint="default"/>
                <w:color w:val="000000" w:themeColor="text1"/>
                <w:highlight w:val="none"/>
              </w:rPr>
            </w:pPr>
            <w:r>
              <w:rPr>
                <w:rFonts w:hint="default"/>
                <w:color w:val="000000" w:themeColor="text1"/>
                <w:highlight w:val="none"/>
              </w:rPr>
              <w:t>职务</w:t>
            </w:r>
          </w:p>
        </w:tc>
        <w:tc>
          <w:tcPr>
            <w:tcW w:w="1897" w:type="dxa"/>
            <w:gridSpan w:val="2"/>
            <w:vAlign w:val="center"/>
          </w:tcPr>
          <w:p w14:paraId="407620C8">
            <w:pPr>
              <w:keepNext w:val="0"/>
              <w:keepLines w:val="0"/>
              <w:suppressLineNumbers w:val="0"/>
              <w:spacing w:before="0" w:beforeAutospacing="0" w:after="0" w:afterAutospacing="0" w:line="400" w:lineRule="atLeast"/>
              <w:ind w:left="0" w:right="0" w:firstLine="0" w:firstLineChars="0"/>
              <w:jc w:val="center"/>
              <w:rPr>
                <w:rFonts w:hint="default"/>
                <w:color w:val="000000" w:themeColor="text1"/>
                <w:highlight w:val="none"/>
              </w:rPr>
            </w:pPr>
          </w:p>
        </w:tc>
        <w:tc>
          <w:tcPr>
            <w:tcW w:w="1139" w:type="dxa"/>
            <w:vAlign w:val="center"/>
          </w:tcPr>
          <w:p w14:paraId="0AD58159">
            <w:pPr>
              <w:keepNext w:val="0"/>
              <w:keepLines w:val="0"/>
              <w:suppressLineNumbers w:val="0"/>
              <w:spacing w:before="0" w:beforeAutospacing="0" w:after="0" w:afterAutospacing="0" w:line="400" w:lineRule="atLeast"/>
              <w:ind w:left="0" w:right="0" w:firstLine="0" w:firstLineChars="0"/>
              <w:jc w:val="center"/>
              <w:rPr>
                <w:rFonts w:hint="default"/>
                <w:color w:val="000000" w:themeColor="text1"/>
                <w:highlight w:val="none"/>
              </w:rPr>
            </w:pPr>
            <w:r>
              <w:rPr>
                <w:rFonts w:hint="default"/>
                <w:color w:val="000000" w:themeColor="text1"/>
                <w:highlight w:val="none"/>
              </w:rPr>
              <w:t>职称</w:t>
            </w:r>
          </w:p>
        </w:tc>
        <w:tc>
          <w:tcPr>
            <w:tcW w:w="1291" w:type="dxa"/>
            <w:vAlign w:val="center"/>
          </w:tcPr>
          <w:p w14:paraId="6B71E333">
            <w:pPr>
              <w:keepNext w:val="0"/>
              <w:keepLines w:val="0"/>
              <w:suppressLineNumbers w:val="0"/>
              <w:spacing w:before="0" w:beforeAutospacing="0" w:after="0" w:afterAutospacing="0" w:line="400" w:lineRule="atLeast"/>
              <w:ind w:left="0" w:right="0" w:firstLine="0" w:firstLineChars="0"/>
              <w:jc w:val="center"/>
              <w:rPr>
                <w:rFonts w:hint="default"/>
                <w:color w:val="000000" w:themeColor="text1"/>
                <w:highlight w:val="none"/>
              </w:rPr>
            </w:pPr>
          </w:p>
        </w:tc>
        <w:tc>
          <w:tcPr>
            <w:tcW w:w="1125" w:type="dxa"/>
            <w:vAlign w:val="center"/>
          </w:tcPr>
          <w:p w14:paraId="6616D0A4">
            <w:pPr>
              <w:keepNext w:val="0"/>
              <w:keepLines w:val="0"/>
              <w:suppressLineNumbers w:val="0"/>
              <w:spacing w:before="0" w:beforeAutospacing="0" w:after="0" w:afterAutospacing="0" w:line="400" w:lineRule="atLeast"/>
              <w:ind w:left="0" w:right="0" w:firstLine="0" w:firstLineChars="0"/>
              <w:jc w:val="center"/>
              <w:rPr>
                <w:rFonts w:hint="default"/>
                <w:color w:val="000000" w:themeColor="text1"/>
                <w:highlight w:val="none"/>
              </w:rPr>
            </w:pPr>
            <w:r>
              <w:rPr>
                <w:rFonts w:hint="default"/>
                <w:color w:val="000000" w:themeColor="text1"/>
                <w:highlight w:val="none"/>
              </w:rPr>
              <w:t>学历</w:t>
            </w:r>
          </w:p>
        </w:tc>
        <w:tc>
          <w:tcPr>
            <w:tcW w:w="2160" w:type="dxa"/>
            <w:vAlign w:val="center"/>
          </w:tcPr>
          <w:p w14:paraId="4D45ACD6">
            <w:pPr>
              <w:keepNext w:val="0"/>
              <w:keepLines w:val="0"/>
              <w:suppressLineNumbers w:val="0"/>
              <w:spacing w:before="0" w:beforeAutospacing="0" w:after="0" w:afterAutospacing="0" w:line="400" w:lineRule="atLeast"/>
              <w:ind w:left="0" w:right="0" w:firstLine="0" w:firstLineChars="0"/>
              <w:jc w:val="center"/>
              <w:rPr>
                <w:rFonts w:hint="default"/>
                <w:color w:val="000000" w:themeColor="text1"/>
                <w:highlight w:val="none"/>
              </w:rPr>
            </w:pPr>
          </w:p>
        </w:tc>
      </w:tr>
      <w:tr w14:paraId="3F6A8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1898" w:type="dxa"/>
            <w:gridSpan w:val="2"/>
            <w:vAlign w:val="center"/>
          </w:tcPr>
          <w:p w14:paraId="4CB4C0F4">
            <w:pPr>
              <w:keepNext w:val="0"/>
              <w:keepLines w:val="0"/>
              <w:suppressLineNumbers w:val="0"/>
              <w:tabs>
                <w:tab w:val="left" w:pos="1080"/>
              </w:tabs>
              <w:spacing w:before="0" w:beforeAutospacing="0" w:after="0" w:afterAutospacing="0" w:line="400" w:lineRule="atLeast"/>
              <w:ind w:left="0" w:right="0" w:firstLine="0" w:firstLineChars="0"/>
              <w:jc w:val="center"/>
              <w:rPr>
                <w:rFonts w:hint="default"/>
                <w:color w:val="000000" w:themeColor="text1"/>
                <w:highlight w:val="none"/>
              </w:rPr>
            </w:pPr>
            <w:r>
              <w:rPr>
                <w:rFonts w:hint="default"/>
                <w:color w:val="000000" w:themeColor="text1"/>
                <w:highlight w:val="none"/>
              </w:rPr>
              <w:t>注册证号</w:t>
            </w:r>
          </w:p>
        </w:tc>
        <w:tc>
          <w:tcPr>
            <w:tcW w:w="2277" w:type="dxa"/>
            <w:gridSpan w:val="2"/>
            <w:vAlign w:val="center"/>
          </w:tcPr>
          <w:p w14:paraId="6B5374FF">
            <w:pPr>
              <w:keepNext w:val="0"/>
              <w:keepLines w:val="0"/>
              <w:suppressLineNumbers w:val="0"/>
              <w:spacing w:before="0" w:beforeAutospacing="0" w:after="0" w:afterAutospacing="0" w:line="400" w:lineRule="atLeast"/>
              <w:ind w:left="0" w:right="0" w:firstLine="0" w:firstLineChars="0"/>
              <w:jc w:val="center"/>
              <w:rPr>
                <w:rFonts w:hint="default"/>
                <w:color w:val="000000" w:themeColor="text1"/>
                <w:highlight w:val="none"/>
              </w:rPr>
            </w:pPr>
          </w:p>
        </w:tc>
        <w:tc>
          <w:tcPr>
            <w:tcW w:w="2416" w:type="dxa"/>
            <w:gridSpan w:val="2"/>
            <w:vAlign w:val="center"/>
          </w:tcPr>
          <w:p w14:paraId="79188E94">
            <w:pPr>
              <w:keepNext w:val="0"/>
              <w:keepLines w:val="0"/>
              <w:suppressLineNumbers w:val="0"/>
              <w:spacing w:before="0" w:beforeAutospacing="0" w:after="0" w:afterAutospacing="0" w:line="400" w:lineRule="atLeast"/>
              <w:ind w:left="0" w:right="0" w:firstLine="0" w:firstLineChars="0"/>
              <w:jc w:val="center"/>
              <w:rPr>
                <w:rFonts w:hint="default"/>
                <w:color w:val="000000" w:themeColor="text1"/>
                <w:highlight w:val="none"/>
              </w:rPr>
            </w:pPr>
            <w:r>
              <w:rPr>
                <w:rFonts w:hint="default"/>
                <w:color w:val="000000" w:themeColor="text1"/>
                <w:highlight w:val="none"/>
              </w:rPr>
              <w:t>专业</w:t>
            </w:r>
          </w:p>
        </w:tc>
        <w:tc>
          <w:tcPr>
            <w:tcW w:w="2160" w:type="dxa"/>
            <w:vAlign w:val="center"/>
          </w:tcPr>
          <w:p w14:paraId="6B2116EA">
            <w:pPr>
              <w:keepNext w:val="0"/>
              <w:keepLines w:val="0"/>
              <w:suppressLineNumbers w:val="0"/>
              <w:spacing w:before="0" w:beforeAutospacing="0" w:after="0" w:afterAutospacing="0" w:line="400" w:lineRule="atLeast"/>
              <w:ind w:left="0" w:right="0" w:firstLine="0" w:firstLineChars="0"/>
              <w:jc w:val="center"/>
              <w:rPr>
                <w:rFonts w:hint="default"/>
                <w:color w:val="000000" w:themeColor="text1"/>
                <w:highlight w:val="none"/>
              </w:rPr>
            </w:pPr>
          </w:p>
        </w:tc>
      </w:tr>
      <w:tr w14:paraId="3F4D1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1898" w:type="dxa"/>
            <w:gridSpan w:val="2"/>
            <w:vAlign w:val="center"/>
          </w:tcPr>
          <w:p w14:paraId="1627C18C">
            <w:pPr>
              <w:keepNext w:val="0"/>
              <w:keepLines w:val="0"/>
              <w:suppressLineNumbers w:val="0"/>
              <w:spacing w:before="0" w:beforeAutospacing="0" w:after="0" w:afterAutospacing="0" w:line="400" w:lineRule="atLeast"/>
              <w:ind w:left="0" w:right="0" w:firstLine="0" w:firstLineChars="0"/>
              <w:jc w:val="center"/>
              <w:rPr>
                <w:rFonts w:hint="default"/>
                <w:color w:val="000000" w:themeColor="text1"/>
                <w:highlight w:val="none"/>
              </w:rPr>
            </w:pPr>
            <w:r>
              <w:rPr>
                <w:rFonts w:hint="default"/>
                <w:color w:val="000000" w:themeColor="text1"/>
                <w:highlight w:val="none"/>
              </w:rPr>
              <w:t>参加工作时间</w:t>
            </w:r>
          </w:p>
        </w:tc>
        <w:tc>
          <w:tcPr>
            <w:tcW w:w="2277" w:type="dxa"/>
            <w:gridSpan w:val="2"/>
            <w:vAlign w:val="center"/>
          </w:tcPr>
          <w:p w14:paraId="4EE2F1BC">
            <w:pPr>
              <w:keepNext w:val="0"/>
              <w:keepLines w:val="0"/>
              <w:suppressLineNumbers w:val="0"/>
              <w:spacing w:before="0" w:beforeAutospacing="0" w:after="0" w:afterAutospacing="0" w:line="400" w:lineRule="atLeast"/>
              <w:ind w:left="0" w:right="0" w:firstLine="0" w:firstLineChars="0"/>
              <w:jc w:val="center"/>
              <w:rPr>
                <w:rFonts w:hint="default"/>
                <w:color w:val="000000" w:themeColor="text1"/>
                <w:highlight w:val="none"/>
              </w:rPr>
            </w:pPr>
          </w:p>
        </w:tc>
        <w:tc>
          <w:tcPr>
            <w:tcW w:w="2416" w:type="dxa"/>
            <w:gridSpan w:val="2"/>
            <w:vAlign w:val="center"/>
          </w:tcPr>
          <w:p w14:paraId="36F4ED3C">
            <w:pPr>
              <w:keepNext w:val="0"/>
              <w:keepLines w:val="0"/>
              <w:suppressLineNumbers w:val="0"/>
              <w:spacing w:before="0" w:beforeAutospacing="0" w:after="0" w:afterAutospacing="0" w:line="400" w:lineRule="atLeast"/>
              <w:ind w:left="0" w:right="0" w:firstLine="0" w:firstLineChars="0"/>
              <w:jc w:val="center"/>
              <w:rPr>
                <w:rFonts w:hint="default"/>
                <w:color w:val="000000" w:themeColor="text1"/>
                <w:highlight w:val="none"/>
              </w:rPr>
            </w:pPr>
            <w:r>
              <w:rPr>
                <w:rFonts w:hint="default"/>
                <w:color w:val="000000" w:themeColor="text1"/>
                <w:highlight w:val="none"/>
              </w:rPr>
              <w:t>从事项目负责人年限</w:t>
            </w:r>
          </w:p>
        </w:tc>
        <w:tc>
          <w:tcPr>
            <w:tcW w:w="2160" w:type="dxa"/>
            <w:vAlign w:val="center"/>
          </w:tcPr>
          <w:p w14:paraId="0901D036">
            <w:pPr>
              <w:keepNext w:val="0"/>
              <w:keepLines w:val="0"/>
              <w:suppressLineNumbers w:val="0"/>
              <w:spacing w:before="0" w:beforeAutospacing="0" w:after="0" w:afterAutospacing="0" w:line="400" w:lineRule="atLeast"/>
              <w:ind w:left="0" w:right="0" w:firstLine="0" w:firstLineChars="0"/>
              <w:jc w:val="center"/>
              <w:rPr>
                <w:rFonts w:hint="default"/>
                <w:color w:val="000000" w:themeColor="text1"/>
                <w:highlight w:val="none"/>
              </w:rPr>
            </w:pPr>
          </w:p>
        </w:tc>
      </w:tr>
      <w:tr w14:paraId="170FE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4" w:hRule="atLeast"/>
          <w:jc w:val="center"/>
        </w:trPr>
        <w:tc>
          <w:tcPr>
            <w:tcW w:w="1139" w:type="dxa"/>
            <w:vAlign w:val="center"/>
          </w:tcPr>
          <w:p w14:paraId="4A4E881D">
            <w:pPr>
              <w:keepNext w:val="0"/>
              <w:keepLines w:val="0"/>
              <w:suppressLineNumbers w:val="0"/>
              <w:spacing w:before="0" w:beforeAutospacing="0" w:after="0" w:afterAutospacing="0" w:line="400" w:lineRule="atLeast"/>
              <w:ind w:left="0" w:right="0" w:firstLine="0" w:firstLineChars="0"/>
              <w:jc w:val="center"/>
              <w:rPr>
                <w:rFonts w:hint="default"/>
                <w:color w:val="000000" w:themeColor="text1"/>
                <w:highlight w:val="none"/>
              </w:rPr>
            </w:pPr>
            <w:r>
              <w:rPr>
                <w:rFonts w:hint="default"/>
                <w:color w:val="000000" w:themeColor="text1"/>
                <w:highlight w:val="none"/>
              </w:rPr>
              <w:t>项目负责人简历</w:t>
            </w:r>
          </w:p>
        </w:tc>
        <w:tc>
          <w:tcPr>
            <w:tcW w:w="7612" w:type="dxa"/>
            <w:gridSpan w:val="6"/>
            <w:vAlign w:val="center"/>
          </w:tcPr>
          <w:p w14:paraId="432B25F7">
            <w:pPr>
              <w:keepNext w:val="0"/>
              <w:keepLines w:val="0"/>
              <w:suppressLineNumbers w:val="0"/>
              <w:spacing w:before="0" w:beforeAutospacing="0" w:after="0" w:afterAutospacing="0" w:line="400" w:lineRule="atLeast"/>
              <w:ind w:left="0" w:right="0" w:firstLine="0" w:firstLineChars="0"/>
              <w:jc w:val="center"/>
              <w:rPr>
                <w:rFonts w:hint="default"/>
                <w:color w:val="000000" w:themeColor="text1"/>
                <w:highlight w:val="none"/>
              </w:rPr>
            </w:pPr>
          </w:p>
          <w:p w14:paraId="46741EB9">
            <w:pPr>
              <w:pStyle w:val="18"/>
              <w:keepNext w:val="0"/>
              <w:keepLines w:val="0"/>
              <w:suppressLineNumbers w:val="0"/>
              <w:spacing w:before="0" w:beforeAutospacing="0" w:afterAutospacing="0"/>
              <w:ind w:left="0" w:right="0" w:firstLine="420"/>
              <w:rPr>
                <w:rFonts w:hint="default"/>
                <w:color w:val="000000" w:themeColor="text1"/>
                <w:highlight w:val="none"/>
              </w:rPr>
            </w:pPr>
          </w:p>
          <w:p w14:paraId="7E07CC75">
            <w:pPr>
              <w:pStyle w:val="18"/>
              <w:keepNext w:val="0"/>
              <w:keepLines w:val="0"/>
              <w:suppressLineNumbers w:val="0"/>
              <w:spacing w:before="0" w:beforeAutospacing="0" w:afterAutospacing="0"/>
              <w:ind w:left="0" w:right="0" w:firstLine="420"/>
              <w:rPr>
                <w:rFonts w:hint="default"/>
                <w:color w:val="000000" w:themeColor="text1"/>
                <w:highlight w:val="none"/>
              </w:rPr>
            </w:pPr>
          </w:p>
          <w:p w14:paraId="02E86965">
            <w:pPr>
              <w:pStyle w:val="18"/>
              <w:keepNext w:val="0"/>
              <w:keepLines w:val="0"/>
              <w:suppressLineNumbers w:val="0"/>
              <w:spacing w:before="0" w:beforeAutospacing="0" w:afterAutospacing="0"/>
              <w:ind w:left="0" w:right="0" w:firstLine="420"/>
              <w:rPr>
                <w:rFonts w:hint="default"/>
                <w:color w:val="000000" w:themeColor="text1"/>
                <w:highlight w:val="none"/>
              </w:rPr>
            </w:pPr>
          </w:p>
          <w:p w14:paraId="73CD85CE">
            <w:pPr>
              <w:pStyle w:val="18"/>
              <w:keepNext w:val="0"/>
              <w:keepLines w:val="0"/>
              <w:suppressLineNumbers w:val="0"/>
              <w:spacing w:before="0" w:beforeAutospacing="0" w:afterAutospacing="0"/>
              <w:ind w:left="0" w:right="0" w:firstLine="420"/>
              <w:rPr>
                <w:rFonts w:hint="default"/>
                <w:color w:val="000000" w:themeColor="text1"/>
                <w:highlight w:val="none"/>
              </w:rPr>
            </w:pPr>
          </w:p>
          <w:p w14:paraId="7F9F1F02">
            <w:pPr>
              <w:pStyle w:val="18"/>
              <w:keepNext w:val="0"/>
              <w:keepLines w:val="0"/>
              <w:suppressLineNumbers w:val="0"/>
              <w:spacing w:before="0" w:beforeAutospacing="0" w:afterAutospacing="0"/>
              <w:ind w:left="0" w:right="0" w:firstLine="420"/>
              <w:rPr>
                <w:rFonts w:hint="default"/>
                <w:color w:val="000000" w:themeColor="text1"/>
                <w:highlight w:val="none"/>
              </w:rPr>
            </w:pPr>
          </w:p>
          <w:p w14:paraId="785B0E21">
            <w:pPr>
              <w:pStyle w:val="18"/>
              <w:keepNext w:val="0"/>
              <w:keepLines w:val="0"/>
              <w:suppressLineNumbers w:val="0"/>
              <w:spacing w:before="0" w:beforeAutospacing="0" w:afterAutospacing="0"/>
              <w:ind w:left="0" w:right="0" w:firstLine="420"/>
              <w:rPr>
                <w:rFonts w:hint="default"/>
                <w:color w:val="000000" w:themeColor="text1"/>
                <w:highlight w:val="none"/>
              </w:rPr>
            </w:pPr>
          </w:p>
          <w:p w14:paraId="124BF3D7">
            <w:pPr>
              <w:pStyle w:val="18"/>
              <w:keepNext w:val="0"/>
              <w:keepLines w:val="0"/>
              <w:suppressLineNumbers w:val="0"/>
              <w:spacing w:before="0" w:beforeAutospacing="0" w:afterAutospacing="0"/>
              <w:ind w:left="0" w:right="0" w:firstLine="420"/>
              <w:rPr>
                <w:rFonts w:hint="default"/>
                <w:color w:val="000000" w:themeColor="text1"/>
                <w:highlight w:val="none"/>
              </w:rPr>
            </w:pPr>
          </w:p>
          <w:p w14:paraId="13B939DA">
            <w:pPr>
              <w:pStyle w:val="18"/>
              <w:keepNext w:val="0"/>
              <w:keepLines w:val="0"/>
              <w:suppressLineNumbers w:val="0"/>
              <w:spacing w:before="0" w:beforeAutospacing="0" w:afterAutospacing="0"/>
              <w:ind w:left="0" w:right="0" w:firstLine="420"/>
              <w:rPr>
                <w:rFonts w:hint="default"/>
                <w:color w:val="000000" w:themeColor="text1"/>
                <w:highlight w:val="none"/>
              </w:rPr>
            </w:pPr>
          </w:p>
        </w:tc>
      </w:tr>
    </w:tbl>
    <w:p w14:paraId="64DF1D61">
      <w:pPr>
        <w:pStyle w:val="16"/>
        <w:shd w:val="clear"/>
        <w:spacing w:before="120" w:after="120" w:line="400" w:lineRule="atLeast"/>
        <w:ind w:firstLine="420"/>
        <w:jc w:val="both"/>
        <w:rPr>
          <w:rFonts w:hint="eastAsia" w:ascii="Times New Roman" w:hAnsi="Times New Roman" w:eastAsia="宋体" w:cs="Times New Roman"/>
          <w:color w:val="000000" w:themeColor="text1"/>
          <w:highlight w:val="none"/>
          <w:lang w:val="en-US" w:eastAsia="zh-CN"/>
        </w:rPr>
        <w:sectPr>
          <w:pgSz w:w="11905" w:h="16838"/>
          <w:pgMar w:top="1247" w:right="1247" w:bottom="1247" w:left="1247" w:header="720" w:footer="720" w:gutter="0"/>
          <w:pgBorders>
            <w:top w:val="none" w:sz="0" w:space="0"/>
            <w:left w:val="none" w:sz="0" w:space="0"/>
            <w:bottom w:val="none" w:sz="0" w:space="0"/>
            <w:right w:val="none" w:sz="0" w:space="0"/>
          </w:pgBorders>
          <w:pgNumType w:fmt="decimal"/>
          <w:cols w:space="0" w:num="1"/>
          <w:rtlGutter w:val="0"/>
          <w:docGrid w:type="lines" w:linePitch="326" w:charSpace="0"/>
        </w:sectPr>
      </w:pPr>
      <w:r>
        <w:rPr>
          <w:rFonts w:hint="eastAsia" w:ascii="Times New Roman" w:hAnsi="Times New Roman" w:eastAsia="宋体" w:cs="Times New Roman"/>
          <w:color w:val="000000" w:themeColor="text1"/>
          <w:highlight w:val="none"/>
          <w:lang w:val="en-US" w:eastAsia="zh-CN"/>
        </w:rPr>
        <w:t>注：附社保缴纳证明等扫描件（如要求）。</w:t>
      </w:r>
    </w:p>
    <w:p w14:paraId="13353CFF">
      <w:pPr>
        <w:pStyle w:val="2"/>
        <w:numPr>
          <w:ilvl w:val="0"/>
          <w:numId w:val="0"/>
        </w:numPr>
        <w:spacing w:line="400" w:lineRule="atLeast"/>
        <w:ind w:left="0" w:leftChars="0" w:firstLine="640" w:firstLineChars="200"/>
        <w:jc w:val="center"/>
        <w:rPr>
          <w:rStyle w:val="104"/>
          <w:rFonts w:hint="eastAsia" w:cs="Times New Roman"/>
          <w:b w:val="0"/>
          <w:bCs/>
          <w:highlight w:val="none"/>
          <w:lang w:eastAsia="zh-CN"/>
        </w:rPr>
      </w:pPr>
      <w:r>
        <w:rPr>
          <w:rFonts w:hint="eastAsia" w:ascii="Times New Roman" w:hAnsi="Times New Roman" w:cs="Times New Roman"/>
          <w:b w:val="0"/>
          <w:color w:val="000000" w:themeColor="text1"/>
          <w:kern w:val="2"/>
          <w:sz w:val="32"/>
          <w:szCs w:val="20"/>
          <w:highlight w:val="none"/>
          <w:lang w:val="en-US" w:eastAsia="zh-CN" w:bidi="ar-SA"/>
        </w:rPr>
        <w:t>七</w:t>
      </w:r>
      <w:r>
        <w:rPr>
          <w:rFonts w:hint="eastAsia" w:ascii="Times New Roman" w:hAnsi="Times New Roman" w:eastAsia="黑体" w:cs="Times New Roman"/>
          <w:b w:val="0"/>
          <w:color w:val="000000" w:themeColor="text1"/>
          <w:kern w:val="2"/>
          <w:sz w:val="32"/>
          <w:szCs w:val="20"/>
          <w:highlight w:val="none"/>
          <w:lang w:val="en-US" w:eastAsia="zh-CN" w:bidi="ar-SA"/>
        </w:rPr>
        <w:t>、</w:t>
      </w:r>
      <w:r>
        <w:rPr>
          <w:rFonts w:hint="eastAsia" w:ascii="Times New Roman" w:hAnsi="Times New Roman"/>
          <w:b w:val="0"/>
          <w:color w:val="000000" w:themeColor="text1"/>
          <w:highlight w:val="none"/>
          <w:lang w:eastAsia="zh-CN"/>
        </w:rPr>
        <w:t>保证金缴纳银行电子回执</w:t>
      </w:r>
    </w:p>
    <w:sectPr>
      <w:pgSz w:w="11905" w:h="16838"/>
      <w:pgMar w:top="1247" w:right="1247" w:bottom="1247" w:left="1247" w:header="720" w:footer="720" w:gutter="0"/>
      <w:pgBorders>
        <w:top w:val="none" w:sz="0" w:space="0"/>
        <w:left w:val="none" w:sz="0" w:space="0"/>
        <w:bottom w:val="none" w:sz="0" w:space="0"/>
        <w:right w:val="none" w:sz="0" w:space="0"/>
      </w:pgBorders>
      <w:pgNumType w:fmt="decimal"/>
      <w:cols w:space="0" w:num="1"/>
      <w:rtlGutter w:val="0"/>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Garamond">
    <w:altName w:val="PMingLiU-ExtB"/>
    <w:panose1 w:val="02020404030301010803"/>
    <w:charset w:val="00"/>
    <w:family w:val="roman"/>
    <w:pitch w:val="default"/>
    <w:sig w:usb0="00000000" w:usb1="00000000" w:usb2="00000000" w:usb3="00000000" w:csb0="0000009F" w:csb1="DFD70000"/>
  </w:font>
  <w:font w:name="PMingLiU-ExtB">
    <w:panose1 w:val="02020500000000000000"/>
    <w:charset w:val="88"/>
    <w:family w:val="auto"/>
    <w:pitch w:val="default"/>
    <w:sig w:usb0="8000002F" w:usb1="02000008" w:usb2="00000000" w:usb3="00000000" w:csb0="00100001" w:csb1="00000000"/>
  </w:font>
  <w:font w:name="Calibri Light">
    <w:panose1 w:val="020F03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Microsoft YaHei UI">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
    <w:altName w:val="Arial"/>
    <w:panose1 w:val="00000000000000000000"/>
    <w:charset w:val="00"/>
    <w:family w:val="auto"/>
    <w:pitch w:val="default"/>
    <w:sig w:usb0="00000000" w:usb1="00000000" w:usb2="00000000" w:usb3="00000000" w:csb0="00000001" w:csb1="00000000"/>
  </w:font>
  <w:font w:name="Helvetica Neue">
    <w:altName w:val="Times New Roman"/>
    <w:panose1 w:val="00000000000000000000"/>
    <w:charset w:val="00"/>
    <w:family w:val="roman"/>
    <w:pitch w:val="default"/>
    <w:sig w:usb0="00000000" w:usb1="00000000" w:usb2="00000000" w:usb3="00000000" w:csb0="00000001" w:csb1="00000000"/>
  </w:font>
  <w:font w:name="Arial Unicode MS">
    <w:altName w:val="宋体"/>
    <w:panose1 w:val="020B0604020202020204"/>
    <w:charset w:val="86"/>
    <w:family w:val="roman"/>
    <w:pitch w:val="default"/>
    <w:sig w:usb0="00000000" w:usb1="00000000" w:usb2="0000003F" w:usb3="00000000" w:csb0="603F01FF" w:csb1="FFFF0000"/>
  </w:font>
  <w:font w:name="EU-F1">
    <w:altName w:val="宋体"/>
    <w:panose1 w:val="00000000000000000000"/>
    <w:charset w:val="86"/>
    <w:family w:val="script"/>
    <w:pitch w:val="default"/>
    <w:sig w:usb0="00000000" w:usb1="00000000" w:usb2="0000001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Wingdings 2">
    <w:altName w:val="Wingdings"/>
    <w:panose1 w:val="05020102010507070707"/>
    <w:charset w:val="00"/>
    <w:family w:val="decorative"/>
    <w:pitch w:val="default"/>
    <w:sig w:usb0="00000000" w:usb1="00000000" w:usb2="00000000" w:usb3="00000000" w:csb0="80000000" w:csb1="00000000"/>
  </w:font>
  <w:font w:name="Helvetica">
    <w:altName w:val="Arial"/>
    <w:panose1 w:val="020B0604020202020204"/>
    <w:charset w:val="00"/>
    <w:family w:val="auto"/>
    <w:pitch w:val="default"/>
    <w:sig w:usb0="00000000" w:usb1="00000000" w:usb2="00000000" w:usb3="00000000" w:csb0="00000000" w:csb1="00000000"/>
  </w:font>
  <w:font w:name="KSOFE816CA0F">
    <w:panose1 w:val="02020603050405020304"/>
    <w:charset w:val="00"/>
    <w:family w:val="auto"/>
    <w:pitch w:val="default"/>
    <w:sig w:usb0="00000001" w:usb1="00000000" w:usb2="00000000" w:usb3="00000000" w:csb0="00000001"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F00298">
    <w:pPr>
      <w:pStyle w:val="32"/>
    </w:pPr>
    <w:r>
      <w:rPr>
        <w:sz w:val="18"/>
      </w:rPr>
      <w:pict>
        <v:shape id="_x0000_s4128" o:spid="_x0000_s4128" o:spt="202" type="#_x0000_t202" style="position:absolute;left:0pt;margin-top:0pt;height:144pt;width:144pt;mso-position-horizontal:center;mso-position-horizontal-relative:margin;mso-wrap-style:none;z-index:251667456;mso-width-relative:page;mso-height-relative:page;" filled="f" stroked="f" coordsize="21600,21600">
          <v:path/>
          <v:fill on="f" focussize="0,0"/>
          <v:stroke on="f"/>
          <v:imagedata o:title=""/>
          <o:lock v:ext="edit" aspectratio="f"/>
          <v:textbox inset="0mm,0mm,0mm,0mm" style="mso-fit-shape-to-text:t;">
            <w:txbxContent>
              <w:p w14:paraId="3324A57A">
                <w:pPr>
                  <w:pStyle w:val="32"/>
                </w:pPr>
                <w:r>
                  <w:fldChar w:fldCharType="begin"/>
                </w:r>
                <w:r>
                  <w:instrText xml:space="preserve"> PAGE  \* MERGEFORMAT </w:instrText>
                </w:r>
                <w:r>
                  <w:fldChar w:fldCharType="separate"/>
                </w:r>
                <w:r>
                  <w:t>1</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E99E5E">
    <w:pPr>
      <w:pStyle w:val="32"/>
      <w:ind w:firstLine="360"/>
    </w:pPr>
    <w:r>
      <w:rPr>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330307ED">
                <w:pPr>
                  <w:pStyle w:val="32"/>
                </w:pPr>
                <w:r>
                  <w:fldChar w:fldCharType="begin"/>
                </w:r>
                <w:r>
                  <w:instrText xml:space="preserve"> PAGE  \* MERGEFORMAT </w:instrText>
                </w:r>
                <w:r>
                  <w:fldChar w:fldCharType="separate"/>
                </w:r>
                <w:r>
                  <w:t>1</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D56396">
    <w:pPr>
      <w:widowControl w:val="0"/>
      <w:tabs>
        <w:tab w:val="center" w:pos="4153"/>
        <w:tab w:val="right" w:pos="8306"/>
      </w:tabs>
      <w:snapToGrid w:val="0"/>
      <w:ind w:firstLine="36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pict>
        <v:shape id="文本框 9" o:spid="_x0000_s4130"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LDwzZM0BAACnAwAADgAAAAAAAAABACAAAAAeAQAAZHJzL2Uy&#10;b0RvYy54bWxQSwUGAAAAAAYABgBZAQAAXQUAAAAA&#10;">
          <v:path/>
          <v:fill on="f" focussize="0,0"/>
          <v:stroke on="f"/>
          <v:imagedata o:title=""/>
          <o:lock v:ext="edit" aspectratio="f"/>
          <v:textbox inset="0mm,0mm,0mm,0mm" style="mso-fit-shape-to-text:t;">
            <w:txbxContent>
              <w:p w14:paraId="301C1B78">
                <w:pPr>
                  <w:widowControl w:val="0"/>
                  <w:tabs>
                    <w:tab w:val="center" w:pos="4153"/>
                    <w:tab w:val="right" w:pos="8306"/>
                  </w:tabs>
                  <w:snapToGrid w:val="0"/>
                  <w:ind w:firstLine="0" w:firstLineChars="0"/>
                  <w:jc w:val="left"/>
                  <w:rPr>
                    <w:rFonts w:ascii="Times New Roman" w:hAnsi="Times New Roman" w:eastAsia="宋体" w:cs="Times New Roman"/>
                    <w:kern w:val="2"/>
                    <w:sz w:val="24"/>
                    <w:szCs w:val="24"/>
                    <w:lang w:val="en-US" w:eastAsia="zh-CN" w:bidi="ar-SA"/>
                  </w:rPr>
                </w:pPr>
                <w:r>
                  <w:rPr>
                    <w:rFonts w:ascii="Times New Roman" w:hAnsi="Times New Roman" w:eastAsia="宋体" w:cs="Times New Roman"/>
                    <w:kern w:val="2"/>
                    <w:sz w:val="24"/>
                    <w:szCs w:val="24"/>
                    <w:lang w:val="en-US" w:eastAsia="zh-CN" w:bidi="ar-SA"/>
                  </w:rPr>
                  <w:t xml:space="preserve">— </w:t>
                </w:r>
                <w:r>
                  <w:rPr>
                    <w:rFonts w:ascii="Times New Roman" w:hAnsi="Times New Roman" w:eastAsia="宋体" w:cs="Times New Roman"/>
                    <w:kern w:val="2"/>
                    <w:sz w:val="24"/>
                    <w:szCs w:val="24"/>
                    <w:lang w:val="en-US" w:eastAsia="zh-CN" w:bidi="ar-SA"/>
                  </w:rPr>
                  <w:fldChar w:fldCharType="begin"/>
                </w:r>
                <w:r>
                  <w:rPr>
                    <w:rFonts w:ascii="Times New Roman" w:hAnsi="Times New Roman" w:eastAsia="宋体" w:cs="Times New Roman"/>
                    <w:kern w:val="2"/>
                    <w:sz w:val="24"/>
                    <w:szCs w:val="24"/>
                    <w:lang w:val="en-US" w:eastAsia="zh-CN" w:bidi="ar-SA"/>
                  </w:rPr>
                  <w:instrText xml:space="preserve"> PAGE  \* MERGEFORMAT </w:instrText>
                </w:r>
                <w:r>
                  <w:rPr>
                    <w:rFonts w:ascii="Times New Roman" w:hAnsi="Times New Roman" w:eastAsia="宋体" w:cs="Times New Roman"/>
                    <w:kern w:val="2"/>
                    <w:sz w:val="24"/>
                    <w:szCs w:val="24"/>
                    <w:lang w:val="en-US" w:eastAsia="zh-CN" w:bidi="ar-SA"/>
                  </w:rPr>
                  <w:fldChar w:fldCharType="separate"/>
                </w:r>
                <w:r>
                  <w:rPr>
                    <w:rFonts w:ascii="Times New Roman" w:hAnsi="Times New Roman" w:eastAsia="宋体" w:cs="Times New Roman"/>
                    <w:kern w:val="2"/>
                    <w:sz w:val="24"/>
                    <w:szCs w:val="24"/>
                    <w:lang w:val="en-US" w:eastAsia="zh-CN" w:bidi="ar-SA"/>
                  </w:rPr>
                  <w:t>3</w:t>
                </w:r>
                <w:r>
                  <w:rPr>
                    <w:rFonts w:ascii="Times New Roman" w:hAnsi="Times New Roman" w:eastAsia="宋体" w:cs="Times New Roman"/>
                    <w:kern w:val="2"/>
                    <w:sz w:val="24"/>
                    <w:szCs w:val="24"/>
                    <w:lang w:val="en-US" w:eastAsia="zh-CN" w:bidi="ar-SA"/>
                  </w:rPr>
                  <w:fldChar w:fldCharType="end"/>
                </w:r>
                <w:r>
                  <w:rPr>
                    <w:rFonts w:ascii="Times New Roman" w:hAnsi="Times New Roman" w:eastAsia="宋体" w:cs="Times New Roman"/>
                    <w:kern w:val="2"/>
                    <w:sz w:val="24"/>
                    <w:szCs w:val="24"/>
                    <w:lang w:val="en-US" w:eastAsia="zh-CN" w:bidi="ar-SA"/>
                  </w:rPr>
                  <w:t xml:space="preserve"> —</w:t>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5F06FE">
    <w:pPr>
      <w:widowControl w:val="0"/>
      <w:tabs>
        <w:tab w:val="center" w:pos="4153"/>
        <w:tab w:val="right" w:pos="8306"/>
      </w:tabs>
      <w:snapToGrid w:val="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pict>
        <v:shape id="文本框 10" o:spid="_x0000_s4131"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C5oIF5zAEAAKkDAAAOAAAAAAAAAAEAIAAAAB4BAABkcnMvZTJv&#10;RG9jLnhtbFBLBQYAAAAABgAGAFkBAABcBQAAAAA=&#10;">
          <v:path/>
          <v:fill on="f" focussize="0,0"/>
          <v:stroke on="f"/>
          <v:imagedata o:title=""/>
          <o:lock v:ext="edit" aspectratio="f"/>
          <v:textbox inset="0mm,0mm,0mm,0mm" style="mso-fit-shape-to-text:t;">
            <w:txbxContent>
              <w:p w14:paraId="282EC604">
                <w:pPr>
                  <w:widowControl w:val="0"/>
                  <w:tabs>
                    <w:tab w:val="center" w:pos="4153"/>
                    <w:tab w:val="right" w:pos="8306"/>
                  </w:tabs>
                  <w:snapToGrid w:val="0"/>
                  <w:jc w:val="left"/>
                  <w:rPr>
                    <w:rFonts w:ascii="Times New Roman" w:hAnsi="Times New Roman" w:eastAsia="宋体" w:cs="Times New Roman"/>
                    <w:kern w:val="2"/>
                    <w:sz w:val="24"/>
                    <w:szCs w:val="24"/>
                    <w:lang w:val="en-US" w:eastAsia="zh-CN" w:bidi="ar-SA"/>
                  </w:rPr>
                </w:pPr>
                <w:r>
                  <w:rPr>
                    <w:rFonts w:ascii="Times New Roman" w:hAnsi="Times New Roman" w:eastAsia="宋体" w:cs="Times New Roman"/>
                    <w:kern w:val="2"/>
                    <w:sz w:val="24"/>
                    <w:szCs w:val="24"/>
                    <w:lang w:val="en-US" w:eastAsia="zh-CN" w:bidi="ar-SA"/>
                  </w:rPr>
                  <w:t xml:space="preserve">— </w:t>
                </w:r>
                <w:r>
                  <w:rPr>
                    <w:rFonts w:ascii="Times New Roman" w:hAnsi="Times New Roman" w:eastAsia="宋体" w:cs="Times New Roman"/>
                    <w:kern w:val="2"/>
                    <w:sz w:val="24"/>
                    <w:szCs w:val="24"/>
                    <w:lang w:val="en-US" w:eastAsia="zh-CN" w:bidi="ar-SA"/>
                  </w:rPr>
                  <w:fldChar w:fldCharType="begin"/>
                </w:r>
                <w:r>
                  <w:rPr>
                    <w:rFonts w:ascii="Times New Roman" w:hAnsi="Times New Roman" w:eastAsia="宋体" w:cs="Times New Roman"/>
                    <w:kern w:val="2"/>
                    <w:sz w:val="24"/>
                    <w:szCs w:val="24"/>
                    <w:lang w:val="en-US" w:eastAsia="zh-CN" w:bidi="ar-SA"/>
                  </w:rPr>
                  <w:instrText xml:space="preserve"> PAGE  \* MERGEFORMAT </w:instrText>
                </w:r>
                <w:r>
                  <w:rPr>
                    <w:rFonts w:ascii="Times New Roman" w:hAnsi="Times New Roman" w:eastAsia="宋体" w:cs="Times New Roman"/>
                    <w:kern w:val="2"/>
                    <w:sz w:val="24"/>
                    <w:szCs w:val="24"/>
                    <w:lang w:val="en-US" w:eastAsia="zh-CN" w:bidi="ar-SA"/>
                  </w:rPr>
                  <w:fldChar w:fldCharType="separate"/>
                </w:r>
                <w:r>
                  <w:rPr>
                    <w:rFonts w:ascii="Times New Roman" w:hAnsi="Times New Roman" w:eastAsia="宋体" w:cs="Times New Roman"/>
                    <w:kern w:val="2"/>
                    <w:sz w:val="24"/>
                    <w:szCs w:val="24"/>
                    <w:lang w:val="en-US" w:eastAsia="zh-CN" w:bidi="ar-SA"/>
                  </w:rPr>
                  <w:t>53</w:t>
                </w:r>
                <w:r>
                  <w:rPr>
                    <w:rFonts w:ascii="Times New Roman" w:hAnsi="Times New Roman" w:eastAsia="宋体" w:cs="Times New Roman"/>
                    <w:kern w:val="2"/>
                    <w:sz w:val="24"/>
                    <w:szCs w:val="24"/>
                    <w:lang w:val="en-US" w:eastAsia="zh-CN" w:bidi="ar-SA"/>
                  </w:rPr>
                  <w:fldChar w:fldCharType="end"/>
                </w:r>
                <w:r>
                  <w:rPr>
                    <w:rFonts w:ascii="Times New Roman" w:hAnsi="Times New Roman" w:eastAsia="宋体" w:cs="Times New Roman"/>
                    <w:kern w:val="2"/>
                    <w:sz w:val="24"/>
                    <w:szCs w:val="24"/>
                    <w:lang w:val="en-US" w:eastAsia="zh-CN" w:bidi="ar-SA"/>
                  </w:rPr>
                  <w:t xml:space="preserve"> —</w:t>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A5357">
    <w:pPr>
      <w:widowControl w:val="0"/>
      <w:tabs>
        <w:tab w:val="center" w:pos="4153"/>
        <w:tab w:val="right" w:pos="8306"/>
      </w:tabs>
      <w:snapToGrid w:val="0"/>
      <w:spacing w:line="240" w:lineRule="auto"/>
      <w:ind w:firstLine="0" w:firstLineChars="0"/>
      <w:jc w:val="left"/>
      <w:rPr>
        <w:rFonts w:ascii="Times New Roman" w:hAnsi="Times New Roman" w:eastAsia="宋体" w:cs="Times New Roman"/>
        <w:kern w:val="0"/>
        <w:sz w:val="18"/>
        <w:szCs w:val="18"/>
        <w:lang w:val="en-US" w:eastAsia="zh-CN" w:bidi="ar-SA"/>
      </w:rPr>
    </w:pPr>
    <w:r>
      <w:rPr>
        <w:rFonts w:ascii="Times New Roman" w:hAnsi="Times New Roman" w:eastAsia="宋体" w:cs="Times New Roman"/>
        <w:kern w:val="0"/>
        <w:sz w:val="18"/>
        <w:szCs w:val="18"/>
        <w:lang w:val="en-US" w:eastAsia="zh-CN" w:bidi="ar-SA"/>
      </w:rPr>
      <w:pict>
        <v:shape id="_x0000_s4132" o:spid="_x0000_s4132"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Iseos0BAACnAwAADgAAAAAAAAABACAAAAAeAQAAZHJzL2Uy&#10;b0RvYy54bWxQSwUGAAAAAAYABgBZAQAAXQUAAAAA&#10;">
          <v:path/>
          <v:fill on="f" focussize="0,0"/>
          <v:stroke on="f"/>
          <v:imagedata o:title=""/>
          <o:lock v:ext="edit" aspectratio="f"/>
          <v:textbox inset="0mm,0mm,0mm,0mm" style="mso-fit-shape-to-text:t;">
            <w:txbxContent>
              <w:p w14:paraId="2006C0E1">
                <w:pPr>
                  <w:widowControl w:val="0"/>
                  <w:tabs>
                    <w:tab w:val="center" w:pos="4153"/>
                    <w:tab w:val="right" w:pos="8306"/>
                  </w:tabs>
                  <w:snapToGrid w:val="0"/>
                  <w:spacing w:line="240" w:lineRule="auto"/>
                  <w:ind w:firstLine="0" w:firstLineChars="0"/>
                  <w:jc w:val="left"/>
                  <w:rPr>
                    <w:rFonts w:ascii="Times New Roman" w:hAnsi="Times New Roman" w:eastAsia="宋体" w:cs="Times New Roman"/>
                    <w:kern w:val="0"/>
                    <w:sz w:val="24"/>
                    <w:szCs w:val="24"/>
                    <w:lang w:val="en-US" w:eastAsia="zh-CN" w:bidi="ar-SA"/>
                  </w:rPr>
                </w:pPr>
                <w:r>
                  <w:rPr>
                    <w:rFonts w:ascii="Times New Roman" w:hAnsi="Times New Roman" w:eastAsia="宋体" w:cs="Times New Roman"/>
                    <w:kern w:val="0"/>
                    <w:sz w:val="24"/>
                    <w:szCs w:val="24"/>
                    <w:lang w:val="en-US" w:eastAsia="zh-CN" w:bidi="ar-SA"/>
                  </w:rPr>
                  <w:t xml:space="preserve">— </w:t>
                </w:r>
                <w:r>
                  <w:rPr>
                    <w:rFonts w:ascii="Times New Roman" w:hAnsi="Times New Roman" w:eastAsia="宋体" w:cs="Times New Roman"/>
                    <w:kern w:val="0"/>
                    <w:sz w:val="24"/>
                    <w:szCs w:val="24"/>
                    <w:lang w:val="en-US" w:eastAsia="zh-CN" w:bidi="ar-SA"/>
                  </w:rPr>
                  <w:fldChar w:fldCharType="begin"/>
                </w:r>
                <w:r>
                  <w:rPr>
                    <w:rFonts w:ascii="Times New Roman" w:hAnsi="Times New Roman" w:eastAsia="宋体" w:cs="Times New Roman"/>
                    <w:kern w:val="0"/>
                    <w:sz w:val="24"/>
                    <w:szCs w:val="24"/>
                    <w:lang w:val="en-US" w:eastAsia="zh-CN" w:bidi="ar-SA"/>
                  </w:rPr>
                  <w:instrText xml:space="preserve"> PAGE  \* MERGEFORMAT </w:instrText>
                </w:r>
                <w:r>
                  <w:rPr>
                    <w:rFonts w:ascii="Times New Roman" w:hAnsi="Times New Roman" w:eastAsia="宋体" w:cs="Times New Roman"/>
                    <w:kern w:val="0"/>
                    <w:sz w:val="24"/>
                    <w:szCs w:val="24"/>
                    <w:lang w:val="en-US" w:eastAsia="zh-CN" w:bidi="ar-SA"/>
                  </w:rPr>
                  <w:fldChar w:fldCharType="separate"/>
                </w:r>
                <w:r>
                  <w:rPr>
                    <w:rFonts w:ascii="Times New Roman" w:hAnsi="Times New Roman" w:eastAsia="宋体" w:cs="Times New Roman"/>
                    <w:kern w:val="0"/>
                    <w:sz w:val="24"/>
                    <w:szCs w:val="24"/>
                    <w:lang w:val="en-US" w:eastAsia="zh-CN" w:bidi="ar-SA"/>
                  </w:rPr>
                  <w:t>58</w:t>
                </w:r>
                <w:r>
                  <w:rPr>
                    <w:rFonts w:ascii="Times New Roman" w:hAnsi="Times New Roman" w:eastAsia="宋体" w:cs="Times New Roman"/>
                    <w:kern w:val="0"/>
                    <w:sz w:val="24"/>
                    <w:szCs w:val="24"/>
                    <w:lang w:val="en-US" w:eastAsia="zh-CN" w:bidi="ar-SA"/>
                  </w:rPr>
                  <w:fldChar w:fldCharType="end"/>
                </w:r>
                <w:r>
                  <w:rPr>
                    <w:rFonts w:ascii="Times New Roman" w:hAnsi="Times New Roman" w:eastAsia="宋体" w:cs="Times New Roman"/>
                    <w:kern w:val="0"/>
                    <w:sz w:val="24"/>
                    <w:szCs w:val="24"/>
                    <w:lang w:val="en-US" w:eastAsia="zh-CN" w:bidi="ar-SA"/>
                  </w:rPr>
                  <w:t xml:space="preserve"> —</w:t>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F9773">
    <w:pPr>
      <w:spacing w:line="186" w:lineRule="auto"/>
      <w:ind w:firstLine="560"/>
      <w:rPr>
        <w:rFonts w:eastAsia="Times New Roman"/>
        <w:sz w:val="28"/>
      </w:rPr>
    </w:pPr>
    <w:r>
      <w:rPr>
        <w:sz w:val="28"/>
      </w:rPr>
      <w:pict>
        <v:shape id="文本框 3" o:spid="_x0000_s4129"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QHJYcIBAACN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m5BoTbQ8LCpZ+MOkJNxXBKhdG0UXkNHt9L1sNftP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OUByWHCAQAAjQMAAA4AAAAAAAAAAQAgAAAAHgEAAGRycy9lMm9Eb2MueG1sUEsF&#10;BgAAAAAGAAYAWQEAAFIFAAAAAA==&#10;">
          <v:path/>
          <v:fill on="f" focussize="0,0"/>
          <v:stroke on="f"/>
          <v:imagedata o:title=""/>
          <o:lock v:ext="edit" aspectratio="f"/>
          <v:textbox inset="0mm,0mm,0mm,0mm" style="mso-fit-shape-to-text:t;">
            <w:txbxContent>
              <w:p w14:paraId="21481D93">
                <w:pPr>
                  <w:pStyle w:val="32"/>
                  <w:ind w:firstLine="360"/>
                </w:pPr>
                <w:r>
                  <w:fldChar w:fldCharType="begin"/>
                </w:r>
                <w:r>
                  <w:instrText xml:space="preserve"> PAGE  \* MERGEFORMAT </w:instrText>
                </w:r>
                <w:r>
                  <w:fldChar w:fldCharType="separate"/>
                </w:r>
                <w:r>
                  <w:t>134</w:t>
                </w:r>
                <w:r>
                  <w:fldChar w:fldCharType="end"/>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C6CCBA">
    <w:pPr>
      <w:pStyle w:val="32"/>
    </w:pPr>
    <w:r>
      <w:rPr>
        <w:sz w:val="18"/>
      </w:rPr>
      <w:pict>
        <v:shape id="_x0000_s4121" o:spid="_x0000_s4121" o:spt="202" type="#_x0000_t202" style="position:absolute;left:0pt;margin-top:0pt;height:144pt;width:144pt;mso-position-horizontal:center;mso-position-horizontal-relative:margin;mso-wrap-style:none;z-index:251665408;mso-width-relative:page;mso-height-relative:page;" filled="f" stroked="f" coordsize="21600,21600">
          <v:path/>
          <v:fill on="f" focussize="0,0"/>
          <v:stroke on="f"/>
          <v:imagedata o:title=""/>
          <o:lock v:ext="edit" aspectratio="f"/>
          <v:textbox inset="0mm,0mm,0mm,0mm" style="mso-fit-shape-to-text:t;">
            <w:txbxContent>
              <w:p w14:paraId="2330EE7F">
                <w:pPr>
                  <w:pStyle w:val="32"/>
                </w:pPr>
                <w:r>
                  <w:fldChar w:fldCharType="begin"/>
                </w:r>
                <w:r>
                  <w:instrText xml:space="preserve"> PAGE  \* MERGEFORMAT </w:instrText>
                </w:r>
                <w:r>
                  <w:fldChar w:fldCharType="separate"/>
                </w:r>
                <w:r>
                  <w:t>115</w:t>
                </w:r>
                <w:r>
                  <w:fldChar w:fldCharType="end"/>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FA0618">
    <w:pPr>
      <w:pStyle w:val="32"/>
    </w:pPr>
    <w:r>
      <w:rPr>
        <w:sz w:val="18"/>
      </w:rPr>
      <w:pict>
        <v:shape id="_x0000_s4102" o:spid="_x0000_s4102"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14:paraId="05C925FC">
                <w:pPr>
                  <w:pStyle w:val="32"/>
                </w:pPr>
                <w:r>
                  <w:fldChar w:fldCharType="begin"/>
                </w:r>
                <w:r>
                  <w:instrText xml:space="preserve"> PAGE  \* MERGEFORMAT </w:instrText>
                </w:r>
                <w:r>
                  <w:fldChar w:fldCharType="separate"/>
                </w:r>
                <w:r>
                  <w:t>115</w:t>
                </w:r>
                <w:r>
                  <w:fldChar w:fldCharType="end"/>
                </w:r>
              </w:p>
            </w:txbxContent>
          </v:textbox>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7DD3C">
    <w:pPr>
      <w:pStyle w:val="32"/>
      <w:ind w:firstLine="360"/>
    </w:pPr>
    <w:r>
      <w:rPr>
        <w:sz w:val="18"/>
      </w:rPr>
      <w:pict>
        <v:shape id="_x0000_s4103" o:spid="_x0000_s4103" o:spt="202" type="#_x0000_t202" style="position:absolute;left:0pt;margin-top:0pt;height:144pt;width:144pt;mso-position-horizontal:center;mso-position-horizontal-relative:margin;mso-wrap-style:none;z-index:251663360;mso-width-relative:page;mso-height-relative:page;" filled="f" stroked="f" coordsize="21600,21600">
          <v:path/>
          <v:fill on="f" focussize="0,0"/>
          <v:stroke on="f"/>
          <v:imagedata o:title=""/>
          <o:lock v:ext="edit" aspectratio="f"/>
          <v:textbox inset="0mm,0mm,0mm,0mm" style="mso-fit-shape-to-text:t;">
            <w:txbxContent>
              <w:p w14:paraId="766CCC07">
                <w:pPr>
                  <w:pStyle w:val="32"/>
                </w:pPr>
                <w:r>
                  <w:fldChar w:fldCharType="begin"/>
                </w:r>
                <w:r>
                  <w:instrText xml:space="preserve"> PAGE  \* MERGEFORMAT </w:instrText>
                </w:r>
                <w:r>
                  <w:fldChar w:fldCharType="separate"/>
                </w:r>
                <w:r>
                  <w:t>123</w:t>
                </w:r>
                <w:r>
                  <w:fldChar w:fldCharType="end"/>
                </w:r>
              </w:p>
            </w:txbxContent>
          </v:textbox>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AB9B5D">
    <w:pPr>
      <w:pStyle w:val="32"/>
    </w:pPr>
    <w:r>
      <w:rPr>
        <w:sz w:val="18"/>
      </w:rPr>
      <w:pict>
        <v:shape id="_x0000_s4104" o:spid="_x0000_s4104" o:spt="202" type="#_x0000_t202" style="position:absolute;left:0pt;margin-top:0pt;height:144pt;width:144pt;mso-position-horizontal:center;mso-position-horizontal-relative:margin;mso-wrap-style:none;z-index:251664384;mso-width-relative:page;mso-height-relative:page;" filled="f" stroked="f" coordsize="21600,21600">
          <v:path/>
          <v:fill on="f" focussize="0,0"/>
          <v:stroke on="f"/>
          <v:imagedata o:title=""/>
          <o:lock v:ext="edit" aspectratio="f"/>
          <v:textbox inset="0mm,0mm,0mm,0mm" style="mso-fit-shape-to-text:t;">
            <w:txbxContent>
              <w:p w14:paraId="27EBE732">
                <w:pPr>
                  <w:pStyle w:val="32"/>
                </w:pPr>
                <w:r>
                  <w:fldChar w:fldCharType="begin"/>
                </w:r>
                <w:r>
                  <w:instrText xml:space="preserve"> PAGE  \* MERGEFORMAT </w:instrText>
                </w:r>
                <w:r>
                  <w:fldChar w:fldCharType="separate"/>
                </w:r>
                <w:r>
                  <w:t>126</w:t>
                </w:r>
                <w: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20"/>
      </w:pPr>
      <w:r>
        <w:separator/>
      </w:r>
    </w:p>
  </w:footnote>
  <w:footnote w:type="continuationSeparator" w:id="1">
    <w:p>
      <w:pPr>
        <w:spacing w:line="24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A06A9B">
    <w:pPr>
      <w:ind w:left="0" w:leftChars="0"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7097D5">
    <w:pPr>
      <w:spacing w:line="240" w:lineRule="auto"/>
      <w:ind w:left="0" w:leftChars="0" w:firstLine="0" w:firstLineChars="0"/>
      <w:rPr>
        <w:rFonts w:ascii="Times New Roman" w:hAnsi="Times New Roman" w:eastAsia="宋体" w:cs="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950EC7">
    <w:pPr>
      <w:spacing w:line="14" w:lineRule="auto"/>
      <w:ind w:firstLine="40"/>
      <w:rPr>
        <w:rFonts w:ascii="Arial"/>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5421C">
    <w:pPr>
      <w:pStyle w:val="33"/>
      <w:pBdr>
        <w:bottom w:val="none" w:color="auto" w:sz="0" w:space="1"/>
      </w:pBdr>
      <w:jc w:val="right"/>
      <w:rPr>
        <w:b/>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D04E1A">
    <w:pPr>
      <w:pStyle w:val="33"/>
      <w:pBdr>
        <w:bottom w:val="none" w:color="auto" w:sz="0" w:space="1"/>
      </w:pBdr>
      <w:jc w:val="right"/>
      <w:rPr>
        <w:b/>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F5F862">
    <w:pPr>
      <w:pStyle w:val="325"/>
      <w:ind w:left="0" w:leftChars="0" w:firstLine="0" w:firstLineChars="0"/>
      <w:jc w:val="left"/>
      <w:rPr>
        <w:rFonts w:hint="default"/>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317214">
    <w:pPr>
      <w:pStyle w:val="33"/>
      <w:pBdr>
        <w:bottom w:val="none" w:color="auto" w:sz="0" w:space="1"/>
      </w:pBdr>
      <w:ind w:left="0" w:leftChars="0" w:firstLine="0" w:firstLineChars="0"/>
      <w:jc w:val="both"/>
      <w:rPr>
        <w:rFonts w:hint="eastAsia" w:eastAsia="宋体"/>
        <w:u w:val="none"/>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446165"/>
    <w:multiLevelType w:val="singleLevel"/>
    <w:tmpl w:val="83446165"/>
    <w:lvl w:ilvl="0" w:tentative="0">
      <w:start w:val="1"/>
      <w:numFmt w:val="decimal"/>
      <w:suff w:val="nothing"/>
      <w:lvlText w:val="%1．"/>
      <w:lvlJc w:val="left"/>
      <w:pPr>
        <w:ind w:left="0" w:firstLine="400"/>
      </w:pPr>
      <w:rPr>
        <w:rFonts w:hint="default"/>
      </w:rPr>
    </w:lvl>
  </w:abstractNum>
  <w:abstractNum w:abstractNumId="1">
    <w:nsid w:val="AC9923F5"/>
    <w:multiLevelType w:val="singleLevel"/>
    <w:tmpl w:val="AC9923F5"/>
    <w:lvl w:ilvl="0" w:tentative="0">
      <w:start w:val="2"/>
      <w:numFmt w:val="decimal"/>
      <w:suff w:val="nothing"/>
      <w:lvlText w:val="%1、"/>
      <w:lvlJc w:val="left"/>
    </w:lvl>
  </w:abstractNum>
  <w:abstractNum w:abstractNumId="2">
    <w:nsid w:val="B0194555"/>
    <w:multiLevelType w:val="singleLevel"/>
    <w:tmpl w:val="B0194555"/>
    <w:lvl w:ilvl="0" w:tentative="0">
      <w:start w:val="1"/>
      <w:numFmt w:val="chineseCounting"/>
      <w:suff w:val="nothing"/>
      <w:lvlText w:val="（%1）"/>
      <w:lvlJc w:val="left"/>
      <w:pPr>
        <w:ind w:left="-60"/>
      </w:pPr>
      <w:rPr>
        <w:rFonts w:hint="eastAsia"/>
      </w:rPr>
    </w:lvl>
  </w:abstractNum>
  <w:abstractNum w:abstractNumId="3">
    <w:nsid w:val="B2BA9EDF"/>
    <w:multiLevelType w:val="singleLevel"/>
    <w:tmpl w:val="B2BA9EDF"/>
    <w:lvl w:ilvl="0" w:tentative="0">
      <w:start w:val="1"/>
      <w:numFmt w:val="chineseCounting"/>
      <w:suff w:val="nothing"/>
      <w:lvlText w:val="%1、"/>
      <w:lvlJc w:val="left"/>
      <w:rPr>
        <w:rFonts w:hint="eastAsia"/>
      </w:rPr>
    </w:lvl>
  </w:abstractNum>
  <w:abstractNum w:abstractNumId="4">
    <w:nsid w:val="CEBA9B90"/>
    <w:multiLevelType w:val="singleLevel"/>
    <w:tmpl w:val="CEBA9B90"/>
    <w:lvl w:ilvl="0" w:tentative="0">
      <w:start w:val="12"/>
      <w:numFmt w:val="decimal"/>
      <w:suff w:val="nothing"/>
      <w:lvlText w:val="%1、"/>
      <w:lvlJc w:val="left"/>
    </w:lvl>
  </w:abstractNum>
  <w:abstractNum w:abstractNumId="5">
    <w:nsid w:val="F1ACB3AA"/>
    <w:multiLevelType w:val="singleLevel"/>
    <w:tmpl w:val="F1ACB3AA"/>
    <w:lvl w:ilvl="0" w:tentative="0">
      <w:start w:val="1"/>
      <w:numFmt w:val="decimal"/>
      <w:lvlText w:val="%1."/>
      <w:lvlJc w:val="left"/>
      <w:pPr>
        <w:ind w:left="425" w:hanging="425"/>
      </w:pPr>
      <w:rPr>
        <w:rFonts w:hint="default"/>
      </w:rPr>
    </w:lvl>
  </w:abstractNum>
  <w:abstractNum w:abstractNumId="6">
    <w:nsid w:val="3254E95F"/>
    <w:multiLevelType w:val="singleLevel"/>
    <w:tmpl w:val="3254E95F"/>
    <w:lvl w:ilvl="0" w:tentative="0">
      <w:start w:val="1"/>
      <w:numFmt w:val="bullet"/>
      <w:pStyle w:val="14"/>
      <w:lvlText w:val=""/>
      <w:lvlJc w:val="left"/>
      <w:pPr>
        <w:tabs>
          <w:tab w:val="left" w:pos="360"/>
        </w:tabs>
        <w:ind w:left="360" w:hanging="360"/>
      </w:pPr>
      <w:rPr>
        <w:rFonts w:hint="default" w:ascii="Wingdings" w:hAnsi="Wingdings"/>
      </w:rPr>
    </w:lvl>
  </w:abstractNum>
  <w:abstractNum w:abstractNumId="7">
    <w:nsid w:val="3FE1CECF"/>
    <w:multiLevelType w:val="singleLevel"/>
    <w:tmpl w:val="3FE1CECF"/>
    <w:lvl w:ilvl="0" w:tentative="0">
      <w:start w:val="1"/>
      <w:numFmt w:val="chineseCounting"/>
      <w:suff w:val="nothing"/>
      <w:lvlText w:val="（%1）"/>
      <w:lvlJc w:val="left"/>
      <w:rPr>
        <w:rFonts w:hint="eastAsia"/>
      </w:rPr>
    </w:lvl>
  </w:abstractNum>
  <w:abstractNum w:abstractNumId="8">
    <w:nsid w:val="5100AE91"/>
    <w:multiLevelType w:val="singleLevel"/>
    <w:tmpl w:val="5100AE91"/>
    <w:lvl w:ilvl="0" w:tentative="0">
      <w:start w:val="1"/>
      <w:numFmt w:val="decimal"/>
      <w:suff w:val="nothing"/>
      <w:lvlText w:val="%1．"/>
      <w:lvlJc w:val="left"/>
      <w:pPr>
        <w:ind w:left="0" w:firstLine="400"/>
      </w:pPr>
      <w:rPr>
        <w:rFonts w:hint="default"/>
      </w:rPr>
    </w:lvl>
  </w:abstractNum>
  <w:abstractNum w:abstractNumId="9">
    <w:nsid w:val="5F9DCBC6"/>
    <w:multiLevelType w:val="singleLevel"/>
    <w:tmpl w:val="5F9DCBC6"/>
    <w:lvl w:ilvl="0" w:tentative="0">
      <w:start w:val="1"/>
      <w:numFmt w:val="decimal"/>
      <w:suff w:val="nothing"/>
      <w:lvlText w:val="（%1）"/>
      <w:lvlJc w:val="left"/>
    </w:lvl>
  </w:abstractNum>
  <w:abstractNum w:abstractNumId="10">
    <w:nsid w:val="6B065251"/>
    <w:multiLevelType w:val="singleLevel"/>
    <w:tmpl w:val="6B065251"/>
    <w:lvl w:ilvl="0" w:tentative="0">
      <w:start w:val="2"/>
      <w:numFmt w:val="decimal"/>
      <w:lvlText w:val="%1."/>
      <w:lvlJc w:val="left"/>
      <w:pPr>
        <w:tabs>
          <w:tab w:val="left" w:pos="312"/>
        </w:tabs>
      </w:pPr>
    </w:lvl>
  </w:abstractNum>
  <w:abstractNum w:abstractNumId="11">
    <w:nsid w:val="7A7404F7"/>
    <w:multiLevelType w:val="multilevel"/>
    <w:tmpl w:val="7A7404F7"/>
    <w:lvl w:ilvl="0" w:tentative="0">
      <w:start w:val="5"/>
      <w:numFmt w:val="japaneseCounting"/>
      <w:pStyle w:val="21"/>
      <w:lvlText w:val="%1、"/>
      <w:lvlJc w:val="left"/>
      <w:pPr>
        <w:ind w:left="690" w:hanging="69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7DF99258"/>
    <w:multiLevelType w:val="singleLevel"/>
    <w:tmpl w:val="7DF99258"/>
    <w:lvl w:ilvl="0" w:tentative="0">
      <w:start w:val="1"/>
      <w:numFmt w:val="chineseCounting"/>
      <w:suff w:val="nothing"/>
      <w:lvlText w:val="（%1）"/>
      <w:lvlJc w:val="left"/>
      <w:rPr>
        <w:rFonts w:hint="eastAsia"/>
      </w:rPr>
    </w:lvl>
  </w:abstractNum>
  <w:num w:numId="1">
    <w:abstractNumId w:val="6"/>
  </w:num>
  <w:num w:numId="2">
    <w:abstractNumId w:val="11"/>
  </w:num>
  <w:num w:numId="3">
    <w:abstractNumId w:val="10"/>
  </w:num>
  <w:num w:numId="4">
    <w:abstractNumId w:val="9"/>
  </w:num>
  <w:num w:numId="5">
    <w:abstractNumId w:val="1"/>
  </w:num>
  <w:num w:numId="6">
    <w:abstractNumId w:val="4"/>
  </w:num>
  <w:num w:numId="7">
    <w:abstractNumId w:val="5"/>
  </w:num>
  <w:num w:numId="8">
    <w:abstractNumId w:val="3"/>
  </w:num>
  <w:num w:numId="9">
    <w:abstractNumId w:val="7"/>
  </w:num>
  <w:num w:numId="10">
    <w:abstractNumId w:val="12"/>
  </w:num>
  <w:num w:numId="11">
    <w:abstractNumId w:val="2"/>
  </w:num>
  <w:num w:numId="12">
    <w:abstractNumId w:val="0"/>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NotTrackMoves/>
  <w:documentProtection w:enforcement="0"/>
  <w:defaultTabStop w:val="420"/>
  <w:drawingGridHorizontalSpacing w:val="210"/>
  <w:drawingGridVerticalSpacing w:val="163"/>
  <w:displayHorizontalDrawingGridEvery w:val="1"/>
  <w:displayVerticalDrawingGridEvery w:val="1"/>
  <w:noPunctuationKerning w:val="1"/>
  <w:characterSpacingControl w:val="compressPunctuation"/>
  <w:noLineBreaksAfter w:lang="zh-CN" w:val="$([{£¥·‘“〈《「『【〔〖〝﹙﹛﹝＄（．［｛￡￥"/>
  <w:noLineBreaksBefore w:lang="zh-CN" w:val="!%),.:;&gt;?]}¢¨°·ˇˉ―‖’”…‰′″›℃∶、。〃〉》」』】〕〗〞︶︺︾﹀﹄﹚﹜﹞！＂％＇），．：；？］｀｜｝～￠"/>
  <w:hdrShapeDefaults>
    <o:shapelayout v:ext="edit">
      <o:idmap v:ext="edit" data="4"/>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nderlineTabInNumList/>
    <w:compatSetting w:name="compatibilityMode" w:uri="http://schemas.microsoft.com/office/word" w:val="12"/>
  </w:compat>
  <w:docVars>
    <w:docVar w:name="commondata" w:val="eyJoZGlkIjoiZTQ3NTcwMDJmMGI1YTBhZmRjZTlhMjk2NDhkOGY4YTAifQ=="/>
  </w:docVars>
  <w:rsids>
    <w:rsidRoot w:val="001F5DFC"/>
    <w:rsid w:val="00006462"/>
    <w:rsid w:val="00006D68"/>
    <w:rsid w:val="00007766"/>
    <w:rsid w:val="00014DC4"/>
    <w:rsid w:val="00014DFD"/>
    <w:rsid w:val="0002247A"/>
    <w:rsid w:val="000260CC"/>
    <w:rsid w:val="000273CC"/>
    <w:rsid w:val="00027B7C"/>
    <w:rsid w:val="00031AC4"/>
    <w:rsid w:val="00041D92"/>
    <w:rsid w:val="00043ED2"/>
    <w:rsid w:val="000461E2"/>
    <w:rsid w:val="00047E4F"/>
    <w:rsid w:val="00047F74"/>
    <w:rsid w:val="00051006"/>
    <w:rsid w:val="00051BEF"/>
    <w:rsid w:val="00052819"/>
    <w:rsid w:val="000541D1"/>
    <w:rsid w:val="000551B4"/>
    <w:rsid w:val="000557D1"/>
    <w:rsid w:val="00056ED8"/>
    <w:rsid w:val="00070788"/>
    <w:rsid w:val="000727FF"/>
    <w:rsid w:val="00073D95"/>
    <w:rsid w:val="00074AD8"/>
    <w:rsid w:val="00074C7D"/>
    <w:rsid w:val="00076BE2"/>
    <w:rsid w:val="0007710F"/>
    <w:rsid w:val="000803B0"/>
    <w:rsid w:val="00083600"/>
    <w:rsid w:val="0008391E"/>
    <w:rsid w:val="0009044C"/>
    <w:rsid w:val="0009075B"/>
    <w:rsid w:val="000935DF"/>
    <w:rsid w:val="00093FB2"/>
    <w:rsid w:val="000951CF"/>
    <w:rsid w:val="000A056F"/>
    <w:rsid w:val="000A5067"/>
    <w:rsid w:val="000A7F6D"/>
    <w:rsid w:val="000B0D1B"/>
    <w:rsid w:val="000C0326"/>
    <w:rsid w:val="000C5D40"/>
    <w:rsid w:val="000C75C3"/>
    <w:rsid w:val="000D16A8"/>
    <w:rsid w:val="000D262D"/>
    <w:rsid w:val="000D2B20"/>
    <w:rsid w:val="000D2FC8"/>
    <w:rsid w:val="000E0A40"/>
    <w:rsid w:val="000E242C"/>
    <w:rsid w:val="000E5E15"/>
    <w:rsid w:val="000E7713"/>
    <w:rsid w:val="000F12BB"/>
    <w:rsid w:val="000F1BB0"/>
    <w:rsid w:val="000F1DC3"/>
    <w:rsid w:val="000F23DE"/>
    <w:rsid w:val="000F2EFC"/>
    <w:rsid w:val="000F3270"/>
    <w:rsid w:val="000F49AD"/>
    <w:rsid w:val="000F551D"/>
    <w:rsid w:val="000F5574"/>
    <w:rsid w:val="001001BA"/>
    <w:rsid w:val="00103BB6"/>
    <w:rsid w:val="0011406C"/>
    <w:rsid w:val="00114443"/>
    <w:rsid w:val="0011684E"/>
    <w:rsid w:val="00117456"/>
    <w:rsid w:val="00117FCF"/>
    <w:rsid w:val="001244E0"/>
    <w:rsid w:val="001246A7"/>
    <w:rsid w:val="001269C0"/>
    <w:rsid w:val="00126C8F"/>
    <w:rsid w:val="001304D0"/>
    <w:rsid w:val="00131974"/>
    <w:rsid w:val="00132132"/>
    <w:rsid w:val="00132E3C"/>
    <w:rsid w:val="001352DC"/>
    <w:rsid w:val="00136908"/>
    <w:rsid w:val="0014003E"/>
    <w:rsid w:val="00144530"/>
    <w:rsid w:val="00144828"/>
    <w:rsid w:val="00151FE8"/>
    <w:rsid w:val="00152A8E"/>
    <w:rsid w:val="0015332C"/>
    <w:rsid w:val="001543FF"/>
    <w:rsid w:val="00163014"/>
    <w:rsid w:val="00163B44"/>
    <w:rsid w:val="00163C39"/>
    <w:rsid w:val="0016461B"/>
    <w:rsid w:val="0016676D"/>
    <w:rsid w:val="00166F8A"/>
    <w:rsid w:val="0017101F"/>
    <w:rsid w:val="00172A97"/>
    <w:rsid w:val="00175417"/>
    <w:rsid w:val="0018058D"/>
    <w:rsid w:val="001823B2"/>
    <w:rsid w:val="00182982"/>
    <w:rsid w:val="00192C74"/>
    <w:rsid w:val="00193950"/>
    <w:rsid w:val="001957F8"/>
    <w:rsid w:val="001A1116"/>
    <w:rsid w:val="001A2618"/>
    <w:rsid w:val="001A28CB"/>
    <w:rsid w:val="001A4493"/>
    <w:rsid w:val="001A61BB"/>
    <w:rsid w:val="001A67DA"/>
    <w:rsid w:val="001A7B3E"/>
    <w:rsid w:val="001B1746"/>
    <w:rsid w:val="001B4B40"/>
    <w:rsid w:val="001B5793"/>
    <w:rsid w:val="001B63C0"/>
    <w:rsid w:val="001C1C98"/>
    <w:rsid w:val="001C31E3"/>
    <w:rsid w:val="001C5887"/>
    <w:rsid w:val="001C6ABE"/>
    <w:rsid w:val="001C6CB8"/>
    <w:rsid w:val="001D1468"/>
    <w:rsid w:val="001D7DB3"/>
    <w:rsid w:val="001E0B87"/>
    <w:rsid w:val="001E1517"/>
    <w:rsid w:val="001E289B"/>
    <w:rsid w:val="001E2F72"/>
    <w:rsid w:val="001E4A13"/>
    <w:rsid w:val="001E6F22"/>
    <w:rsid w:val="001F5DFC"/>
    <w:rsid w:val="001F7042"/>
    <w:rsid w:val="0020080E"/>
    <w:rsid w:val="00204075"/>
    <w:rsid w:val="0020478E"/>
    <w:rsid w:val="00204CC3"/>
    <w:rsid w:val="00206DE5"/>
    <w:rsid w:val="00207366"/>
    <w:rsid w:val="00207802"/>
    <w:rsid w:val="002150E2"/>
    <w:rsid w:val="00221DBB"/>
    <w:rsid w:val="00223BB5"/>
    <w:rsid w:val="00223FBC"/>
    <w:rsid w:val="00225264"/>
    <w:rsid w:val="00225827"/>
    <w:rsid w:val="002277BD"/>
    <w:rsid w:val="00231698"/>
    <w:rsid w:val="0023618C"/>
    <w:rsid w:val="00236EE5"/>
    <w:rsid w:val="00240015"/>
    <w:rsid w:val="0024084A"/>
    <w:rsid w:val="00243994"/>
    <w:rsid w:val="00243A63"/>
    <w:rsid w:val="00244E9B"/>
    <w:rsid w:val="00247B5B"/>
    <w:rsid w:val="002530DB"/>
    <w:rsid w:val="0025334B"/>
    <w:rsid w:val="00254137"/>
    <w:rsid w:val="00254166"/>
    <w:rsid w:val="0026130D"/>
    <w:rsid w:val="002621A4"/>
    <w:rsid w:val="00263E5D"/>
    <w:rsid w:val="00264F2E"/>
    <w:rsid w:val="002657A4"/>
    <w:rsid w:val="002658FD"/>
    <w:rsid w:val="00266A46"/>
    <w:rsid w:val="002679A8"/>
    <w:rsid w:val="00270E94"/>
    <w:rsid w:val="00276B89"/>
    <w:rsid w:val="00277512"/>
    <w:rsid w:val="00280BBA"/>
    <w:rsid w:val="0028146F"/>
    <w:rsid w:val="00281A95"/>
    <w:rsid w:val="00282B4E"/>
    <w:rsid w:val="00285860"/>
    <w:rsid w:val="002866D9"/>
    <w:rsid w:val="00291395"/>
    <w:rsid w:val="00292BAB"/>
    <w:rsid w:val="00293EA1"/>
    <w:rsid w:val="0029586B"/>
    <w:rsid w:val="002A0992"/>
    <w:rsid w:val="002A1939"/>
    <w:rsid w:val="002A1C3B"/>
    <w:rsid w:val="002A2FD3"/>
    <w:rsid w:val="002A2FDD"/>
    <w:rsid w:val="002A5DEB"/>
    <w:rsid w:val="002A636A"/>
    <w:rsid w:val="002A74A9"/>
    <w:rsid w:val="002B1E60"/>
    <w:rsid w:val="002B404F"/>
    <w:rsid w:val="002B6D26"/>
    <w:rsid w:val="002B6DA2"/>
    <w:rsid w:val="002B6EE6"/>
    <w:rsid w:val="002B7FA3"/>
    <w:rsid w:val="002C1DDF"/>
    <w:rsid w:val="002C2104"/>
    <w:rsid w:val="002C2790"/>
    <w:rsid w:val="002C44F1"/>
    <w:rsid w:val="002C52E8"/>
    <w:rsid w:val="002D0602"/>
    <w:rsid w:val="002D0FB0"/>
    <w:rsid w:val="002D45CF"/>
    <w:rsid w:val="002D769D"/>
    <w:rsid w:val="002E02A2"/>
    <w:rsid w:val="002E0E66"/>
    <w:rsid w:val="002E2CF6"/>
    <w:rsid w:val="002E3F29"/>
    <w:rsid w:val="002E41F2"/>
    <w:rsid w:val="002E6922"/>
    <w:rsid w:val="002E7945"/>
    <w:rsid w:val="002F00BD"/>
    <w:rsid w:val="002F066A"/>
    <w:rsid w:val="002F54BA"/>
    <w:rsid w:val="002F6BB2"/>
    <w:rsid w:val="002F71A7"/>
    <w:rsid w:val="00300389"/>
    <w:rsid w:val="003035EF"/>
    <w:rsid w:val="00303F39"/>
    <w:rsid w:val="00305943"/>
    <w:rsid w:val="00310173"/>
    <w:rsid w:val="00310B37"/>
    <w:rsid w:val="00310BFC"/>
    <w:rsid w:val="00312A45"/>
    <w:rsid w:val="00313CBE"/>
    <w:rsid w:val="0031470B"/>
    <w:rsid w:val="00315BCC"/>
    <w:rsid w:val="003225D8"/>
    <w:rsid w:val="00324815"/>
    <w:rsid w:val="003308F2"/>
    <w:rsid w:val="00335CB0"/>
    <w:rsid w:val="00336D49"/>
    <w:rsid w:val="003377B5"/>
    <w:rsid w:val="00340054"/>
    <w:rsid w:val="00342053"/>
    <w:rsid w:val="00344D07"/>
    <w:rsid w:val="003459E5"/>
    <w:rsid w:val="00347AE3"/>
    <w:rsid w:val="00351B0D"/>
    <w:rsid w:val="0035447D"/>
    <w:rsid w:val="00354D36"/>
    <w:rsid w:val="00360113"/>
    <w:rsid w:val="00363CA5"/>
    <w:rsid w:val="00364237"/>
    <w:rsid w:val="00364B3F"/>
    <w:rsid w:val="003661A4"/>
    <w:rsid w:val="00374939"/>
    <w:rsid w:val="00377DF0"/>
    <w:rsid w:val="00386AF9"/>
    <w:rsid w:val="003920E9"/>
    <w:rsid w:val="00393A41"/>
    <w:rsid w:val="00394CF6"/>
    <w:rsid w:val="003958E6"/>
    <w:rsid w:val="00395DE9"/>
    <w:rsid w:val="0039679C"/>
    <w:rsid w:val="003A0326"/>
    <w:rsid w:val="003A0D52"/>
    <w:rsid w:val="003A1484"/>
    <w:rsid w:val="003A2843"/>
    <w:rsid w:val="003A553C"/>
    <w:rsid w:val="003A5DC0"/>
    <w:rsid w:val="003A729E"/>
    <w:rsid w:val="003A7E47"/>
    <w:rsid w:val="003B0AC5"/>
    <w:rsid w:val="003B398C"/>
    <w:rsid w:val="003B49BC"/>
    <w:rsid w:val="003B4C7E"/>
    <w:rsid w:val="003B5B3D"/>
    <w:rsid w:val="003C2E8D"/>
    <w:rsid w:val="003C32AB"/>
    <w:rsid w:val="003C5CAC"/>
    <w:rsid w:val="003C7191"/>
    <w:rsid w:val="003D0330"/>
    <w:rsid w:val="003D1C36"/>
    <w:rsid w:val="003D2128"/>
    <w:rsid w:val="003D21B2"/>
    <w:rsid w:val="003D44AD"/>
    <w:rsid w:val="003D60EB"/>
    <w:rsid w:val="003E4A39"/>
    <w:rsid w:val="003F5B16"/>
    <w:rsid w:val="003F7521"/>
    <w:rsid w:val="003F7778"/>
    <w:rsid w:val="004009AC"/>
    <w:rsid w:val="00403793"/>
    <w:rsid w:val="00403BED"/>
    <w:rsid w:val="00404B1C"/>
    <w:rsid w:val="00411357"/>
    <w:rsid w:val="0041225F"/>
    <w:rsid w:val="00413564"/>
    <w:rsid w:val="00415EDB"/>
    <w:rsid w:val="004167BD"/>
    <w:rsid w:val="00417DB9"/>
    <w:rsid w:val="00417EF4"/>
    <w:rsid w:val="00421642"/>
    <w:rsid w:val="004235F3"/>
    <w:rsid w:val="00426FF0"/>
    <w:rsid w:val="00430C64"/>
    <w:rsid w:val="0043181A"/>
    <w:rsid w:val="00431A67"/>
    <w:rsid w:val="0043539F"/>
    <w:rsid w:val="0044072B"/>
    <w:rsid w:val="004409FA"/>
    <w:rsid w:val="004419D3"/>
    <w:rsid w:val="004435A2"/>
    <w:rsid w:val="00443641"/>
    <w:rsid w:val="00443F79"/>
    <w:rsid w:val="00444A2B"/>
    <w:rsid w:val="00452850"/>
    <w:rsid w:val="004536A7"/>
    <w:rsid w:val="0045574B"/>
    <w:rsid w:val="0045592C"/>
    <w:rsid w:val="004648FC"/>
    <w:rsid w:val="00464EC6"/>
    <w:rsid w:val="00464ED5"/>
    <w:rsid w:val="004710E6"/>
    <w:rsid w:val="00471851"/>
    <w:rsid w:val="004751F8"/>
    <w:rsid w:val="004760B7"/>
    <w:rsid w:val="00482A0D"/>
    <w:rsid w:val="0048461D"/>
    <w:rsid w:val="004858EA"/>
    <w:rsid w:val="00487CDE"/>
    <w:rsid w:val="0049180C"/>
    <w:rsid w:val="00492AD4"/>
    <w:rsid w:val="00492F46"/>
    <w:rsid w:val="004946E0"/>
    <w:rsid w:val="004950E8"/>
    <w:rsid w:val="004957D7"/>
    <w:rsid w:val="004A0904"/>
    <w:rsid w:val="004A60DF"/>
    <w:rsid w:val="004A6332"/>
    <w:rsid w:val="004B0C03"/>
    <w:rsid w:val="004B2897"/>
    <w:rsid w:val="004B2B21"/>
    <w:rsid w:val="004B37C9"/>
    <w:rsid w:val="004B6066"/>
    <w:rsid w:val="004B70A1"/>
    <w:rsid w:val="004B713E"/>
    <w:rsid w:val="004C1F22"/>
    <w:rsid w:val="004C47E7"/>
    <w:rsid w:val="004C7CE2"/>
    <w:rsid w:val="004D0F52"/>
    <w:rsid w:val="004D387F"/>
    <w:rsid w:val="004D752E"/>
    <w:rsid w:val="004E0615"/>
    <w:rsid w:val="004E297F"/>
    <w:rsid w:val="004F001D"/>
    <w:rsid w:val="004F08E2"/>
    <w:rsid w:val="004F4725"/>
    <w:rsid w:val="004F50B7"/>
    <w:rsid w:val="004F5949"/>
    <w:rsid w:val="004F5EE5"/>
    <w:rsid w:val="004F7911"/>
    <w:rsid w:val="0050095F"/>
    <w:rsid w:val="00501CC7"/>
    <w:rsid w:val="005027D9"/>
    <w:rsid w:val="00503D78"/>
    <w:rsid w:val="005051E5"/>
    <w:rsid w:val="00507F61"/>
    <w:rsid w:val="0051028F"/>
    <w:rsid w:val="005115FB"/>
    <w:rsid w:val="00512C50"/>
    <w:rsid w:val="00514ACA"/>
    <w:rsid w:val="00515B86"/>
    <w:rsid w:val="0051653D"/>
    <w:rsid w:val="0052287D"/>
    <w:rsid w:val="005231B6"/>
    <w:rsid w:val="005239B8"/>
    <w:rsid w:val="00525325"/>
    <w:rsid w:val="005319D6"/>
    <w:rsid w:val="00531DFE"/>
    <w:rsid w:val="00533FDC"/>
    <w:rsid w:val="005411E8"/>
    <w:rsid w:val="00542681"/>
    <w:rsid w:val="00543E23"/>
    <w:rsid w:val="005453CE"/>
    <w:rsid w:val="005501AC"/>
    <w:rsid w:val="005505EC"/>
    <w:rsid w:val="005516B0"/>
    <w:rsid w:val="0055229A"/>
    <w:rsid w:val="00552618"/>
    <w:rsid w:val="00552D98"/>
    <w:rsid w:val="00553F8D"/>
    <w:rsid w:val="0055542B"/>
    <w:rsid w:val="00555639"/>
    <w:rsid w:val="00557191"/>
    <w:rsid w:val="0056558D"/>
    <w:rsid w:val="005656C2"/>
    <w:rsid w:val="00571DFC"/>
    <w:rsid w:val="00575A97"/>
    <w:rsid w:val="00575F9A"/>
    <w:rsid w:val="00576C07"/>
    <w:rsid w:val="005811BD"/>
    <w:rsid w:val="005811D7"/>
    <w:rsid w:val="00581A9B"/>
    <w:rsid w:val="00581AAD"/>
    <w:rsid w:val="00583D91"/>
    <w:rsid w:val="00584DDC"/>
    <w:rsid w:val="0058655C"/>
    <w:rsid w:val="005866D5"/>
    <w:rsid w:val="0059507D"/>
    <w:rsid w:val="00595DD2"/>
    <w:rsid w:val="005A16DB"/>
    <w:rsid w:val="005A2640"/>
    <w:rsid w:val="005A32FA"/>
    <w:rsid w:val="005A489F"/>
    <w:rsid w:val="005A4CEC"/>
    <w:rsid w:val="005A68D5"/>
    <w:rsid w:val="005A7180"/>
    <w:rsid w:val="005B358E"/>
    <w:rsid w:val="005B4572"/>
    <w:rsid w:val="005B494F"/>
    <w:rsid w:val="005B4E05"/>
    <w:rsid w:val="005B4E0C"/>
    <w:rsid w:val="005B65B2"/>
    <w:rsid w:val="005B7D13"/>
    <w:rsid w:val="005B7E93"/>
    <w:rsid w:val="005C4799"/>
    <w:rsid w:val="005C4D29"/>
    <w:rsid w:val="005D2A0E"/>
    <w:rsid w:val="005D2C0E"/>
    <w:rsid w:val="005D4121"/>
    <w:rsid w:val="005D49D2"/>
    <w:rsid w:val="005D49E7"/>
    <w:rsid w:val="005D5539"/>
    <w:rsid w:val="005D5ADD"/>
    <w:rsid w:val="005D5B25"/>
    <w:rsid w:val="005D6A68"/>
    <w:rsid w:val="005E4EDE"/>
    <w:rsid w:val="005E5168"/>
    <w:rsid w:val="005E793D"/>
    <w:rsid w:val="005F1B63"/>
    <w:rsid w:val="005F28DC"/>
    <w:rsid w:val="005F3254"/>
    <w:rsid w:val="005F52EF"/>
    <w:rsid w:val="005F53D9"/>
    <w:rsid w:val="005F5D47"/>
    <w:rsid w:val="005F66B3"/>
    <w:rsid w:val="005F766F"/>
    <w:rsid w:val="00600254"/>
    <w:rsid w:val="00601D5A"/>
    <w:rsid w:val="00605EB1"/>
    <w:rsid w:val="00612896"/>
    <w:rsid w:val="0062060A"/>
    <w:rsid w:val="00623E71"/>
    <w:rsid w:val="00627439"/>
    <w:rsid w:val="00635E23"/>
    <w:rsid w:val="00636F3D"/>
    <w:rsid w:val="00637503"/>
    <w:rsid w:val="006409FD"/>
    <w:rsid w:val="00642156"/>
    <w:rsid w:val="0064264E"/>
    <w:rsid w:val="00643659"/>
    <w:rsid w:val="006442B5"/>
    <w:rsid w:val="0064498F"/>
    <w:rsid w:val="00647BB3"/>
    <w:rsid w:val="006507A0"/>
    <w:rsid w:val="006522A4"/>
    <w:rsid w:val="006522E5"/>
    <w:rsid w:val="00665E7C"/>
    <w:rsid w:val="0067112F"/>
    <w:rsid w:val="006733EF"/>
    <w:rsid w:val="00675AA9"/>
    <w:rsid w:val="00675FFD"/>
    <w:rsid w:val="00681408"/>
    <w:rsid w:val="006818A0"/>
    <w:rsid w:val="00681EC1"/>
    <w:rsid w:val="00682E5B"/>
    <w:rsid w:val="00683279"/>
    <w:rsid w:val="00684A18"/>
    <w:rsid w:val="006856AE"/>
    <w:rsid w:val="006869A6"/>
    <w:rsid w:val="00687871"/>
    <w:rsid w:val="00695414"/>
    <w:rsid w:val="0069744B"/>
    <w:rsid w:val="006A303E"/>
    <w:rsid w:val="006A560E"/>
    <w:rsid w:val="006A6044"/>
    <w:rsid w:val="006A6D92"/>
    <w:rsid w:val="006B0440"/>
    <w:rsid w:val="006B0529"/>
    <w:rsid w:val="006B2E8C"/>
    <w:rsid w:val="006B3925"/>
    <w:rsid w:val="006B3D41"/>
    <w:rsid w:val="006B5C28"/>
    <w:rsid w:val="006B6D1F"/>
    <w:rsid w:val="006B7E44"/>
    <w:rsid w:val="006C58D6"/>
    <w:rsid w:val="006C68DA"/>
    <w:rsid w:val="006C70DA"/>
    <w:rsid w:val="006C718C"/>
    <w:rsid w:val="006D021F"/>
    <w:rsid w:val="006D0551"/>
    <w:rsid w:val="006D0A74"/>
    <w:rsid w:val="006D2C2C"/>
    <w:rsid w:val="006D4612"/>
    <w:rsid w:val="006D4ED8"/>
    <w:rsid w:val="006D6F09"/>
    <w:rsid w:val="006E2CBA"/>
    <w:rsid w:val="006E629A"/>
    <w:rsid w:val="006E65EC"/>
    <w:rsid w:val="006E6EB0"/>
    <w:rsid w:val="006F11D9"/>
    <w:rsid w:val="00707268"/>
    <w:rsid w:val="00710F2F"/>
    <w:rsid w:val="007113B0"/>
    <w:rsid w:val="00712587"/>
    <w:rsid w:val="0071312A"/>
    <w:rsid w:val="00713E1E"/>
    <w:rsid w:val="0071757D"/>
    <w:rsid w:val="0072110E"/>
    <w:rsid w:val="0072272C"/>
    <w:rsid w:val="0072413F"/>
    <w:rsid w:val="00725382"/>
    <w:rsid w:val="00725A47"/>
    <w:rsid w:val="0073176C"/>
    <w:rsid w:val="00732078"/>
    <w:rsid w:val="00732CAC"/>
    <w:rsid w:val="00733C04"/>
    <w:rsid w:val="00733E26"/>
    <w:rsid w:val="007352AB"/>
    <w:rsid w:val="00735F73"/>
    <w:rsid w:val="00736D64"/>
    <w:rsid w:val="00737175"/>
    <w:rsid w:val="00747CED"/>
    <w:rsid w:val="00750198"/>
    <w:rsid w:val="00752FF7"/>
    <w:rsid w:val="00754789"/>
    <w:rsid w:val="00755345"/>
    <w:rsid w:val="00757802"/>
    <w:rsid w:val="007601D6"/>
    <w:rsid w:val="00764188"/>
    <w:rsid w:val="00767640"/>
    <w:rsid w:val="0077605C"/>
    <w:rsid w:val="00777FBF"/>
    <w:rsid w:val="00783B1E"/>
    <w:rsid w:val="00785921"/>
    <w:rsid w:val="00787B6B"/>
    <w:rsid w:val="00790D48"/>
    <w:rsid w:val="007912EE"/>
    <w:rsid w:val="00791D7C"/>
    <w:rsid w:val="00793C22"/>
    <w:rsid w:val="00793E12"/>
    <w:rsid w:val="0079457E"/>
    <w:rsid w:val="00796AC3"/>
    <w:rsid w:val="00796D43"/>
    <w:rsid w:val="007A0E41"/>
    <w:rsid w:val="007A0E97"/>
    <w:rsid w:val="007A2AA1"/>
    <w:rsid w:val="007A2FFD"/>
    <w:rsid w:val="007A4159"/>
    <w:rsid w:val="007A64E0"/>
    <w:rsid w:val="007B4EAF"/>
    <w:rsid w:val="007B532B"/>
    <w:rsid w:val="007B554E"/>
    <w:rsid w:val="007B6757"/>
    <w:rsid w:val="007B7E68"/>
    <w:rsid w:val="007C296C"/>
    <w:rsid w:val="007C4D34"/>
    <w:rsid w:val="007C531B"/>
    <w:rsid w:val="007C54B5"/>
    <w:rsid w:val="007C5E20"/>
    <w:rsid w:val="007C7741"/>
    <w:rsid w:val="007D1A45"/>
    <w:rsid w:val="007D2FA1"/>
    <w:rsid w:val="007D4EE3"/>
    <w:rsid w:val="007D69E0"/>
    <w:rsid w:val="007D7BDD"/>
    <w:rsid w:val="007E0CD6"/>
    <w:rsid w:val="007E32C3"/>
    <w:rsid w:val="007E73B3"/>
    <w:rsid w:val="007F033D"/>
    <w:rsid w:val="007F1DA9"/>
    <w:rsid w:val="007F44F1"/>
    <w:rsid w:val="007F4C12"/>
    <w:rsid w:val="007F58A5"/>
    <w:rsid w:val="007F6285"/>
    <w:rsid w:val="007F6312"/>
    <w:rsid w:val="007F69B9"/>
    <w:rsid w:val="007F759F"/>
    <w:rsid w:val="00807761"/>
    <w:rsid w:val="008104A5"/>
    <w:rsid w:val="0081124B"/>
    <w:rsid w:val="0081397F"/>
    <w:rsid w:val="00813A20"/>
    <w:rsid w:val="00814528"/>
    <w:rsid w:val="00814B17"/>
    <w:rsid w:val="008177CB"/>
    <w:rsid w:val="0082250B"/>
    <w:rsid w:val="008227DC"/>
    <w:rsid w:val="00822FDE"/>
    <w:rsid w:val="00823A72"/>
    <w:rsid w:val="0082706F"/>
    <w:rsid w:val="0082775C"/>
    <w:rsid w:val="00827A61"/>
    <w:rsid w:val="00827C30"/>
    <w:rsid w:val="00832AAA"/>
    <w:rsid w:val="00832EE3"/>
    <w:rsid w:val="0083715D"/>
    <w:rsid w:val="008405AE"/>
    <w:rsid w:val="00841804"/>
    <w:rsid w:val="0084279B"/>
    <w:rsid w:val="008458F2"/>
    <w:rsid w:val="008467FA"/>
    <w:rsid w:val="008475A5"/>
    <w:rsid w:val="00847A01"/>
    <w:rsid w:val="00847A6E"/>
    <w:rsid w:val="00856413"/>
    <w:rsid w:val="008577C9"/>
    <w:rsid w:val="00861993"/>
    <w:rsid w:val="00861DAB"/>
    <w:rsid w:val="00870C8D"/>
    <w:rsid w:val="00872421"/>
    <w:rsid w:val="00872EA0"/>
    <w:rsid w:val="0087425A"/>
    <w:rsid w:val="00881D37"/>
    <w:rsid w:val="008830D2"/>
    <w:rsid w:val="00885443"/>
    <w:rsid w:val="008856BD"/>
    <w:rsid w:val="00885CB7"/>
    <w:rsid w:val="00885E9A"/>
    <w:rsid w:val="00886D30"/>
    <w:rsid w:val="00891DDA"/>
    <w:rsid w:val="00892925"/>
    <w:rsid w:val="008929D7"/>
    <w:rsid w:val="0089340E"/>
    <w:rsid w:val="0089405B"/>
    <w:rsid w:val="008953F8"/>
    <w:rsid w:val="00895F74"/>
    <w:rsid w:val="008960A6"/>
    <w:rsid w:val="00897D72"/>
    <w:rsid w:val="008A0D30"/>
    <w:rsid w:val="008A695B"/>
    <w:rsid w:val="008A7FC3"/>
    <w:rsid w:val="008B5B78"/>
    <w:rsid w:val="008B6085"/>
    <w:rsid w:val="008B72E4"/>
    <w:rsid w:val="008B73AB"/>
    <w:rsid w:val="008B770C"/>
    <w:rsid w:val="008C078F"/>
    <w:rsid w:val="008C20F6"/>
    <w:rsid w:val="008C7677"/>
    <w:rsid w:val="008D514C"/>
    <w:rsid w:val="008D53E1"/>
    <w:rsid w:val="008D668D"/>
    <w:rsid w:val="008D6A37"/>
    <w:rsid w:val="008D7F2B"/>
    <w:rsid w:val="008E0AFB"/>
    <w:rsid w:val="008E1FA1"/>
    <w:rsid w:val="008E2F24"/>
    <w:rsid w:val="008E34C8"/>
    <w:rsid w:val="008E3F8C"/>
    <w:rsid w:val="008E49A4"/>
    <w:rsid w:val="008E7525"/>
    <w:rsid w:val="008F2C49"/>
    <w:rsid w:val="008F542D"/>
    <w:rsid w:val="008F6EB2"/>
    <w:rsid w:val="008F78C3"/>
    <w:rsid w:val="00903BF8"/>
    <w:rsid w:val="009049D8"/>
    <w:rsid w:val="009060FB"/>
    <w:rsid w:val="009074E9"/>
    <w:rsid w:val="00910D36"/>
    <w:rsid w:val="00912778"/>
    <w:rsid w:val="00913005"/>
    <w:rsid w:val="009138E8"/>
    <w:rsid w:val="009150D0"/>
    <w:rsid w:val="009162EF"/>
    <w:rsid w:val="00916EB8"/>
    <w:rsid w:val="009205DD"/>
    <w:rsid w:val="009230DE"/>
    <w:rsid w:val="009233F7"/>
    <w:rsid w:val="009236DC"/>
    <w:rsid w:val="00924B3E"/>
    <w:rsid w:val="009256E7"/>
    <w:rsid w:val="009260A2"/>
    <w:rsid w:val="00927559"/>
    <w:rsid w:val="00927C3B"/>
    <w:rsid w:val="00931E97"/>
    <w:rsid w:val="00932374"/>
    <w:rsid w:val="009352DD"/>
    <w:rsid w:val="00936DD7"/>
    <w:rsid w:val="0094296C"/>
    <w:rsid w:val="00943C85"/>
    <w:rsid w:val="00945DA5"/>
    <w:rsid w:val="00946A05"/>
    <w:rsid w:val="00946DE0"/>
    <w:rsid w:val="009504A5"/>
    <w:rsid w:val="00951C9F"/>
    <w:rsid w:val="00952735"/>
    <w:rsid w:val="0095335B"/>
    <w:rsid w:val="0095382B"/>
    <w:rsid w:val="0095405A"/>
    <w:rsid w:val="00954333"/>
    <w:rsid w:val="00954E69"/>
    <w:rsid w:val="00955670"/>
    <w:rsid w:val="009620BF"/>
    <w:rsid w:val="00962A24"/>
    <w:rsid w:val="009634D9"/>
    <w:rsid w:val="00963DAD"/>
    <w:rsid w:val="009640AA"/>
    <w:rsid w:val="009726DB"/>
    <w:rsid w:val="00972F72"/>
    <w:rsid w:val="00974579"/>
    <w:rsid w:val="009760C4"/>
    <w:rsid w:val="00976542"/>
    <w:rsid w:val="009831E7"/>
    <w:rsid w:val="00983247"/>
    <w:rsid w:val="00984EFB"/>
    <w:rsid w:val="00985C69"/>
    <w:rsid w:val="00985D7F"/>
    <w:rsid w:val="00990174"/>
    <w:rsid w:val="00990EDE"/>
    <w:rsid w:val="009937BE"/>
    <w:rsid w:val="00997F3A"/>
    <w:rsid w:val="009A080E"/>
    <w:rsid w:val="009A1A28"/>
    <w:rsid w:val="009A21E1"/>
    <w:rsid w:val="009A2971"/>
    <w:rsid w:val="009A2D87"/>
    <w:rsid w:val="009A4187"/>
    <w:rsid w:val="009A42BC"/>
    <w:rsid w:val="009A4DEE"/>
    <w:rsid w:val="009A50A3"/>
    <w:rsid w:val="009A7126"/>
    <w:rsid w:val="009A7488"/>
    <w:rsid w:val="009B01CC"/>
    <w:rsid w:val="009B0B66"/>
    <w:rsid w:val="009B1F29"/>
    <w:rsid w:val="009B2561"/>
    <w:rsid w:val="009B2DD6"/>
    <w:rsid w:val="009B47D3"/>
    <w:rsid w:val="009B4A92"/>
    <w:rsid w:val="009C42F0"/>
    <w:rsid w:val="009D23E0"/>
    <w:rsid w:val="009D3F8E"/>
    <w:rsid w:val="009D4443"/>
    <w:rsid w:val="009D56E7"/>
    <w:rsid w:val="009D6777"/>
    <w:rsid w:val="009E1C67"/>
    <w:rsid w:val="009E222D"/>
    <w:rsid w:val="009E3473"/>
    <w:rsid w:val="009E3FF3"/>
    <w:rsid w:val="009E513C"/>
    <w:rsid w:val="009E5C67"/>
    <w:rsid w:val="009F005E"/>
    <w:rsid w:val="009F06D6"/>
    <w:rsid w:val="009F1D5B"/>
    <w:rsid w:val="009F7A35"/>
    <w:rsid w:val="00A02021"/>
    <w:rsid w:val="00A02494"/>
    <w:rsid w:val="00A033DE"/>
    <w:rsid w:val="00A03D8A"/>
    <w:rsid w:val="00A14ED4"/>
    <w:rsid w:val="00A1649B"/>
    <w:rsid w:val="00A16B62"/>
    <w:rsid w:val="00A21466"/>
    <w:rsid w:val="00A2328E"/>
    <w:rsid w:val="00A25AF5"/>
    <w:rsid w:val="00A26234"/>
    <w:rsid w:val="00A26B81"/>
    <w:rsid w:val="00A30577"/>
    <w:rsid w:val="00A31AE9"/>
    <w:rsid w:val="00A32004"/>
    <w:rsid w:val="00A358C3"/>
    <w:rsid w:val="00A36FEF"/>
    <w:rsid w:val="00A37D55"/>
    <w:rsid w:val="00A41A75"/>
    <w:rsid w:val="00A438D3"/>
    <w:rsid w:val="00A43A9C"/>
    <w:rsid w:val="00A441A7"/>
    <w:rsid w:val="00A445CC"/>
    <w:rsid w:val="00A45A75"/>
    <w:rsid w:val="00A46140"/>
    <w:rsid w:val="00A46A12"/>
    <w:rsid w:val="00A47DC0"/>
    <w:rsid w:val="00A50ABE"/>
    <w:rsid w:val="00A53AA9"/>
    <w:rsid w:val="00A55367"/>
    <w:rsid w:val="00A56235"/>
    <w:rsid w:val="00A563B2"/>
    <w:rsid w:val="00A57A42"/>
    <w:rsid w:val="00A60DC6"/>
    <w:rsid w:val="00A6121B"/>
    <w:rsid w:val="00A62FAB"/>
    <w:rsid w:val="00A63722"/>
    <w:rsid w:val="00A6422D"/>
    <w:rsid w:val="00A64886"/>
    <w:rsid w:val="00A64D09"/>
    <w:rsid w:val="00A668E5"/>
    <w:rsid w:val="00A67B47"/>
    <w:rsid w:val="00A71D6A"/>
    <w:rsid w:val="00A73BCA"/>
    <w:rsid w:val="00A77493"/>
    <w:rsid w:val="00A8141F"/>
    <w:rsid w:val="00A83AD0"/>
    <w:rsid w:val="00A8501A"/>
    <w:rsid w:val="00A8713F"/>
    <w:rsid w:val="00A904A7"/>
    <w:rsid w:val="00A91490"/>
    <w:rsid w:val="00A92BDB"/>
    <w:rsid w:val="00A95047"/>
    <w:rsid w:val="00A951A4"/>
    <w:rsid w:val="00A95A9A"/>
    <w:rsid w:val="00A95AAD"/>
    <w:rsid w:val="00A96F7F"/>
    <w:rsid w:val="00AA0572"/>
    <w:rsid w:val="00AA1377"/>
    <w:rsid w:val="00AA39B5"/>
    <w:rsid w:val="00AA6C6C"/>
    <w:rsid w:val="00AB15CB"/>
    <w:rsid w:val="00AB59D0"/>
    <w:rsid w:val="00AC0051"/>
    <w:rsid w:val="00AC0E1B"/>
    <w:rsid w:val="00AC16AF"/>
    <w:rsid w:val="00AC2E8B"/>
    <w:rsid w:val="00AC36D0"/>
    <w:rsid w:val="00AD46A1"/>
    <w:rsid w:val="00AD6292"/>
    <w:rsid w:val="00AE4292"/>
    <w:rsid w:val="00AE49FF"/>
    <w:rsid w:val="00AE777C"/>
    <w:rsid w:val="00AF1833"/>
    <w:rsid w:val="00AF3EA9"/>
    <w:rsid w:val="00AF4463"/>
    <w:rsid w:val="00AF47D7"/>
    <w:rsid w:val="00AF51D2"/>
    <w:rsid w:val="00AF538E"/>
    <w:rsid w:val="00AF7004"/>
    <w:rsid w:val="00B00494"/>
    <w:rsid w:val="00B00748"/>
    <w:rsid w:val="00B0341F"/>
    <w:rsid w:val="00B0507A"/>
    <w:rsid w:val="00B050EF"/>
    <w:rsid w:val="00B0685F"/>
    <w:rsid w:val="00B07CAE"/>
    <w:rsid w:val="00B128A2"/>
    <w:rsid w:val="00B14B65"/>
    <w:rsid w:val="00B150E4"/>
    <w:rsid w:val="00B1690B"/>
    <w:rsid w:val="00B22A47"/>
    <w:rsid w:val="00B22FB4"/>
    <w:rsid w:val="00B23F24"/>
    <w:rsid w:val="00B3015F"/>
    <w:rsid w:val="00B32A89"/>
    <w:rsid w:val="00B36955"/>
    <w:rsid w:val="00B40380"/>
    <w:rsid w:val="00B4225E"/>
    <w:rsid w:val="00B45524"/>
    <w:rsid w:val="00B458FA"/>
    <w:rsid w:val="00B4597B"/>
    <w:rsid w:val="00B47276"/>
    <w:rsid w:val="00B50E25"/>
    <w:rsid w:val="00B51626"/>
    <w:rsid w:val="00B51C5A"/>
    <w:rsid w:val="00B53B5A"/>
    <w:rsid w:val="00B55DDB"/>
    <w:rsid w:val="00B61A78"/>
    <w:rsid w:val="00B62D9E"/>
    <w:rsid w:val="00B70726"/>
    <w:rsid w:val="00B708E2"/>
    <w:rsid w:val="00B722CA"/>
    <w:rsid w:val="00B75495"/>
    <w:rsid w:val="00B81313"/>
    <w:rsid w:val="00B86211"/>
    <w:rsid w:val="00B86390"/>
    <w:rsid w:val="00B87434"/>
    <w:rsid w:val="00B92E31"/>
    <w:rsid w:val="00B936C1"/>
    <w:rsid w:val="00BA0B22"/>
    <w:rsid w:val="00BA362F"/>
    <w:rsid w:val="00BA3E26"/>
    <w:rsid w:val="00BA5D3C"/>
    <w:rsid w:val="00BB0C00"/>
    <w:rsid w:val="00BB16B0"/>
    <w:rsid w:val="00BB32BA"/>
    <w:rsid w:val="00BB4522"/>
    <w:rsid w:val="00BB4657"/>
    <w:rsid w:val="00BB4A73"/>
    <w:rsid w:val="00BB608F"/>
    <w:rsid w:val="00BC0718"/>
    <w:rsid w:val="00BC10E0"/>
    <w:rsid w:val="00BC2169"/>
    <w:rsid w:val="00BC484F"/>
    <w:rsid w:val="00BC4D18"/>
    <w:rsid w:val="00BD1070"/>
    <w:rsid w:val="00BD3C1F"/>
    <w:rsid w:val="00BD41A4"/>
    <w:rsid w:val="00BD5F69"/>
    <w:rsid w:val="00BD610B"/>
    <w:rsid w:val="00BD6286"/>
    <w:rsid w:val="00BE00E1"/>
    <w:rsid w:val="00BE1568"/>
    <w:rsid w:val="00BE3A00"/>
    <w:rsid w:val="00BE7797"/>
    <w:rsid w:val="00BE7A60"/>
    <w:rsid w:val="00BF0277"/>
    <w:rsid w:val="00BF2816"/>
    <w:rsid w:val="00BF3765"/>
    <w:rsid w:val="00C014F1"/>
    <w:rsid w:val="00C03C91"/>
    <w:rsid w:val="00C03F3F"/>
    <w:rsid w:val="00C04104"/>
    <w:rsid w:val="00C04E8E"/>
    <w:rsid w:val="00C07749"/>
    <w:rsid w:val="00C07AD1"/>
    <w:rsid w:val="00C217C6"/>
    <w:rsid w:val="00C2190A"/>
    <w:rsid w:val="00C25F33"/>
    <w:rsid w:val="00C27A2F"/>
    <w:rsid w:val="00C336DE"/>
    <w:rsid w:val="00C340B0"/>
    <w:rsid w:val="00C34A89"/>
    <w:rsid w:val="00C36962"/>
    <w:rsid w:val="00C36B5B"/>
    <w:rsid w:val="00C37F0B"/>
    <w:rsid w:val="00C432EB"/>
    <w:rsid w:val="00C45192"/>
    <w:rsid w:val="00C46FFA"/>
    <w:rsid w:val="00C502F4"/>
    <w:rsid w:val="00C522D1"/>
    <w:rsid w:val="00C572FA"/>
    <w:rsid w:val="00C57E34"/>
    <w:rsid w:val="00C603FA"/>
    <w:rsid w:val="00C61134"/>
    <w:rsid w:val="00C63012"/>
    <w:rsid w:val="00C647CC"/>
    <w:rsid w:val="00C712B3"/>
    <w:rsid w:val="00C754EF"/>
    <w:rsid w:val="00C7751C"/>
    <w:rsid w:val="00C808EE"/>
    <w:rsid w:val="00C82E31"/>
    <w:rsid w:val="00C82FD3"/>
    <w:rsid w:val="00C844AF"/>
    <w:rsid w:val="00C8680A"/>
    <w:rsid w:val="00C87063"/>
    <w:rsid w:val="00C87CB0"/>
    <w:rsid w:val="00C95FA7"/>
    <w:rsid w:val="00C9687B"/>
    <w:rsid w:val="00C97E06"/>
    <w:rsid w:val="00CA3D62"/>
    <w:rsid w:val="00CA6D6A"/>
    <w:rsid w:val="00CA7EEA"/>
    <w:rsid w:val="00CB5F91"/>
    <w:rsid w:val="00CB7A82"/>
    <w:rsid w:val="00CC04E5"/>
    <w:rsid w:val="00CC5591"/>
    <w:rsid w:val="00CC7405"/>
    <w:rsid w:val="00CD343E"/>
    <w:rsid w:val="00CD4BEB"/>
    <w:rsid w:val="00CD581C"/>
    <w:rsid w:val="00CD68BB"/>
    <w:rsid w:val="00CE1EA6"/>
    <w:rsid w:val="00CE4749"/>
    <w:rsid w:val="00CE5534"/>
    <w:rsid w:val="00CE5755"/>
    <w:rsid w:val="00CF1C4B"/>
    <w:rsid w:val="00CF1F94"/>
    <w:rsid w:val="00CF29D0"/>
    <w:rsid w:val="00CF29FD"/>
    <w:rsid w:val="00CF4173"/>
    <w:rsid w:val="00CF6EB6"/>
    <w:rsid w:val="00D00A90"/>
    <w:rsid w:val="00D01A0A"/>
    <w:rsid w:val="00D028F3"/>
    <w:rsid w:val="00D05723"/>
    <w:rsid w:val="00D077F6"/>
    <w:rsid w:val="00D13E3D"/>
    <w:rsid w:val="00D14ED9"/>
    <w:rsid w:val="00D16EB2"/>
    <w:rsid w:val="00D1735A"/>
    <w:rsid w:val="00D221DE"/>
    <w:rsid w:val="00D233F1"/>
    <w:rsid w:val="00D23421"/>
    <w:rsid w:val="00D23B2B"/>
    <w:rsid w:val="00D23C0C"/>
    <w:rsid w:val="00D24A82"/>
    <w:rsid w:val="00D26201"/>
    <w:rsid w:val="00D26800"/>
    <w:rsid w:val="00D26D9F"/>
    <w:rsid w:val="00D300D1"/>
    <w:rsid w:val="00D37CF1"/>
    <w:rsid w:val="00D37F32"/>
    <w:rsid w:val="00D400A4"/>
    <w:rsid w:val="00D51F3C"/>
    <w:rsid w:val="00D60FCB"/>
    <w:rsid w:val="00D65A38"/>
    <w:rsid w:val="00D70859"/>
    <w:rsid w:val="00D724A3"/>
    <w:rsid w:val="00D73ACA"/>
    <w:rsid w:val="00D743B5"/>
    <w:rsid w:val="00D7515C"/>
    <w:rsid w:val="00D81D11"/>
    <w:rsid w:val="00D81DD7"/>
    <w:rsid w:val="00D84754"/>
    <w:rsid w:val="00D851F5"/>
    <w:rsid w:val="00D9256C"/>
    <w:rsid w:val="00D9596B"/>
    <w:rsid w:val="00D9626A"/>
    <w:rsid w:val="00D968BE"/>
    <w:rsid w:val="00D96C46"/>
    <w:rsid w:val="00D979E1"/>
    <w:rsid w:val="00DA0BAD"/>
    <w:rsid w:val="00DB6CF6"/>
    <w:rsid w:val="00DB6E09"/>
    <w:rsid w:val="00DC19CB"/>
    <w:rsid w:val="00DC2804"/>
    <w:rsid w:val="00DC2AB3"/>
    <w:rsid w:val="00DD0312"/>
    <w:rsid w:val="00DD516D"/>
    <w:rsid w:val="00DD7B5B"/>
    <w:rsid w:val="00DE06DD"/>
    <w:rsid w:val="00DE0D63"/>
    <w:rsid w:val="00DE1268"/>
    <w:rsid w:val="00DE2F44"/>
    <w:rsid w:val="00DE3725"/>
    <w:rsid w:val="00DE3995"/>
    <w:rsid w:val="00DE3B5E"/>
    <w:rsid w:val="00DF0014"/>
    <w:rsid w:val="00DF2D2C"/>
    <w:rsid w:val="00DF6A8A"/>
    <w:rsid w:val="00DF74D3"/>
    <w:rsid w:val="00E00B92"/>
    <w:rsid w:val="00E00DD6"/>
    <w:rsid w:val="00E0100C"/>
    <w:rsid w:val="00E01895"/>
    <w:rsid w:val="00E022D0"/>
    <w:rsid w:val="00E03CAE"/>
    <w:rsid w:val="00E06654"/>
    <w:rsid w:val="00E068E3"/>
    <w:rsid w:val="00E07EDB"/>
    <w:rsid w:val="00E1024D"/>
    <w:rsid w:val="00E10C46"/>
    <w:rsid w:val="00E10EE4"/>
    <w:rsid w:val="00E13E30"/>
    <w:rsid w:val="00E140B4"/>
    <w:rsid w:val="00E146C6"/>
    <w:rsid w:val="00E15234"/>
    <w:rsid w:val="00E16E21"/>
    <w:rsid w:val="00E20C94"/>
    <w:rsid w:val="00E30BF6"/>
    <w:rsid w:val="00E31077"/>
    <w:rsid w:val="00E333D0"/>
    <w:rsid w:val="00E34283"/>
    <w:rsid w:val="00E342C3"/>
    <w:rsid w:val="00E3501C"/>
    <w:rsid w:val="00E4162E"/>
    <w:rsid w:val="00E43E56"/>
    <w:rsid w:val="00E446C5"/>
    <w:rsid w:val="00E47422"/>
    <w:rsid w:val="00E47FC3"/>
    <w:rsid w:val="00E50799"/>
    <w:rsid w:val="00E5206C"/>
    <w:rsid w:val="00E5302A"/>
    <w:rsid w:val="00E55EE0"/>
    <w:rsid w:val="00E60811"/>
    <w:rsid w:val="00E67069"/>
    <w:rsid w:val="00E67D33"/>
    <w:rsid w:val="00E72ADF"/>
    <w:rsid w:val="00E73330"/>
    <w:rsid w:val="00E7728B"/>
    <w:rsid w:val="00E773FA"/>
    <w:rsid w:val="00E80F06"/>
    <w:rsid w:val="00E810E0"/>
    <w:rsid w:val="00E82FBE"/>
    <w:rsid w:val="00E83615"/>
    <w:rsid w:val="00E84E17"/>
    <w:rsid w:val="00E91607"/>
    <w:rsid w:val="00E941C0"/>
    <w:rsid w:val="00E957EB"/>
    <w:rsid w:val="00E95EBA"/>
    <w:rsid w:val="00E963EB"/>
    <w:rsid w:val="00EA233A"/>
    <w:rsid w:val="00EA376A"/>
    <w:rsid w:val="00EA7512"/>
    <w:rsid w:val="00EB1C0E"/>
    <w:rsid w:val="00EB1C84"/>
    <w:rsid w:val="00EB1D11"/>
    <w:rsid w:val="00EB24A1"/>
    <w:rsid w:val="00EB743B"/>
    <w:rsid w:val="00EC1E3B"/>
    <w:rsid w:val="00ED15FF"/>
    <w:rsid w:val="00ED1AA7"/>
    <w:rsid w:val="00ED2A59"/>
    <w:rsid w:val="00ED3BD8"/>
    <w:rsid w:val="00ED7AB3"/>
    <w:rsid w:val="00EE07CC"/>
    <w:rsid w:val="00EE30F5"/>
    <w:rsid w:val="00EE3F44"/>
    <w:rsid w:val="00EE55B0"/>
    <w:rsid w:val="00EE7742"/>
    <w:rsid w:val="00EF48AF"/>
    <w:rsid w:val="00EF5203"/>
    <w:rsid w:val="00EF5D53"/>
    <w:rsid w:val="00EF7F58"/>
    <w:rsid w:val="00F01366"/>
    <w:rsid w:val="00F014B7"/>
    <w:rsid w:val="00F01711"/>
    <w:rsid w:val="00F02563"/>
    <w:rsid w:val="00F02697"/>
    <w:rsid w:val="00F038C7"/>
    <w:rsid w:val="00F06A7F"/>
    <w:rsid w:val="00F10062"/>
    <w:rsid w:val="00F10413"/>
    <w:rsid w:val="00F12EBB"/>
    <w:rsid w:val="00F1435C"/>
    <w:rsid w:val="00F14FBA"/>
    <w:rsid w:val="00F21BC3"/>
    <w:rsid w:val="00F22BC6"/>
    <w:rsid w:val="00F24549"/>
    <w:rsid w:val="00F2477F"/>
    <w:rsid w:val="00F26457"/>
    <w:rsid w:val="00F26AC1"/>
    <w:rsid w:val="00F27289"/>
    <w:rsid w:val="00F2735B"/>
    <w:rsid w:val="00F326D3"/>
    <w:rsid w:val="00F32851"/>
    <w:rsid w:val="00F335B9"/>
    <w:rsid w:val="00F3626E"/>
    <w:rsid w:val="00F3745B"/>
    <w:rsid w:val="00F37A02"/>
    <w:rsid w:val="00F43CEA"/>
    <w:rsid w:val="00F44D3A"/>
    <w:rsid w:val="00F4582A"/>
    <w:rsid w:val="00F47849"/>
    <w:rsid w:val="00F47F26"/>
    <w:rsid w:val="00F5119E"/>
    <w:rsid w:val="00F56BA7"/>
    <w:rsid w:val="00F60042"/>
    <w:rsid w:val="00F61D6C"/>
    <w:rsid w:val="00F646DF"/>
    <w:rsid w:val="00F65A3D"/>
    <w:rsid w:val="00F669B0"/>
    <w:rsid w:val="00F6710E"/>
    <w:rsid w:val="00F71203"/>
    <w:rsid w:val="00F730CA"/>
    <w:rsid w:val="00F8012D"/>
    <w:rsid w:val="00F826D7"/>
    <w:rsid w:val="00F84271"/>
    <w:rsid w:val="00F84E1E"/>
    <w:rsid w:val="00F84FDE"/>
    <w:rsid w:val="00F85A3D"/>
    <w:rsid w:val="00F87EB0"/>
    <w:rsid w:val="00F908D6"/>
    <w:rsid w:val="00F92440"/>
    <w:rsid w:val="00F93731"/>
    <w:rsid w:val="00F9410C"/>
    <w:rsid w:val="00F946C3"/>
    <w:rsid w:val="00F950A6"/>
    <w:rsid w:val="00F957AF"/>
    <w:rsid w:val="00F95A1E"/>
    <w:rsid w:val="00F96AA8"/>
    <w:rsid w:val="00FA00BB"/>
    <w:rsid w:val="00FA0CC3"/>
    <w:rsid w:val="00FA1AED"/>
    <w:rsid w:val="00FA22FA"/>
    <w:rsid w:val="00FA2949"/>
    <w:rsid w:val="00FA2CDB"/>
    <w:rsid w:val="00FA5EAB"/>
    <w:rsid w:val="00FB0117"/>
    <w:rsid w:val="00FB3C18"/>
    <w:rsid w:val="00FB62F5"/>
    <w:rsid w:val="00FB6437"/>
    <w:rsid w:val="00FB6A67"/>
    <w:rsid w:val="00FC3B6D"/>
    <w:rsid w:val="00FC6216"/>
    <w:rsid w:val="00FD11B7"/>
    <w:rsid w:val="00FD21F8"/>
    <w:rsid w:val="00FD2AB0"/>
    <w:rsid w:val="00FD460C"/>
    <w:rsid w:val="00FD5E31"/>
    <w:rsid w:val="00FD6573"/>
    <w:rsid w:val="00FD72D0"/>
    <w:rsid w:val="00FE19AC"/>
    <w:rsid w:val="00FE27FA"/>
    <w:rsid w:val="00FE4CA2"/>
    <w:rsid w:val="00FE562F"/>
    <w:rsid w:val="00FE5962"/>
    <w:rsid w:val="00FF0E4B"/>
    <w:rsid w:val="00FF1831"/>
    <w:rsid w:val="00FF3872"/>
    <w:rsid w:val="00FF4145"/>
    <w:rsid w:val="00FF5A39"/>
    <w:rsid w:val="00FF625C"/>
    <w:rsid w:val="0103164E"/>
    <w:rsid w:val="010F7FF3"/>
    <w:rsid w:val="011253ED"/>
    <w:rsid w:val="01172A03"/>
    <w:rsid w:val="01192C1F"/>
    <w:rsid w:val="011B6997"/>
    <w:rsid w:val="011C44BE"/>
    <w:rsid w:val="01246F77"/>
    <w:rsid w:val="01253372"/>
    <w:rsid w:val="012B4701"/>
    <w:rsid w:val="012D0479"/>
    <w:rsid w:val="01315C76"/>
    <w:rsid w:val="01334717"/>
    <w:rsid w:val="01347A59"/>
    <w:rsid w:val="013543A2"/>
    <w:rsid w:val="01396E1E"/>
    <w:rsid w:val="013B4944"/>
    <w:rsid w:val="014632E9"/>
    <w:rsid w:val="014F6641"/>
    <w:rsid w:val="015D0D5E"/>
    <w:rsid w:val="01626374"/>
    <w:rsid w:val="0176486C"/>
    <w:rsid w:val="017C22CA"/>
    <w:rsid w:val="018502B5"/>
    <w:rsid w:val="01891B53"/>
    <w:rsid w:val="018C1643"/>
    <w:rsid w:val="018F6A3E"/>
    <w:rsid w:val="0192652E"/>
    <w:rsid w:val="01992D53"/>
    <w:rsid w:val="019B1886"/>
    <w:rsid w:val="019B3634"/>
    <w:rsid w:val="019D55FE"/>
    <w:rsid w:val="01A00C4B"/>
    <w:rsid w:val="01A26771"/>
    <w:rsid w:val="01AA1AC9"/>
    <w:rsid w:val="01AA7D1B"/>
    <w:rsid w:val="01B20120"/>
    <w:rsid w:val="01B42948"/>
    <w:rsid w:val="01B84F51"/>
    <w:rsid w:val="01BB1D99"/>
    <w:rsid w:val="01BB7833"/>
    <w:rsid w:val="01BC2487"/>
    <w:rsid w:val="01BD13B9"/>
    <w:rsid w:val="01BD17FD"/>
    <w:rsid w:val="01C56903"/>
    <w:rsid w:val="01C963F3"/>
    <w:rsid w:val="01D34B7C"/>
    <w:rsid w:val="01D37272"/>
    <w:rsid w:val="01D408F4"/>
    <w:rsid w:val="01D628BE"/>
    <w:rsid w:val="01D95F0B"/>
    <w:rsid w:val="01E054EB"/>
    <w:rsid w:val="01E46D89"/>
    <w:rsid w:val="01EC5C3E"/>
    <w:rsid w:val="01F114A6"/>
    <w:rsid w:val="01F1594A"/>
    <w:rsid w:val="0200793B"/>
    <w:rsid w:val="02025461"/>
    <w:rsid w:val="02036538"/>
    <w:rsid w:val="0204567E"/>
    <w:rsid w:val="020531A4"/>
    <w:rsid w:val="020967F0"/>
    <w:rsid w:val="021533E7"/>
    <w:rsid w:val="02184C85"/>
    <w:rsid w:val="02186A33"/>
    <w:rsid w:val="021C122A"/>
    <w:rsid w:val="021F6013"/>
    <w:rsid w:val="021F7DC1"/>
    <w:rsid w:val="0224187C"/>
    <w:rsid w:val="0227311A"/>
    <w:rsid w:val="02274EC8"/>
    <w:rsid w:val="022E44A8"/>
    <w:rsid w:val="02380E83"/>
    <w:rsid w:val="023A2E4D"/>
    <w:rsid w:val="0247556A"/>
    <w:rsid w:val="024B505A"/>
    <w:rsid w:val="024B6E08"/>
    <w:rsid w:val="024C2B81"/>
    <w:rsid w:val="024C492F"/>
    <w:rsid w:val="024F4E87"/>
    <w:rsid w:val="025A34EF"/>
    <w:rsid w:val="025F28B4"/>
    <w:rsid w:val="0262365B"/>
    <w:rsid w:val="026305F6"/>
    <w:rsid w:val="026C6D7F"/>
    <w:rsid w:val="02704AC1"/>
    <w:rsid w:val="02717049"/>
    <w:rsid w:val="027345B1"/>
    <w:rsid w:val="027B11A7"/>
    <w:rsid w:val="02820350"/>
    <w:rsid w:val="029307AF"/>
    <w:rsid w:val="02987B74"/>
    <w:rsid w:val="02B7624C"/>
    <w:rsid w:val="02B93A83"/>
    <w:rsid w:val="02BA21E0"/>
    <w:rsid w:val="02C1356F"/>
    <w:rsid w:val="02C60B85"/>
    <w:rsid w:val="02D84414"/>
    <w:rsid w:val="02DF57A3"/>
    <w:rsid w:val="02E4100B"/>
    <w:rsid w:val="02E42DB9"/>
    <w:rsid w:val="02E5725D"/>
    <w:rsid w:val="02E80465"/>
    <w:rsid w:val="02E903CF"/>
    <w:rsid w:val="02EB05EB"/>
    <w:rsid w:val="02F23728"/>
    <w:rsid w:val="02F32FFC"/>
    <w:rsid w:val="02F56D74"/>
    <w:rsid w:val="02FF5E45"/>
    <w:rsid w:val="030516AD"/>
    <w:rsid w:val="030A6CC4"/>
    <w:rsid w:val="031E451D"/>
    <w:rsid w:val="03252ABC"/>
    <w:rsid w:val="032B09E8"/>
    <w:rsid w:val="032F3900"/>
    <w:rsid w:val="033B6E7D"/>
    <w:rsid w:val="033E696D"/>
    <w:rsid w:val="033F3444"/>
    <w:rsid w:val="034026E5"/>
    <w:rsid w:val="03457CFC"/>
    <w:rsid w:val="03546191"/>
    <w:rsid w:val="03563CB7"/>
    <w:rsid w:val="035717DD"/>
    <w:rsid w:val="035E2B6B"/>
    <w:rsid w:val="035E2C4D"/>
    <w:rsid w:val="0360659C"/>
    <w:rsid w:val="036068E4"/>
    <w:rsid w:val="03616052"/>
    <w:rsid w:val="03655CA8"/>
    <w:rsid w:val="037B371D"/>
    <w:rsid w:val="037E6D6A"/>
    <w:rsid w:val="03800D34"/>
    <w:rsid w:val="03806F86"/>
    <w:rsid w:val="038500F8"/>
    <w:rsid w:val="03863E70"/>
    <w:rsid w:val="038F541B"/>
    <w:rsid w:val="03991DF6"/>
    <w:rsid w:val="039C3694"/>
    <w:rsid w:val="039D18E6"/>
    <w:rsid w:val="03A04F32"/>
    <w:rsid w:val="03A569EC"/>
    <w:rsid w:val="03AE1751"/>
    <w:rsid w:val="03AE3AF3"/>
    <w:rsid w:val="03B44E81"/>
    <w:rsid w:val="03B60BF9"/>
    <w:rsid w:val="03B64756"/>
    <w:rsid w:val="03B92498"/>
    <w:rsid w:val="03BB6210"/>
    <w:rsid w:val="03C50E3C"/>
    <w:rsid w:val="03CA0201"/>
    <w:rsid w:val="03D2748F"/>
    <w:rsid w:val="03D41080"/>
    <w:rsid w:val="03D90444"/>
    <w:rsid w:val="03D96696"/>
    <w:rsid w:val="03E56DE9"/>
    <w:rsid w:val="03EA2651"/>
    <w:rsid w:val="03EC63C9"/>
    <w:rsid w:val="03F11C32"/>
    <w:rsid w:val="03FE4E54"/>
    <w:rsid w:val="03FF60FC"/>
    <w:rsid w:val="04021749"/>
    <w:rsid w:val="040C0819"/>
    <w:rsid w:val="040F3E66"/>
    <w:rsid w:val="041B280B"/>
    <w:rsid w:val="041E75AE"/>
    <w:rsid w:val="04207E21"/>
    <w:rsid w:val="04277401"/>
    <w:rsid w:val="042913CB"/>
    <w:rsid w:val="0430275A"/>
    <w:rsid w:val="04387860"/>
    <w:rsid w:val="043B4C5B"/>
    <w:rsid w:val="043F0BEF"/>
    <w:rsid w:val="04406715"/>
    <w:rsid w:val="04441D61"/>
    <w:rsid w:val="04446205"/>
    <w:rsid w:val="044E498E"/>
    <w:rsid w:val="044E7EFA"/>
    <w:rsid w:val="045301F6"/>
    <w:rsid w:val="04561A95"/>
    <w:rsid w:val="04575F38"/>
    <w:rsid w:val="045A3333"/>
    <w:rsid w:val="045D02EC"/>
    <w:rsid w:val="0465519A"/>
    <w:rsid w:val="04675A50"/>
    <w:rsid w:val="046B19E4"/>
    <w:rsid w:val="046C12B8"/>
    <w:rsid w:val="046E6DDE"/>
    <w:rsid w:val="0475016D"/>
    <w:rsid w:val="047A1C27"/>
    <w:rsid w:val="047D34C5"/>
    <w:rsid w:val="047D5273"/>
    <w:rsid w:val="0482288A"/>
    <w:rsid w:val="048E56D2"/>
    <w:rsid w:val="049031F8"/>
    <w:rsid w:val="04912ACD"/>
    <w:rsid w:val="049416A8"/>
    <w:rsid w:val="04956A61"/>
    <w:rsid w:val="049820AD"/>
    <w:rsid w:val="04AD3DAA"/>
    <w:rsid w:val="04B0389B"/>
    <w:rsid w:val="04BA64C7"/>
    <w:rsid w:val="04BC223F"/>
    <w:rsid w:val="04BD1B14"/>
    <w:rsid w:val="04C2712A"/>
    <w:rsid w:val="04C410F4"/>
    <w:rsid w:val="04C82992"/>
    <w:rsid w:val="04CE1F73"/>
    <w:rsid w:val="04D05CEB"/>
    <w:rsid w:val="04D70E27"/>
    <w:rsid w:val="04DA0918"/>
    <w:rsid w:val="04E35A1E"/>
    <w:rsid w:val="04E84DE3"/>
    <w:rsid w:val="04ED4B11"/>
    <w:rsid w:val="04FA4B16"/>
    <w:rsid w:val="04FF212C"/>
    <w:rsid w:val="05094D59"/>
    <w:rsid w:val="050B6D23"/>
    <w:rsid w:val="050F6813"/>
    <w:rsid w:val="05107E95"/>
    <w:rsid w:val="051200B1"/>
    <w:rsid w:val="05151950"/>
    <w:rsid w:val="051756C8"/>
    <w:rsid w:val="05193AE1"/>
    <w:rsid w:val="052102F4"/>
    <w:rsid w:val="05216546"/>
    <w:rsid w:val="05235E1B"/>
    <w:rsid w:val="052878D5"/>
    <w:rsid w:val="052971A9"/>
    <w:rsid w:val="052D6C99"/>
    <w:rsid w:val="052E47BF"/>
    <w:rsid w:val="05300538"/>
    <w:rsid w:val="053242B0"/>
    <w:rsid w:val="053A2BD6"/>
    <w:rsid w:val="053B7608"/>
    <w:rsid w:val="05545FD4"/>
    <w:rsid w:val="05656433"/>
    <w:rsid w:val="05687CD1"/>
    <w:rsid w:val="05776166"/>
    <w:rsid w:val="05792946"/>
    <w:rsid w:val="057C552B"/>
    <w:rsid w:val="05810D93"/>
    <w:rsid w:val="05845C52"/>
    <w:rsid w:val="05852631"/>
    <w:rsid w:val="05860158"/>
    <w:rsid w:val="05873034"/>
    <w:rsid w:val="05947F28"/>
    <w:rsid w:val="059C5085"/>
    <w:rsid w:val="059D3E1F"/>
    <w:rsid w:val="059D7E63"/>
    <w:rsid w:val="05A36F5B"/>
    <w:rsid w:val="05A54A82"/>
    <w:rsid w:val="05A66F69"/>
    <w:rsid w:val="05B146DA"/>
    <w:rsid w:val="05B9052D"/>
    <w:rsid w:val="05B922DB"/>
    <w:rsid w:val="05BD2794"/>
    <w:rsid w:val="05BD626F"/>
    <w:rsid w:val="05C1471D"/>
    <w:rsid w:val="05C17E99"/>
    <w:rsid w:val="05C30230"/>
    <w:rsid w:val="05C56ED2"/>
    <w:rsid w:val="05CA098C"/>
    <w:rsid w:val="05D215EF"/>
    <w:rsid w:val="05D47115"/>
    <w:rsid w:val="05D9297D"/>
    <w:rsid w:val="05DB66F5"/>
    <w:rsid w:val="05EC3946"/>
    <w:rsid w:val="05EF3F4F"/>
    <w:rsid w:val="05F477B7"/>
    <w:rsid w:val="05F504EE"/>
    <w:rsid w:val="05F94DCD"/>
    <w:rsid w:val="06043E9E"/>
    <w:rsid w:val="06062D49"/>
    <w:rsid w:val="0607573C"/>
    <w:rsid w:val="060774EA"/>
    <w:rsid w:val="060E6ACB"/>
    <w:rsid w:val="060F639F"/>
    <w:rsid w:val="061614DB"/>
    <w:rsid w:val="0616597F"/>
    <w:rsid w:val="061A5470"/>
    <w:rsid w:val="062067FE"/>
    <w:rsid w:val="06277B8D"/>
    <w:rsid w:val="062A31D9"/>
    <w:rsid w:val="062F6A41"/>
    <w:rsid w:val="063F6C84"/>
    <w:rsid w:val="06473D8B"/>
    <w:rsid w:val="064C314F"/>
    <w:rsid w:val="064C7F06"/>
    <w:rsid w:val="06540256"/>
    <w:rsid w:val="06587D46"/>
    <w:rsid w:val="0659586C"/>
    <w:rsid w:val="06624721"/>
    <w:rsid w:val="066C1A43"/>
    <w:rsid w:val="066E7569"/>
    <w:rsid w:val="067B1C86"/>
    <w:rsid w:val="068943A3"/>
    <w:rsid w:val="068B011B"/>
    <w:rsid w:val="068F2CAF"/>
    <w:rsid w:val="06935222"/>
    <w:rsid w:val="06954AF6"/>
    <w:rsid w:val="06A20FC1"/>
    <w:rsid w:val="06A905C3"/>
    <w:rsid w:val="06AE5BB8"/>
    <w:rsid w:val="06B07B82"/>
    <w:rsid w:val="06B75E22"/>
    <w:rsid w:val="06B807E5"/>
    <w:rsid w:val="06C13B3D"/>
    <w:rsid w:val="06C62F02"/>
    <w:rsid w:val="06C947A0"/>
    <w:rsid w:val="06CB73C4"/>
    <w:rsid w:val="06CE1DB6"/>
    <w:rsid w:val="06D0646C"/>
    <w:rsid w:val="06D373CC"/>
    <w:rsid w:val="06D575E9"/>
    <w:rsid w:val="06D66EBD"/>
    <w:rsid w:val="06DA4BFF"/>
    <w:rsid w:val="06E11AE9"/>
    <w:rsid w:val="06E23AB3"/>
    <w:rsid w:val="06E25862"/>
    <w:rsid w:val="06E415DA"/>
    <w:rsid w:val="06EB2968"/>
    <w:rsid w:val="06EC7377"/>
    <w:rsid w:val="06F061D0"/>
    <w:rsid w:val="06F55595"/>
    <w:rsid w:val="06F5773F"/>
    <w:rsid w:val="06F757B1"/>
    <w:rsid w:val="07013F3A"/>
    <w:rsid w:val="0702609F"/>
    <w:rsid w:val="070412B5"/>
    <w:rsid w:val="071D4AEC"/>
    <w:rsid w:val="0721638A"/>
    <w:rsid w:val="072365A6"/>
    <w:rsid w:val="07292EE8"/>
    <w:rsid w:val="07302A71"/>
    <w:rsid w:val="073267E9"/>
    <w:rsid w:val="07373DFF"/>
    <w:rsid w:val="073A55AE"/>
    <w:rsid w:val="073B6A3E"/>
    <w:rsid w:val="074327A4"/>
    <w:rsid w:val="0748600C"/>
    <w:rsid w:val="074A1D85"/>
    <w:rsid w:val="074F739B"/>
    <w:rsid w:val="075B5FCB"/>
    <w:rsid w:val="0775005F"/>
    <w:rsid w:val="077B1096"/>
    <w:rsid w:val="077E1A2E"/>
    <w:rsid w:val="07854B6B"/>
    <w:rsid w:val="078E1545"/>
    <w:rsid w:val="079052BE"/>
    <w:rsid w:val="079923C4"/>
    <w:rsid w:val="079C1EB4"/>
    <w:rsid w:val="07A11279"/>
    <w:rsid w:val="07A1396F"/>
    <w:rsid w:val="07A80859"/>
    <w:rsid w:val="07AA035F"/>
    <w:rsid w:val="07AA7883"/>
    <w:rsid w:val="07B0770E"/>
    <w:rsid w:val="07B75D8E"/>
    <w:rsid w:val="07BE007D"/>
    <w:rsid w:val="07C136C9"/>
    <w:rsid w:val="07C5140B"/>
    <w:rsid w:val="07C84A57"/>
    <w:rsid w:val="07CF4038"/>
    <w:rsid w:val="07D23B28"/>
    <w:rsid w:val="07D4164E"/>
    <w:rsid w:val="07D63618"/>
    <w:rsid w:val="07D7113E"/>
    <w:rsid w:val="07DB478B"/>
    <w:rsid w:val="07E06245"/>
    <w:rsid w:val="07E07FF3"/>
    <w:rsid w:val="07E775D3"/>
    <w:rsid w:val="07EF6488"/>
    <w:rsid w:val="07F41CF0"/>
    <w:rsid w:val="07F615C4"/>
    <w:rsid w:val="07F9282E"/>
    <w:rsid w:val="08002443"/>
    <w:rsid w:val="080041F1"/>
    <w:rsid w:val="08071A24"/>
    <w:rsid w:val="0808579C"/>
    <w:rsid w:val="08123F24"/>
    <w:rsid w:val="08167EB9"/>
    <w:rsid w:val="081F5E64"/>
    <w:rsid w:val="08260DE2"/>
    <w:rsid w:val="08297BEC"/>
    <w:rsid w:val="082E5728"/>
    <w:rsid w:val="082F2D28"/>
    <w:rsid w:val="08302865"/>
    <w:rsid w:val="0831084F"/>
    <w:rsid w:val="08320D8F"/>
    <w:rsid w:val="08321497"/>
    <w:rsid w:val="083B347B"/>
    <w:rsid w:val="083D260A"/>
    <w:rsid w:val="083D71F3"/>
    <w:rsid w:val="083E11BD"/>
    <w:rsid w:val="08411C9E"/>
    <w:rsid w:val="08420CAE"/>
    <w:rsid w:val="08430582"/>
    <w:rsid w:val="084A0BAD"/>
    <w:rsid w:val="0854278F"/>
    <w:rsid w:val="08607386"/>
    <w:rsid w:val="0865674A"/>
    <w:rsid w:val="08680944"/>
    <w:rsid w:val="0869448C"/>
    <w:rsid w:val="086A5B0F"/>
    <w:rsid w:val="08752E31"/>
    <w:rsid w:val="087D314B"/>
    <w:rsid w:val="087F5A5E"/>
    <w:rsid w:val="087F780C"/>
    <w:rsid w:val="08844E22"/>
    <w:rsid w:val="088766C0"/>
    <w:rsid w:val="088B74D0"/>
    <w:rsid w:val="088E3EF3"/>
    <w:rsid w:val="088E5982"/>
    <w:rsid w:val="089A2898"/>
    <w:rsid w:val="089D6EB4"/>
    <w:rsid w:val="08A07782"/>
    <w:rsid w:val="08A13C26"/>
    <w:rsid w:val="08A46BE7"/>
    <w:rsid w:val="08A47272"/>
    <w:rsid w:val="08AF79C5"/>
    <w:rsid w:val="08B03E69"/>
    <w:rsid w:val="08B374B6"/>
    <w:rsid w:val="08B80F70"/>
    <w:rsid w:val="08C711B3"/>
    <w:rsid w:val="08C94F2B"/>
    <w:rsid w:val="08CA47FF"/>
    <w:rsid w:val="08DA0EE6"/>
    <w:rsid w:val="08E6788B"/>
    <w:rsid w:val="08E729FB"/>
    <w:rsid w:val="08ED6E6B"/>
    <w:rsid w:val="08F04266"/>
    <w:rsid w:val="08F24482"/>
    <w:rsid w:val="08F74913"/>
    <w:rsid w:val="09012917"/>
    <w:rsid w:val="09056D1B"/>
    <w:rsid w:val="09084CCE"/>
    <w:rsid w:val="090D1B45"/>
    <w:rsid w:val="090E293E"/>
    <w:rsid w:val="091423EF"/>
    <w:rsid w:val="091C3CF3"/>
    <w:rsid w:val="091F4B4B"/>
    <w:rsid w:val="09246605"/>
    <w:rsid w:val="0928131E"/>
    <w:rsid w:val="092B1742"/>
    <w:rsid w:val="092D54BA"/>
    <w:rsid w:val="09301A6E"/>
    <w:rsid w:val="09322AD0"/>
    <w:rsid w:val="093C394F"/>
    <w:rsid w:val="094473B6"/>
    <w:rsid w:val="0946032A"/>
    <w:rsid w:val="094A08AD"/>
    <w:rsid w:val="094B1DE4"/>
    <w:rsid w:val="094E71DE"/>
    <w:rsid w:val="095803FE"/>
    <w:rsid w:val="09615163"/>
    <w:rsid w:val="09622C8A"/>
    <w:rsid w:val="096333E2"/>
    <w:rsid w:val="09644C54"/>
    <w:rsid w:val="09652EA6"/>
    <w:rsid w:val="096A04BC"/>
    <w:rsid w:val="096D3B08"/>
    <w:rsid w:val="097C3D4B"/>
    <w:rsid w:val="097E7AC3"/>
    <w:rsid w:val="09886B94"/>
    <w:rsid w:val="098B0432"/>
    <w:rsid w:val="099948FD"/>
    <w:rsid w:val="099C43EE"/>
    <w:rsid w:val="099E0166"/>
    <w:rsid w:val="09A03EDE"/>
    <w:rsid w:val="09A137B2"/>
    <w:rsid w:val="09A17C56"/>
    <w:rsid w:val="09A339CE"/>
    <w:rsid w:val="09A6526C"/>
    <w:rsid w:val="09AA4D5C"/>
    <w:rsid w:val="09AB63DF"/>
    <w:rsid w:val="09AF5EA1"/>
    <w:rsid w:val="09B72FD5"/>
    <w:rsid w:val="09BC683E"/>
    <w:rsid w:val="09C02475"/>
    <w:rsid w:val="09C120A6"/>
    <w:rsid w:val="09C37BCC"/>
    <w:rsid w:val="09CF1D4B"/>
    <w:rsid w:val="09D36016"/>
    <w:rsid w:val="09DC47EA"/>
    <w:rsid w:val="09F02440"/>
    <w:rsid w:val="09F33CEE"/>
    <w:rsid w:val="09F935EE"/>
    <w:rsid w:val="0A014251"/>
    <w:rsid w:val="0A053D41"/>
    <w:rsid w:val="0A0B50CF"/>
    <w:rsid w:val="0A0C48C4"/>
    <w:rsid w:val="0A140428"/>
    <w:rsid w:val="0A162780"/>
    <w:rsid w:val="0A1633AC"/>
    <w:rsid w:val="0A173A74"/>
    <w:rsid w:val="0A1851B2"/>
    <w:rsid w:val="0A1977EC"/>
    <w:rsid w:val="0A1E4E03"/>
    <w:rsid w:val="0A2148F3"/>
    <w:rsid w:val="0A2D5046"/>
    <w:rsid w:val="0A314B36"/>
    <w:rsid w:val="0A332AB4"/>
    <w:rsid w:val="0A391C3C"/>
    <w:rsid w:val="0A3E7253"/>
    <w:rsid w:val="0A4A3E4A"/>
    <w:rsid w:val="0A4F320E"/>
    <w:rsid w:val="0A56459C"/>
    <w:rsid w:val="0A59408D"/>
    <w:rsid w:val="0A5B6057"/>
    <w:rsid w:val="0A622F41"/>
    <w:rsid w:val="0A652A31"/>
    <w:rsid w:val="0A7315F2"/>
    <w:rsid w:val="0A7333A0"/>
    <w:rsid w:val="0A79613E"/>
    <w:rsid w:val="0A84735B"/>
    <w:rsid w:val="0A854E82"/>
    <w:rsid w:val="0A886720"/>
    <w:rsid w:val="0A8A06EA"/>
    <w:rsid w:val="0A8A61FF"/>
    <w:rsid w:val="0A8C4462"/>
    <w:rsid w:val="0A9B46A5"/>
    <w:rsid w:val="0AB514A7"/>
    <w:rsid w:val="0AB67731"/>
    <w:rsid w:val="0AB85257"/>
    <w:rsid w:val="0AB93D4D"/>
    <w:rsid w:val="0ABD461B"/>
    <w:rsid w:val="0AC0235E"/>
    <w:rsid w:val="0AC260D6"/>
    <w:rsid w:val="0AC37758"/>
    <w:rsid w:val="0AC557E6"/>
    <w:rsid w:val="0AC77248"/>
    <w:rsid w:val="0ACB31DC"/>
    <w:rsid w:val="0AD017FF"/>
    <w:rsid w:val="0AD100C7"/>
    <w:rsid w:val="0AD656DD"/>
    <w:rsid w:val="0AE32AB7"/>
    <w:rsid w:val="0AE47DFA"/>
    <w:rsid w:val="0AE72A95"/>
    <w:rsid w:val="0AEE2A27"/>
    <w:rsid w:val="0AF049F1"/>
    <w:rsid w:val="0AF12517"/>
    <w:rsid w:val="0AF53DB5"/>
    <w:rsid w:val="0AF618DB"/>
    <w:rsid w:val="0AF72F43"/>
    <w:rsid w:val="0AFA5870"/>
    <w:rsid w:val="0AFD0EBC"/>
    <w:rsid w:val="0B064214"/>
    <w:rsid w:val="0B09160F"/>
    <w:rsid w:val="0B0C55A3"/>
    <w:rsid w:val="0B0C7351"/>
    <w:rsid w:val="0B112BB9"/>
    <w:rsid w:val="0B156206"/>
    <w:rsid w:val="0B1F0E32"/>
    <w:rsid w:val="0B224DC6"/>
    <w:rsid w:val="0B264B83"/>
    <w:rsid w:val="0B297F03"/>
    <w:rsid w:val="0B2E72C7"/>
    <w:rsid w:val="0B354AFA"/>
    <w:rsid w:val="0B3669FA"/>
    <w:rsid w:val="0B4755FC"/>
    <w:rsid w:val="0B5014AF"/>
    <w:rsid w:val="0B5331D2"/>
    <w:rsid w:val="0B536D2E"/>
    <w:rsid w:val="0B554854"/>
    <w:rsid w:val="0B574A70"/>
    <w:rsid w:val="0B5B2331"/>
    <w:rsid w:val="0B5C1166"/>
    <w:rsid w:val="0B5D195B"/>
    <w:rsid w:val="0B605AE8"/>
    <w:rsid w:val="0B7003AA"/>
    <w:rsid w:val="0B7C44D7"/>
    <w:rsid w:val="0B815649"/>
    <w:rsid w:val="0B84338B"/>
    <w:rsid w:val="0B8D0492"/>
    <w:rsid w:val="0B9F1F73"/>
    <w:rsid w:val="0B9F6417"/>
    <w:rsid w:val="0BA47589"/>
    <w:rsid w:val="0BAA1044"/>
    <w:rsid w:val="0BAB4DBC"/>
    <w:rsid w:val="0BBA6DAD"/>
    <w:rsid w:val="0BBC4048"/>
    <w:rsid w:val="0BBC48D3"/>
    <w:rsid w:val="0BBE689D"/>
    <w:rsid w:val="0BC67500"/>
    <w:rsid w:val="0BCB56F0"/>
    <w:rsid w:val="0BDC6D23"/>
    <w:rsid w:val="0BE24B2A"/>
    <w:rsid w:val="0BE502CE"/>
    <w:rsid w:val="0BEC3D65"/>
    <w:rsid w:val="0BF56037"/>
    <w:rsid w:val="0BFC5617"/>
    <w:rsid w:val="0C0149DC"/>
    <w:rsid w:val="0C063DA0"/>
    <w:rsid w:val="0C0B13B7"/>
    <w:rsid w:val="0C1429D4"/>
    <w:rsid w:val="0C197F77"/>
    <w:rsid w:val="0C201306"/>
    <w:rsid w:val="0C2A2BBA"/>
    <w:rsid w:val="0C2A5CE1"/>
    <w:rsid w:val="0C2C306F"/>
    <w:rsid w:val="0C2D3A23"/>
    <w:rsid w:val="0C2D57D1"/>
    <w:rsid w:val="0C300E1D"/>
    <w:rsid w:val="0C3152C1"/>
    <w:rsid w:val="0C37664F"/>
    <w:rsid w:val="0C3B7EEE"/>
    <w:rsid w:val="0C3C58D6"/>
    <w:rsid w:val="0C441A2C"/>
    <w:rsid w:val="0C4D7C21"/>
    <w:rsid w:val="0C4F3999"/>
    <w:rsid w:val="0C540FAF"/>
    <w:rsid w:val="0C566AD6"/>
    <w:rsid w:val="0C5965C6"/>
    <w:rsid w:val="0C5E1E2E"/>
    <w:rsid w:val="0C6805B7"/>
    <w:rsid w:val="0C6C00A7"/>
    <w:rsid w:val="0C7033F0"/>
    <w:rsid w:val="0C7550B6"/>
    <w:rsid w:val="0C760F26"/>
    <w:rsid w:val="0C774C9E"/>
    <w:rsid w:val="0C79066D"/>
    <w:rsid w:val="0C7D0506"/>
    <w:rsid w:val="0C840196"/>
    <w:rsid w:val="0C8573BB"/>
    <w:rsid w:val="0C873133"/>
    <w:rsid w:val="0C880C59"/>
    <w:rsid w:val="0C882A07"/>
    <w:rsid w:val="0C8A49D1"/>
    <w:rsid w:val="0C8D626F"/>
    <w:rsid w:val="0C9C64B3"/>
    <w:rsid w:val="0CA5180B"/>
    <w:rsid w:val="0CA535B9"/>
    <w:rsid w:val="0CA75583"/>
    <w:rsid w:val="0CA77331"/>
    <w:rsid w:val="0CA830A9"/>
    <w:rsid w:val="0CAC4948"/>
    <w:rsid w:val="0CAD06C0"/>
    <w:rsid w:val="0CB34126"/>
    <w:rsid w:val="0CBF0B1F"/>
    <w:rsid w:val="0CC3626B"/>
    <w:rsid w:val="0CC47EE3"/>
    <w:rsid w:val="0CC53C5B"/>
    <w:rsid w:val="0CD8398F"/>
    <w:rsid w:val="0CDF2F6F"/>
    <w:rsid w:val="0CE265BB"/>
    <w:rsid w:val="0CEA36C2"/>
    <w:rsid w:val="0CF30129"/>
    <w:rsid w:val="0CF956B3"/>
    <w:rsid w:val="0CFB142B"/>
    <w:rsid w:val="0CFC11DB"/>
    <w:rsid w:val="0D006A41"/>
    <w:rsid w:val="0D1D02A3"/>
    <w:rsid w:val="0D1D3A97"/>
    <w:rsid w:val="0D2B61B4"/>
    <w:rsid w:val="0D31309F"/>
    <w:rsid w:val="0D374B59"/>
    <w:rsid w:val="0D3D37F2"/>
    <w:rsid w:val="0D3D7AFE"/>
    <w:rsid w:val="0D411534"/>
    <w:rsid w:val="0D4234FE"/>
    <w:rsid w:val="0D441024"/>
    <w:rsid w:val="0D464D9C"/>
    <w:rsid w:val="0D49663A"/>
    <w:rsid w:val="0D5648B3"/>
    <w:rsid w:val="0D584ACF"/>
    <w:rsid w:val="0D5F30D5"/>
    <w:rsid w:val="0D5F7C0C"/>
    <w:rsid w:val="0D643474"/>
    <w:rsid w:val="0D696CDD"/>
    <w:rsid w:val="0D701E19"/>
    <w:rsid w:val="0D703BC7"/>
    <w:rsid w:val="0D721104"/>
    <w:rsid w:val="0D7724BF"/>
    <w:rsid w:val="0D7731A8"/>
    <w:rsid w:val="0D786F20"/>
    <w:rsid w:val="0D8B0A01"/>
    <w:rsid w:val="0D913B3D"/>
    <w:rsid w:val="0D975C20"/>
    <w:rsid w:val="0D9A50E8"/>
    <w:rsid w:val="0D9C2C0E"/>
    <w:rsid w:val="0D9C49BC"/>
    <w:rsid w:val="0DAD0977"/>
    <w:rsid w:val="0DB77A48"/>
    <w:rsid w:val="0DBC6E0C"/>
    <w:rsid w:val="0DBE0DD6"/>
    <w:rsid w:val="0DBF06AB"/>
    <w:rsid w:val="0DC12675"/>
    <w:rsid w:val="0DCB34F3"/>
    <w:rsid w:val="0DCD726B"/>
    <w:rsid w:val="0DCF276A"/>
    <w:rsid w:val="0DD51C7C"/>
    <w:rsid w:val="0DDA53A8"/>
    <w:rsid w:val="0DE27E5D"/>
    <w:rsid w:val="0DE3083D"/>
    <w:rsid w:val="0DED6FC6"/>
    <w:rsid w:val="0DEE0F90"/>
    <w:rsid w:val="0DF009AC"/>
    <w:rsid w:val="0DF91E0E"/>
    <w:rsid w:val="0DFB4F97"/>
    <w:rsid w:val="0DFC36AD"/>
    <w:rsid w:val="0E0407B3"/>
    <w:rsid w:val="0E097B78"/>
    <w:rsid w:val="0E0B38F0"/>
    <w:rsid w:val="0E0D58BA"/>
    <w:rsid w:val="0E1409F6"/>
    <w:rsid w:val="0E1E7AC7"/>
    <w:rsid w:val="0E213113"/>
    <w:rsid w:val="0E2A413A"/>
    <w:rsid w:val="0E364E11"/>
    <w:rsid w:val="0E3C1CFB"/>
    <w:rsid w:val="0E407A3D"/>
    <w:rsid w:val="0E4F1A2E"/>
    <w:rsid w:val="0E4F640D"/>
    <w:rsid w:val="0E625C06"/>
    <w:rsid w:val="0E6B438E"/>
    <w:rsid w:val="0E6F3E7F"/>
    <w:rsid w:val="0E8F62CF"/>
    <w:rsid w:val="0E924011"/>
    <w:rsid w:val="0E9A3ABC"/>
    <w:rsid w:val="0E9B1118"/>
    <w:rsid w:val="0EA50027"/>
    <w:rsid w:val="0EAC0C2F"/>
    <w:rsid w:val="0EAD2BF9"/>
    <w:rsid w:val="0EAF071F"/>
    <w:rsid w:val="0EB2020F"/>
    <w:rsid w:val="0EBB4554"/>
    <w:rsid w:val="0EBD108E"/>
    <w:rsid w:val="0EBD2E3C"/>
    <w:rsid w:val="0EBE0962"/>
    <w:rsid w:val="0EBE4E06"/>
    <w:rsid w:val="0EC046DA"/>
    <w:rsid w:val="0ECD4593"/>
    <w:rsid w:val="0ECE329B"/>
    <w:rsid w:val="0ECF2B6F"/>
    <w:rsid w:val="0ED22A24"/>
    <w:rsid w:val="0ED32660"/>
    <w:rsid w:val="0ED4462A"/>
    <w:rsid w:val="0EDB32C2"/>
    <w:rsid w:val="0EE228A3"/>
    <w:rsid w:val="0EEA5BFB"/>
    <w:rsid w:val="0EEC3721"/>
    <w:rsid w:val="0EF645A0"/>
    <w:rsid w:val="0EFE5203"/>
    <w:rsid w:val="0EFF16A6"/>
    <w:rsid w:val="0F026AA1"/>
    <w:rsid w:val="0F032819"/>
    <w:rsid w:val="0F0740B7"/>
    <w:rsid w:val="0F0F7410"/>
    <w:rsid w:val="0F130CAE"/>
    <w:rsid w:val="0F1F58A5"/>
    <w:rsid w:val="0F20161D"/>
    <w:rsid w:val="0F274759"/>
    <w:rsid w:val="0F2C6214"/>
    <w:rsid w:val="0F2C7FC2"/>
    <w:rsid w:val="0F3155D8"/>
    <w:rsid w:val="0F33338E"/>
    <w:rsid w:val="0F360E40"/>
    <w:rsid w:val="0F3B0205"/>
    <w:rsid w:val="0F3B1FB3"/>
    <w:rsid w:val="0F5B4403"/>
    <w:rsid w:val="0F5D461F"/>
    <w:rsid w:val="0F62655D"/>
    <w:rsid w:val="0F6350F0"/>
    <w:rsid w:val="0F6459AD"/>
    <w:rsid w:val="0F661726"/>
    <w:rsid w:val="0F6634D4"/>
    <w:rsid w:val="0F69741B"/>
    <w:rsid w:val="0F6A63E1"/>
    <w:rsid w:val="0F711E78"/>
    <w:rsid w:val="0F744163"/>
    <w:rsid w:val="0F7D6A6F"/>
    <w:rsid w:val="0F7F6343"/>
    <w:rsid w:val="0F841BAC"/>
    <w:rsid w:val="0F895414"/>
    <w:rsid w:val="0F8E6586"/>
    <w:rsid w:val="0F9A13CF"/>
    <w:rsid w:val="0F9C5147"/>
    <w:rsid w:val="0FA77648"/>
    <w:rsid w:val="0FB104C7"/>
    <w:rsid w:val="0FB81855"/>
    <w:rsid w:val="0FC1695C"/>
    <w:rsid w:val="0FC401FA"/>
    <w:rsid w:val="0FC71A98"/>
    <w:rsid w:val="0FCB1589"/>
    <w:rsid w:val="0FCD3553"/>
    <w:rsid w:val="0FCE72CB"/>
    <w:rsid w:val="0FD0094D"/>
    <w:rsid w:val="0FD03043"/>
    <w:rsid w:val="0FD146C5"/>
    <w:rsid w:val="0FD54E69"/>
    <w:rsid w:val="0FD701FD"/>
    <w:rsid w:val="0FD85A54"/>
    <w:rsid w:val="0FDA5C70"/>
    <w:rsid w:val="0FE16FFE"/>
    <w:rsid w:val="0FE35A61"/>
    <w:rsid w:val="0FE8038D"/>
    <w:rsid w:val="0FEE34C9"/>
    <w:rsid w:val="0FFA3C1C"/>
    <w:rsid w:val="0FFD54BA"/>
    <w:rsid w:val="10060813"/>
    <w:rsid w:val="100625C1"/>
    <w:rsid w:val="101271B8"/>
    <w:rsid w:val="10141182"/>
    <w:rsid w:val="101702C8"/>
    <w:rsid w:val="10227A07"/>
    <w:rsid w:val="10282537"/>
    <w:rsid w:val="102852E9"/>
    <w:rsid w:val="102962AF"/>
    <w:rsid w:val="1032785A"/>
    <w:rsid w:val="10330CA8"/>
    <w:rsid w:val="103532AC"/>
    <w:rsid w:val="10354C54"/>
    <w:rsid w:val="1036730D"/>
    <w:rsid w:val="103A04BC"/>
    <w:rsid w:val="10433815"/>
    <w:rsid w:val="1045133B"/>
    <w:rsid w:val="104F3F68"/>
    <w:rsid w:val="10502A85"/>
    <w:rsid w:val="1053332C"/>
    <w:rsid w:val="10547B9E"/>
    <w:rsid w:val="105570A4"/>
    <w:rsid w:val="105A46BB"/>
    <w:rsid w:val="1060257A"/>
    <w:rsid w:val="10613C9B"/>
    <w:rsid w:val="10615A49"/>
    <w:rsid w:val="106612B1"/>
    <w:rsid w:val="1068327B"/>
    <w:rsid w:val="107B4D5D"/>
    <w:rsid w:val="1097590F"/>
    <w:rsid w:val="109C2F25"/>
    <w:rsid w:val="10A122E9"/>
    <w:rsid w:val="10A6021F"/>
    <w:rsid w:val="10A818CA"/>
    <w:rsid w:val="10AB3168"/>
    <w:rsid w:val="10AD6EE0"/>
    <w:rsid w:val="10AF4A06"/>
    <w:rsid w:val="10B262A5"/>
    <w:rsid w:val="10B95885"/>
    <w:rsid w:val="10C36704"/>
    <w:rsid w:val="10CD30DE"/>
    <w:rsid w:val="10CD7582"/>
    <w:rsid w:val="10DD77C5"/>
    <w:rsid w:val="10DE709A"/>
    <w:rsid w:val="10E40F69"/>
    <w:rsid w:val="10E70644"/>
    <w:rsid w:val="10F7015B"/>
    <w:rsid w:val="10F90377"/>
    <w:rsid w:val="1102722C"/>
    <w:rsid w:val="111D4066"/>
    <w:rsid w:val="1122167C"/>
    <w:rsid w:val="11252F1A"/>
    <w:rsid w:val="11290C5D"/>
    <w:rsid w:val="11300774"/>
    <w:rsid w:val="113B273E"/>
    <w:rsid w:val="113D2012"/>
    <w:rsid w:val="11421D1E"/>
    <w:rsid w:val="1145536B"/>
    <w:rsid w:val="114A472F"/>
    <w:rsid w:val="11586E4C"/>
    <w:rsid w:val="115A0E16"/>
    <w:rsid w:val="115B4B8E"/>
    <w:rsid w:val="116A6B7F"/>
    <w:rsid w:val="116B3023"/>
    <w:rsid w:val="116C28F7"/>
    <w:rsid w:val="117417AC"/>
    <w:rsid w:val="1182036D"/>
    <w:rsid w:val="1182211B"/>
    <w:rsid w:val="118C2781"/>
    <w:rsid w:val="1193257A"/>
    <w:rsid w:val="11934328"/>
    <w:rsid w:val="119500A0"/>
    <w:rsid w:val="1198193E"/>
    <w:rsid w:val="11AC53EA"/>
    <w:rsid w:val="11B47626"/>
    <w:rsid w:val="11C10E95"/>
    <w:rsid w:val="11C52008"/>
    <w:rsid w:val="11C6025A"/>
    <w:rsid w:val="11C72224"/>
    <w:rsid w:val="11C97D4A"/>
    <w:rsid w:val="11CB1D14"/>
    <w:rsid w:val="11D24E50"/>
    <w:rsid w:val="11ED1F1C"/>
    <w:rsid w:val="11F254F3"/>
    <w:rsid w:val="11FC1ECD"/>
    <w:rsid w:val="12045226"/>
    <w:rsid w:val="120700B9"/>
    <w:rsid w:val="12154D3D"/>
    <w:rsid w:val="1215529F"/>
    <w:rsid w:val="12170AB5"/>
    <w:rsid w:val="121A2353"/>
    <w:rsid w:val="121E0096"/>
    <w:rsid w:val="12274A70"/>
    <w:rsid w:val="122A4C8C"/>
    <w:rsid w:val="122C24A9"/>
    <w:rsid w:val="122E4051"/>
    <w:rsid w:val="122E5DFF"/>
    <w:rsid w:val="1235718D"/>
    <w:rsid w:val="123635A8"/>
    <w:rsid w:val="123C676E"/>
    <w:rsid w:val="123E4294"/>
    <w:rsid w:val="1243425C"/>
    <w:rsid w:val="12483364"/>
    <w:rsid w:val="12485112"/>
    <w:rsid w:val="124E024F"/>
    <w:rsid w:val="124E44C4"/>
    <w:rsid w:val="125515DD"/>
    <w:rsid w:val="1255782F"/>
    <w:rsid w:val="125B6EFF"/>
    <w:rsid w:val="12641821"/>
    <w:rsid w:val="12685BA3"/>
    <w:rsid w:val="126D4B79"/>
    <w:rsid w:val="12744159"/>
    <w:rsid w:val="12767ED2"/>
    <w:rsid w:val="127A7296"/>
    <w:rsid w:val="127C6B6A"/>
    <w:rsid w:val="12810624"/>
    <w:rsid w:val="128123D2"/>
    <w:rsid w:val="12863E8D"/>
    <w:rsid w:val="12891287"/>
    <w:rsid w:val="129245E0"/>
    <w:rsid w:val="12942106"/>
    <w:rsid w:val="12955E7E"/>
    <w:rsid w:val="12971BF6"/>
    <w:rsid w:val="129C720C"/>
    <w:rsid w:val="12A12A75"/>
    <w:rsid w:val="12A367ED"/>
    <w:rsid w:val="12AD0156"/>
    <w:rsid w:val="12B502CE"/>
    <w:rsid w:val="12BE53D5"/>
    <w:rsid w:val="12C55349"/>
    <w:rsid w:val="12C5713F"/>
    <w:rsid w:val="12CA1FCB"/>
    <w:rsid w:val="12CC5D44"/>
    <w:rsid w:val="12CD5618"/>
    <w:rsid w:val="12D320C6"/>
    <w:rsid w:val="12D469A6"/>
    <w:rsid w:val="12D93FBD"/>
    <w:rsid w:val="12E070F9"/>
    <w:rsid w:val="12E27315"/>
    <w:rsid w:val="12EF558E"/>
    <w:rsid w:val="12F2507E"/>
    <w:rsid w:val="12F31522"/>
    <w:rsid w:val="12F6691D"/>
    <w:rsid w:val="12F928B1"/>
    <w:rsid w:val="13001549"/>
    <w:rsid w:val="13031039"/>
    <w:rsid w:val="130628D8"/>
    <w:rsid w:val="130C25E4"/>
    <w:rsid w:val="13196AAF"/>
    <w:rsid w:val="131D034D"/>
    <w:rsid w:val="13294F44"/>
    <w:rsid w:val="132A0CBC"/>
    <w:rsid w:val="13313DF9"/>
    <w:rsid w:val="13370CE3"/>
    <w:rsid w:val="133D09EF"/>
    <w:rsid w:val="134578A4"/>
    <w:rsid w:val="1347361C"/>
    <w:rsid w:val="13497394"/>
    <w:rsid w:val="134F24D1"/>
    <w:rsid w:val="1355107F"/>
    <w:rsid w:val="13566C69"/>
    <w:rsid w:val="135D4BEE"/>
    <w:rsid w:val="13631AD8"/>
    <w:rsid w:val="1367781A"/>
    <w:rsid w:val="136A730B"/>
    <w:rsid w:val="13743CE5"/>
    <w:rsid w:val="137B32C6"/>
    <w:rsid w:val="137D5290"/>
    <w:rsid w:val="13806B2E"/>
    <w:rsid w:val="13842174"/>
    <w:rsid w:val="1386575E"/>
    <w:rsid w:val="138F28CD"/>
    <w:rsid w:val="13946135"/>
    <w:rsid w:val="13983E78"/>
    <w:rsid w:val="13985C26"/>
    <w:rsid w:val="13A206DE"/>
    <w:rsid w:val="13AC16D1"/>
    <w:rsid w:val="13BA6376"/>
    <w:rsid w:val="13BB7B66"/>
    <w:rsid w:val="13BD743A"/>
    <w:rsid w:val="13CC3B21"/>
    <w:rsid w:val="13D12EE6"/>
    <w:rsid w:val="13DD5D2E"/>
    <w:rsid w:val="13E42C19"/>
    <w:rsid w:val="13E56991"/>
    <w:rsid w:val="13EB21F9"/>
    <w:rsid w:val="13EE1CEA"/>
    <w:rsid w:val="13EF3233"/>
    <w:rsid w:val="13EF7C2B"/>
    <w:rsid w:val="13F217DA"/>
    <w:rsid w:val="13FF7A53"/>
    <w:rsid w:val="140137CB"/>
    <w:rsid w:val="14072DAB"/>
    <w:rsid w:val="14117786"/>
    <w:rsid w:val="14131750"/>
    <w:rsid w:val="142B4CEC"/>
    <w:rsid w:val="14333421"/>
    <w:rsid w:val="14356820"/>
    <w:rsid w:val="143843EE"/>
    <w:rsid w:val="14396917"/>
    <w:rsid w:val="14397409"/>
    <w:rsid w:val="143C0CA7"/>
    <w:rsid w:val="14465682"/>
    <w:rsid w:val="145119BB"/>
    <w:rsid w:val="145F4995"/>
    <w:rsid w:val="1461070D"/>
    <w:rsid w:val="14636234"/>
    <w:rsid w:val="146D0E60"/>
    <w:rsid w:val="14741FA9"/>
    <w:rsid w:val="147848D7"/>
    <w:rsid w:val="147C72F5"/>
    <w:rsid w:val="147E306D"/>
    <w:rsid w:val="14847F58"/>
    <w:rsid w:val="14885C9A"/>
    <w:rsid w:val="148A7C64"/>
    <w:rsid w:val="14902DA1"/>
    <w:rsid w:val="14A405FA"/>
    <w:rsid w:val="14AF76CB"/>
    <w:rsid w:val="14BC5944"/>
    <w:rsid w:val="14BE16BC"/>
    <w:rsid w:val="14BE346A"/>
    <w:rsid w:val="14C64A14"/>
    <w:rsid w:val="14C91E0F"/>
    <w:rsid w:val="14D233B9"/>
    <w:rsid w:val="14D40EDF"/>
    <w:rsid w:val="14E54E9B"/>
    <w:rsid w:val="14E9250C"/>
    <w:rsid w:val="14EA425F"/>
    <w:rsid w:val="14F52C04"/>
    <w:rsid w:val="150317C5"/>
    <w:rsid w:val="150519FB"/>
    <w:rsid w:val="15115C90"/>
    <w:rsid w:val="15155054"/>
    <w:rsid w:val="151A266A"/>
    <w:rsid w:val="151B4D60"/>
    <w:rsid w:val="15211C4B"/>
    <w:rsid w:val="1525173B"/>
    <w:rsid w:val="15274F8D"/>
    <w:rsid w:val="15284D87"/>
    <w:rsid w:val="15285825"/>
    <w:rsid w:val="152B4878"/>
    <w:rsid w:val="152B6BBF"/>
    <w:rsid w:val="15393438"/>
    <w:rsid w:val="153951E6"/>
    <w:rsid w:val="153F4796"/>
    <w:rsid w:val="1542409B"/>
    <w:rsid w:val="15451DDD"/>
    <w:rsid w:val="15477903"/>
    <w:rsid w:val="154A11A2"/>
    <w:rsid w:val="154C6CC8"/>
    <w:rsid w:val="154F67B8"/>
    <w:rsid w:val="155344FA"/>
    <w:rsid w:val="155B6F0B"/>
    <w:rsid w:val="15657D89"/>
    <w:rsid w:val="1568787A"/>
    <w:rsid w:val="156C55BC"/>
    <w:rsid w:val="15744470"/>
    <w:rsid w:val="15791A87"/>
    <w:rsid w:val="157B135B"/>
    <w:rsid w:val="157B75AD"/>
    <w:rsid w:val="15866F2A"/>
    <w:rsid w:val="158F3058"/>
    <w:rsid w:val="15977EAF"/>
    <w:rsid w:val="159B7C4F"/>
    <w:rsid w:val="159D39C7"/>
    <w:rsid w:val="159D5775"/>
    <w:rsid w:val="15A07014"/>
    <w:rsid w:val="15A07AD1"/>
    <w:rsid w:val="15A5287C"/>
    <w:rsid w:val="15B61D16"/>
    <w:rsid w:val="15BB3E4D"/>
    <w:rsid w:val="15BE58CF"/>
    <w:rsid w:val="15E05662"/>
    <w:rsid w:val="15E46F00"/>
    <w:rsid w:val="15E92769"/>
    <w:rsid w:val="15EC2259"/>
    <w:rsid w:val="15F1786F"/>
    <w:rsid w:val="15F31839"/>
    <w:rsid w:val="15FA2BC8"/>
    <w:rsid w:val="16005D04"/>
    <w:rsid w:val="16094BB9"/>
    <w:rsid w:val="160B0931"/>
    <w:rsid w:val="160D098F"/>
    <w:rsid w:val="160E6673"/>
    <w:rsid w:val="160F43F2"/>
    <w:rsid w:val="160F7CF5"/>
    <w:rsid w:val="16133C89"/>
    <w:rsid w:val="161D68B6"/>
    <w:rsid w:val="16297009"/>
    <w:rsid w:val="16315EBE"/>
    <w:rsid w:val="16351E52"/>
    <w:rsid w:val="163634D4"/>
    <w:rsid w:val="163D0D06"/>
    <w:rsid w:val="16421E79"/>
    <w:rsid w:val="16465E0D"/>
    <w:rsid w:val="16481B85"/>
    <w:rsid w:val="164E081E"/>
    <w:rsid w:val="16557DFE"/>
    <w:rsid w:val="16573B76"/>
    <w:rsid w:val="165E3157"/>
    <w:rsid w:val="165F2A2B"/>
    <w:rsid w:val="166167A3"/>
    <w:rsid w:val="16640041"/>
    <w:rsid w:val="16663DB9"/>
    <w:rsid w:val="166B13D0"/>
    <w:rsid w:val="166C451C"/>
    <w:rsid w:val="166E0EC0"/>
    <w:rsid w:val="16753FFC"/>
    <w:rsid w:val="16816E45"/>
    <w:rsid w:val="168626AD"/>
    <w:rsid w:val="16866209"/>
    <w:rsid w:val="168E3310"/>
    <w:rsid w:val="16970417"/>
    <w:rsid w:val="169A3A63"/>
    <w:rsid w:val="169F72CB"/>
    <w:rsid w:val="16A82624"/>
    <w:rsid w:val="16AF39B2"/>
    <w:rsid w:val="16B44C04"/>
    <w:rsid w:val="16B72867"/>
    <w:rsid w:val="16BA0495"/>
    <w:rsid w:val="16BA4105"/>
    <w:rsid w:val="16BF1700"/>
    <w:rsid w:val="16BF171B"/>
    <w:rsid w:val="16BF34C9"/>
    <w:rsid w:val="16C46D32"/>
    <w:rsid w:val="16CF5E02"/>
    <w:rsid w:val="16D01B7A"/>
    <w:rsid w:val="16D03928"/>
    <w:rsid w:val="16D74CB7"/>
    <w:rsid w:val="16D8458B"/>
    <w:rsid w:val="16E573D4"/>
    <w:rsid w:val="16E80C72"/>
    <w:rsid w:val="16EA2C3C"/>
    <w:rsid w:val="16EC4BB5"/>
    <w:rsid w:val="16EF2001"/>
    <w:rsid w:val="16F07B27"/>
    <w:rsid w:val="16F2389F"/>
    <w:rsid w:val="16F2564D"/>
    <w:rsid w:val="170245DA"/>
    <w:rsid w:val="17045380"/>
    <w:rsid w:val="17067227"/>
    <w:rsid w:val="170A0BE8"/>
    <w:rsid w:val="170B670F"/>
    <w:rsid w:val="171001C9"/>
    <w:rsid w:val="171811BB"/>
    <w:rsid w:val="171952CF"/>
    <w:rsid w:val="171E28E6"/>
    <w:rsid w:val="172A4DE7"/>
    <w:rsid w:val="172B6DB1"/>
    <w:rsid w:val="172D48D7"/>
    <w:rsid w:val="17306175"/>
    <w:rsid w:val="17346F48"/>
    <w:rsid w:val="173B6FF4"/>
    <w:rsid w:val="17410382"/>
    <w:rsid w:val="17514A69"/>
    <w:rsid w:val="17567A20"/>
    <w:rsid w:val="1763479D"/>
    <w:rsid w:val="17650515"/>
    <w:rsid w:val="176A78D9"/>
    <w:rsid w:val="17740758"/>
    <w:rsid w:val="17795D6E"/>
    <w:rsid w:val="17800EAB"/>
    <w:rsid w:val="1780297E"/>
    <w:rsid w:val="17872239"/>
    <w:rsid w:val="17887D5F"/>
    <w:rsid w:val="178A3AD7"/>
    <w:rsid w:val="179E3A27"/>
    <w:rsid w:val="179E57D5"/>
    <w:rsid w:val="17AA23CB"/>
    <w:rsid w:val="17AA4179"/>
    <w:rsid w:val="17AA5F28"/>
    <w:rsid w:val="17AC1CA0"/>
    <w:rsid w:val="17AD77C6"/>
    <w:rsid w:val="17B40B54"/>
    <w:rsid w:val="17BB323B"/>
    <w:rsid w:val="17BF5E77"/>
    <w:rsid w:val="17C36FE9"/>
    <w:rsid w:val="17C470E7"/>
    <w:rsid w:val="17CD02AC"/>
    <w:rsid w:val="17D31922"/>
    <w:rsid w:val="17D5787E"/>
    <w:rsid w:val="17DA4A5F"/>
    <w:rsid w:val="17DD53CA"/>
    <w:rsid w:val="17DF02C7"/>
    <w:rsid w:val="17E94CA2"/>
    <w:rsid w:val="17EA27C8"/>
    <w:rsid w:val="17EB6C6C"/>
    <w:rsid w:val="17F13B56"/>
    <w:rsid w:val="17F3155F"/>
    <w:rsid w:val="18094F0A"/>
    <w:rsid w:val="181066D2"/>
    <w:rsid w:val="181141F9"/>
    <w:rsid w:val="181810E3"/>
    <w:rsid w:val="181B6E25"/>
    <w:rsid w:val="1820443C"/>
    <w:rsid w:val="182061EA"/>
    <w:rsid w:val="18221F62"/>
    <w:rsid w:val="18243F2C"/>
    <w:rsid w:val="182E6B59"/>
    <w:rsid w:val="18396D34"/>
    <w:rsid w:val="183A72AB"/>
    <w:rsid w:val="183F48C2"/>
    <w:rsid w:val="18506ACF"/>
    <w:rsid w:val="18510A99"/>
    <w:rsid w:val="185547A4"/>
    <w:rsid w:val="18567E5D"/>
    <w:rsid w:val="18581E27"/>
    <w:rsid w:val="185A16FC"/>
    <w:rsid w:val="185A5BA0"/>
    <w:rsid w:val="185A794E"/>
    <w:rsid w:val="185D743E"/>
    <w:rsid w:val="18622CA6"/>
    <w:rsid w:val="18676132"/>
    <w:rsid w:val="186802BC"/>
    <w:rsid w:val="186B1B5B"/>
    <w:rsid w:val="18722EE9"/>
    <w:rsid w:val="18814EDA"/>
    <w:rsid w:val="18842C1C"/>
    <w:rsid w:val="18884AFD"/>
    <w:rsid w:val="18893D8F"/>
    <w:rsid w:val="189244AD"/>
    <w:rsid w:val="18954E2A"/>
    <w:rsid w:val="189C0B38"/>
    <w:rsid w:val="189C1D14"/>
    <w:rsid w:val="189F1804"/>
    <w:rsid w:val="18A137CE"/>
    <w:rsid w:val="18A31822"/>
    <w:rsid w:val="18AC1E92"/>
    <w:rsid w:val="18AC5CCF"/>
    <w:rsid w:val="18AE1A47"/>
    <w:rsid w:val="18B0168A"/>
    <w:rsid w:val="18B81128"/>
    <w:rsid w:val="18B84674"/>
    <w:rsid w:val="18BF5A03"/>
    <w:rsid w:val="18C43019"/>
    <w:rsid w:val="18CB084B"/>
    <w:rsid w:val="18CF73AF"/>
    <w:rsid w:val="18D55226"/>
    <w:rsid w:val="18D86AC4"/>
    <w:rsid w:val="18DC7E6B"/>
    <w:rsid w:val="18DE5D91"/>
    <w:rsid w:val="18E15979"/>
    <w:rsid w:val="18E35B95"/>
    <w:rsid w:val="18F02060"/>
    <w:rsid w:val="18F356AC"/>
    <w:rsid w:val="18F733EE"/>
    <w:rsid w:val="18F90F15"/>
    <w:rsid w:val="19031D93"/>
    <w:rsid w:val="19067AD5"/>
    <w:rsid w:val="190873AA"/>
    <w:rsid w:val="190D676E"/>
    <w:rsid w:val="190E33B2"/>
    <w:rsid w:val="19145D4E"/>
    <w:rsid w:val="191506B4"/>
    <w:rsid w:val="1918073F"/>
    <w:rsid w:val="19267830"/>
    <w:rsid w:val="19287A4C"/>
    <w:rsid w:val="192B3098"/>
    <w:rsid w:val="19341F4D"/>
    <w:rsid w:val="19397563"/>
    <w:rsid w:val="193A3448"/>
    <w:rsid w:val="193F08F1"/>
    <w:rsid w:val="194222A2"/>
    <w:rsid w:val="194303E2"/>
    <w:rsid w:val="19466124"/>
    <w:rsid w:val="19467ED2"/>
    <w:rsid w:val="194B7296"/>
    <w:rsid w:val="195425EF"/>
    <w:rsid w:val="195E521C"/>
    <w:rsid w:val="19614D0C"/>
    <w:rsid w:val="19636CD6"/>
    <w:rsid w:val="19655B29"/>
    <w:rsid w:val="196F12BF"/>
    <w:rsid w:val="19715989"/>
    <w:rsid w:val="1977008B"/>
    <w:rsid w:val="19795932"/>
    <w:rsid w:val="197B5DCD"/>
    <w:rsid w:val="197C5E5D"/>
    <w:rsid w:val="19805192"/>
    <w:rsid w:val="198D1F04"/>
    <w:rsid w:val="198F3627"/>
    <w:rsid w:val="1990114D"/>
    <w:rsid w:val="19924EC5"/>
    <w:rsid w:val="19956567"/>
    <w:rsid w:val="199B021E"/>
    <w:rsid w:val="199B6470"/>
    <w:rsid w:val="199D393D"/>
    <w:rsid w:val="19A370D2"/>
    <w:rsid w:val="19A52E4A"/>
    <w:rsid w:val="19A60971"/>
    <w:rsid w:val="19A8687F"/>
    <w:rsid w:val="19AF7825"/>
    <w:rsid w:val="19B07BE2"/>
    <w:rsid w:val="19B25567"/>
    <w:rsid w:val="19B906A4"/>
    <w:rsid w:val="19B968F6"/>
    <w:rsid w:val="19BC1F42"/>
    <w:rsid w:val="19BC4E03"/>
    <w:rsid w:val="19BE3F0C"/>
    <w:rsid w:val="19C05ED6"/>
    <w:rsid w:val="19C07C84"/>
    <w:rsid w:val="19C552EB"/>
    <w:rsid w:val="19D35C0A"/>
    <w:rsid w:val="19D8242A"/>
    <w:rsid w:val="19DB686C"/>
    <w:rsid w:val="19DD0836"/>
    <w:rsid w:val="19DE1F55"/>
    <w:rsid w:val="19F142E2"/>
    <w:rsid w:val="19F16504"/>
    <w:rsid w:val="19F3005A"/>
    <w:rsid w:val="19F56590"/>
    <w:rsid w:val="19F81A40"/>
    <w:rsid w:val="19F93196"/>
    <w:rsid w:val="19FB0CBC"/>
    <w:rsid w:val="1A006562"/>
    <w:rsid w:val="1A0C111B"/>
    <w:rsid w:val="1A1324AA"/>
    <w:rsid w:val="1A143B2C"/>
    <w:rsid w:val="1A192B3F"/>
    <w:rsid w:val="1A253F8B"/>
    <w:rsid w:val="1A2975D8"/>
    <w:rsid w:val="1A330456"/>
    <w:rsid w:val="1A345F7C"/>
    <w:rsid w:val="1A442391"/>
    <w:rsid w:val="1A472154"/>
    <w:rsid w:val="1A4A39F2"/>
    <w:rsid w:val="1A514D80"/>
    <w:rsid w:val="1A5403CD"/>
    <w:rsid w:val="1A584DCA"/>
    <w:rsid w:val="1A5D3284"/>
    <w:rsid w:val="1A5F749D"/>
    <w:rsid w:val="1A613215"/>
    <w:rsid w:val="1A6A5805"/>
    <w:rsid w:val="1A766595"/>
    <w:rsid w:val="1A7E3DDA"/>
    <w:rsid w:val="1A7F369B"/>
    <w:rsid w:val="1A82318C"/>
    <w:rsid w:val="1A824F3A"/>
    <w:rsid w:val="1A8769F4"/>
    <w:rsid w:val="1A87773A"/>
    <w:rsid w:val="1A89451A"/>
    <w:rsid w:val="1A900053"/>
    <w:rsid w:val="1A98475D"/>
    <w:rsid w:val="1AB00571"/>
    <w:rsid w:val="1AB5530F"/>
    <w:rsid w:val="1AC45552"/>
    <w:rsid w:val="1AC60138"/>
    <w:rsid w:val="1AC76DF0"/>
    <w:rsid w:val="1AD27C6F"/>
    <w:rsid w:val="1AD30A5D"/>
    <w:rsid w:val="1AD87250"/>
    <w:rsid w:val="1AE300CE"/>
    <w:rsid w:val="1AE96D67"/>
    <w:rsid w:val="1AF33FE3"/>
    <w:rsid w:val="1AFC4CEC"/>
    <w:rsid w:val="1AFE638E"/>
    <w:rsid w:val="1AFF658A"/>
    <w:rsid w:val="1B056CCF"/>
    <w:rsid w:val="1B0A02DC"/>
    <w:rsid w:val="1B0B3181"/>
    <w:rsid w:val="1B0D0CA7"/>
    <w:rsid w:val="1B0E67CD"/>
    <w:rsid w:val="1B1A22AB"/>
    <w:rsid w:val="1B1C3C84"/>
    <w:rsid w:val="1B1C713C"/>
    <w:rsid w:val="1B216501"/>
    <w:rsid w:val="1B261D69"/>
    <w:rsid w:val="1B414DF5"/>
    <w:rsid w:val="1B415A01"/>
    <w:rsid w:val="1B4548E5"/>
    <w:rsid w:val="1B4B2131"/>
    <w:rsid w:val="1B4E306E"/>
    <w:rsid w:val="1B5508A0"/>
    <w:rsid w:val="1B574618"/>
    <w:rsid w:val="1B580CCA"/>
    <w:rsid w:val="1B59213E"/>
    <w:rsid w:val="1B5A1A13"/>
    <w:rsid w:val="1B5A65C8"/>
    <w:rsid w:val="1B5D6770"/>
    <w:rsid w:val="1B5E7755"/>
    <w:rsid w:val="1B650AE3"/>
    <w:rsid w:val="1B6F1962"/>
    <w:rsid w:val="1B7156DA"/>
    <w:rsid w:val="1B721452"/>
    <w:rsid w:val="1B723200"/>
    <w:rsid w:val="1B740D26"/>
    <w:rsid w:val="1B75684C"/>
    <w:rsid w:val="1B7B1CF8"/>
    <w:rsid w:val="1B7E7DF7"/>
    <w:rsid w:val="1B8B42C2"/>
    <w:rsid w:val="1B8F5B60"/>
    <w:rsid w:val="1B917B2A"/>
    <w:rsid w:val="1B925650"/>
    <w:rsid w:val="1B965141"/>
    <w:rsid w:val="1B970EB9"/>
    <w:rsid w:val="1B9E5DA3"/>
    <w:rsid w:val="1BA55384"/>
    <w:rsid w:val="1BAD1318"/>
    <w:rsid w:val="1BAD248A"/>
    <w:rsid w:val="1BAD5FE6"/>
    <w:rsid w:val="1BB57BF5"/>
    <w:rsid w:val="1BBB0703"/>
    <w:rsid w:val="1BBB6955"/>
    <w:rsid w:val="1BC17CE4"/>
    <w:rsid w:val="1BC577D4"/>
    <w:rsid w:val="1BD80921"/>
    <w:rsid w:val="1BDA45A3"/>
    <w:rsid w:val="1BE337C6"/>
    <w:rsid w:val="1BEA548C"/>
    <w:rsid w:val="1C057BD0"/>
    <w:rsid w:val="1C071B9A"/>
    <w:rsid w:val="1C0876C1"/>
    <w:rsid w:val="1C0C5403"/>
    <w:rsid w:val="1C116575"/>
    <w:rsid w:val="1C136791"/>
    <w:rsid w:val="1C146065"/>
    <w:rsid w:val="1C16002F"/>
    <w:rsid w:val="1C166281"/>
    <w:rsid w:val="1C1918CE"/>
    <w:rsid w:val="1C197B20"/>
    <w:rsid w:val="1C2344FA"/>
    <w:rsid w:val="1C2362A8"/>
    <w:rsid w:val="1C252021"/>
    <w:rsid w:val="1C27223D"/>
    <w:rsid w:val="1C2C33AF"/>
    <w:rsid w:val="1C3D736A"/>
    <w:rsid w:val="1C4032FE"/>
    <w:rsid w:val="1C412382"/>
    <w:rsid w:val="1C422BD3"/>
    <w:rsid w:val="1C533032"/>
    <w:rsid w:val="1C62208B"/>
    <w:rsid w:val="1C6C40F3"/>
    <w:rsid w:val="1C715266"/>
    <w:rsid w:val="1C7767A6"/>
    <w:rsid w:val="1C784846"/>
    <w:rsid w:val="1C856F63"/>
    <w:rsid w:val="1C8925AF"/>
    <w:rsid w:val="1C99656B"/>
    <w:rsid w:val="1C9B0535"/>
    <w:rsid w:val="1C9C6787"/>
    <w:rsid w:val="1C9D42AD"/>
    <w:rsid w:val="1CA55BCB"/>
    <w:rsid w:val="1CAB4C1C"/>
    <w:rsid w:val="1CB44238"/>
    <w:rsid w:val="1CC932F4"/>
    <w:rsid w:val="1CCE090A"/>
    <w:rsid w:val="1CE0094F"/>
    <w:rsid w:val="1CE95744"/>
    <w:rsid w:val="1CEB6DC6"/>
    <w:rsid w:val="1CEC0D90"/>
    <w:rsid w:val="1CEC2B3E"/>
    <w:rsid w:val="1CF2284B"/>
    <w:rsid w:val="1CF245F9"/>
    <w:rsid w:val="1CF3211F"/>
    <w:rsid w:val="1CF739BD"/>
    <w:rsid w:val="1CF77E61"/>
    <w:rsid w:val="1CFB6594"/>
    <w:rsid w:val="1CFC7225"/>
    <w:rsid w:val="1D0B1216"/>
    <w:rsid w:val="1D0B56BA"/>
    <w:rsid w:val="1D181B85"/>
    <w:rsid w:val="1D1A3B4F"/>
    <w:rsid w:val="1D1B4E20"/>
    <w:rsid w:val="1D230C56"/>
    <w:rsid w:val="1D2D5631"/>
    <w:rsid w:val="1D2E3157"/>
    <w:rsid w:val="1D3833BB"/>
    <w:rsid w:val="1D3F35B6"/>
    <w:rsid w:val="1D437108"/>
    <w:rsid w:val="1D44297A"/>
    <w:rsid w:val="1D4666F2"/>
    <w:rsid w:val="1D50703C"/>
    <w:rsid w:val="1D525097"/>
    <w:rsid w:val="1D61177E"/>
    <w:rsid w:val="1D862F93"/>
    <w:rsid w:val="1D8B2357"/>
    <w:rsid w:val="1D8F1E47"/>
    <w:rsid w:val="1D90796E"/>
    <w:rsid w:val="1D945474"/>
    <w:rsid w:val="1D94745E"/>
    <w:rsid w:val="1D9531D6"/>
    <w:rsid w:val="1D9A07EC"/>
    <w:rsid w:val="1D9C27B6"/>
    <w:rsid w:val="1DA022A7"/>
    <w:rsid w:val="1DA15057"/>
    <w:rsid w:val="1DAD0520"/>
    <w:rsid w:val="1DB25B36"/>
    <w:rsid w:val="1DB7139E"/>
    <w:rsid w:val="1DBA2C3C"/>
    <w:rsid w:val="1DBE44DB"/>
    <w:rsid w:val="1DC064A5"/>
    <w:rsid w:val="1DC15D79"/>
    <w:rsid w:val="1DC37D43"/>
    <w:rsid w:val="1DC55869"/>
    <w:rsid w:val="1DC97914"/>
    <w:rsid w:val="1DCA2E80"/>
    <w:rsid w:val="1DCD0BC2"/>
    <w:rsid w:val="1DDB32DF"/>
    <w:rsid w:val="1DDF4451"/>
    <w:rsid w:val="1DE026A3"/>
    <w:rsid w:val="1DE32193"/>
    <w:rsid w:val="1DEA3522"/>
    <w:rsid w:val="1DEB1048"/>
    <w:rsid w:val="1DEF6D8A"/>
    <w:rsid w:val="1DF223D6"/>
    <w:rsid w:val="1DF24184"/>
    <w:rsid w:val="1DF919B7"/>
    <w:rsid w:val="1E0068A1"/>
    <w:rsid w:val="1E026ABD"/>
    <w:rsid w:val="1E032835"/>
    <w:rsid w:val="1E0565AE"/>
    <w:rsid w:val="1E124827"/>
    <w:rsid w:val="1E1467F1"/>
    <w:rsid w:val="1E1D56A5"/>
    <w:rsid w:val="1E236A34"/>
    <w:rsid w:val="1E2B706A"/>
    <w:rsid w:val="1E2C74F6"/>
    <w:rsid w:val="1E2C7696"/>
    <w:rsid w:val="1E2D340E"/>
    <w:rsid w:val="1E3B5B2B"/>
    <w:rsid w:val="1E3D7AF5"/>
    <w:rsid w:val="1E4569AA"/>
    <w:rsid w:val="1E4C1AE7"/>
    <w:rsid w:val="1E4F5A7B"/>
    <w:rsid w:val="1E560BB7"/>
    <w:rsid w:val="1E594203"/>
    <w:rsid w:val="1E601A36"/>
    <w:rsid w:val="1E682698"/>
    <w:rsid w:val="1E763007"/>
    <w:rsid w:val="1E764DB5"/>
    <w:rsid w:val="1E7D6144"/>
    <w:rsid w:val="1E7E3C6A"/>
    <w:rsid w:val="1E827BFE"/>
    <w:rsid w:val="1E831280"/>
    <w:rsid w:val="1E890F8D"/>
    <w:rsid w:val="1E892D3B"/>
    <w:rsid w:val="1E8F1DFD"/>
    <w:rsid w:val="1E937715"/>
    <w:rsid w:val="1E9516DF"/>
    <w:rsid w:val="1E965458"/>
    <w:rsid w:val="1EA638ED"/>
    <w:rsid w:val="1EB12291"/>
    <w:rsid w:val="1EBA1146"/>
    <w:rsid w:val="1EC21DA9"/>
    <w:rsid w:val="1EC93137"/>
    <w:rsid w:val="1ECC2C27"/>
    <w:rsid w:val="1ECE2E43"/>
    <w:rsid w:val="1ECF44C6"/>
    <w:rsid w:val="1ED66812"/>
    <w:rsid w:val="1ED902C4"/>
    <w:rsid w:val="1EDA3596"/>
    <w:rsid w:val="1EF36406"/>
    <w:rsid w:val="1F046865"/>
    <w:rsid w:val="1F0B795E"/>
    <w:rsid w:val="1F132F42"/>
    <w:rsid w:val="1F15637C"/>
    <w:rsid w:val="1F176598"/>
    <w:rsid w:val="1F1A1BE5"/>
    <w:rsid w:val="1F1A4839"/>
    <w:rsid w:val="1F1F369F"/>
    <w:rsid w:val="1F2111C5"/>
    <w:rsid w:val="1F234F3D"/>
    <w:rsid w:val="1F374545"/>
    <w:rsid w:val="1F3A371A"/>
    <w:rsid w:val="1F3A5DE3"/>
    <w:rsid w:val="1F3D3B25"/>
    <w:rsid w:val="1F42113B"/>
    <w:rsid w:val="1F444EB4"/>
    <w:rsid w:val="1F470853"/>
    <w:rsid w:val="1F4D1FBA"/>
    <w:rsid w:val="1F4D55DB"/>
    <w:rsid w:val="1F576995"/>
    <w:rsid w:val="1F58270D"/>
    <w:rsid w:val="1F617814"/>
    <w:rsid w:val="1F62533A"/>
    <w:rsid w:val="1F680BA2"/>
    <w:rsid w:val="1F721A21"/>
    <w:rsid w:val="1F751511"/>
    <w:rsid w:val="1F7A2683"/>
    <w:rsid w:val="1F7A6B27"/>
    <w:rsid w:val="1F843502"/>
    <w:rsid w:val="1F882FF2"/>
    <w:rsid w:val="1F884DA0"/>
    <w:rsid w:val="1F8E612F"/>
    <w:rsid w:val="1F904A61"/>
    <w:rsid w:val="1F925C1F"/>
    <w:rsid w:val="1F947BE9"/>
    <w:rsid w:val="1F974FE3"/>
    <w:rsid w:val="1F9845E4"/>
    <w:rsid w:val="1F9A0F77"/>
    <w:rsid w:val="1F9E49AA"/>
    <w:rsid w:val="1FA37E2C"/>
    <w:rsid w:val="1FAF67D1"/>
    <w:rsid w:val="1FB060A5"/>
    <w:rsid w:val="1FB07AC3"/>
    <w:rsid w:val="1FB43DE7"/>
    <w:rsid w:val="1FB75686"/>
    <w:rsid w:val="1FC102B2"/>
    <w:rsid w:val="1FCB2EDF"/>
    <w:rsid w:val="1FD004F5"/>
    <w:rsid w:val="1FD55B0C"/>
    <w:rsid w:val="1FDA1374"/>
    <w:rsid w:val="1FDB15EE"/>
    <w:rsid w:val="1FDC564F"/>
    <w:rsid w:val="1FE475E1"/>
    <w:rsid w:val="1FE60DE3"/>
    <w:rsid w:val="1FF22B62"/>
    <w:rsid w:val="1FF468DA"/>
    <w:rsid w:val="1FFA6007"/>
    <w:rsid w:val="1FFC753C"/>
    <w:rsid w:val="1FFE32B4"/>
    <w:rsid w:val="200603BB"/>
    <w:rsid w:val="200A7EAB"/>
    <w:rsid w:val="201231AA"/>
    <w:rsid w:val="20152274"/>
    <w:rsid w:val="20176124"/>
    <w:rsid w:val="201C198C"/>
    <w:rsid w:val="201C7BDE"/>
    <w:rsid w:val="202076CF"/>
    <w:rsid w:val="20286583"/>
    <w:rsid w:val="202C7E22"/>
    <w:rsid w:val="203E7B55"/>
    <w:rsid w:val="2040567B"/>
    <w:rsid w:val="204131A1"/>
    <w:rsid w:val="20427645"/>
    <w:rsid w:val="204368A7"/>
    <w:rsid w:val="204809D3"/>
    <w:rsid w:val="2057297E"/>
    <w:rsid w:val="2059498F"/>
    <w:rsid w:val="205A0CA7"/>
    <w:rsid w:val="20631369"/>
    <w:rsid w:val="206770AC"/>
    <w:rsid w:val="207277FE"/>
    <w:rsid w:val="2076109D"/>
    <w:rsid w:val="207E43F5"/>
    <w:rsid w:val="20803CC9"/>
    <w:rsid w:val="208539D6"/>
    <w:rsid w:val="20880DD0"/>
    <w:rsid w:val="208A0FEC"/>
    <w:rsid w:val="208E288A"/>
    <w:rsid w:val="20914128"/>
    <w:rsid w:val="20931C4F"/>
    <w:rsid w:val="2099122F"/>
    <w:rsid w:val="20A025BE"/>
    <w:rsid w:val="20A57BD4"/>
    <w:rsid w:val="20AA51EA"/>
    <w:rsid w:val="20AC2D10"/>
    <w:rsid w:val="20B41BC5"/>
    <w:rsid w:val="20B61DE1"/>
    <w:rsid w:val="20B63B8F"/>
    <w:rsid w:val="20B971DB"/>
    <w:rsid w:val="20CC5161"/>
    <w:rsid w:val="20CF4C51"/>
    <w:rsid w:val="20D14525"/>
    <w:rsid w:val="20D44015"/>
    <w:rsid w:val="20D9162C"/>
    <w:rsid w:val="20DD2ECA"/>
    <w:rsid w:val="20E57FD0"/>
    <w:rsid w:val="20E97AC1"/>
    <w:rsid w:val="20EB5CF5"/>
    <w:rsid w:val="20F326ED"/>
    <w:rsid w:val="20F621DE"/>
    <w:rsid w:val="20F841A8"/>
    <w:rsid w:val="21076199"/>
    <w:rsid w:val="210B3EDB"/>
    <w:rsid w:val="210B5C89"/>
    <w:rsid w:val="210C1A01"/>
    <w:rsid w:val="210C7C53"/>
    <w:rsid w:val="210E5779"/>
    <w:rsid w:val="21103A0C"/>
    <w:rsid w:val="21222F20"/>
    <w:rsid w:val="212925B3"/>
    <w:rsid w:val="212D2AA7"/>
    <w:rsid w:val="21380A48"/>
    <w:rsid w:val="213B4094"/>
    <w:rsid w:val="21400CDB"/>
    <w:rsid w:val="214D44F3"/>
    <w:rsid w:val="215A77B7"/>
    <w:rsid w:val="215B0293"/>
    <w:rsid w:val="21676C37"/>
    <w:rsid w:val="216929AF"/>
    <w:rsid w:val="21703D3E"/>
    <w:rsid w:val="21751354"/>
    <w:rsid w:val="217557F8"/>
    <w:rsid w:val="21771570"/>
    <w:rsid w:val="21837F15"/>
    <w:rsid w:val="21920158"/>
    <w:rsid w:val="21A2710C"/>
    <w:rsid w:val="21A460DD"/>
    <w:rsid w:val="21A63C04"/>
    <w:rsid w:val="21A954A2"/>
    <w:rsid w:val="21AD5929"/>
    <w:rsid w:val="21B179E8"/>
    <w:rsid w:val="21B46321"/>
    <w:rsid w:val="21BA320B"/>
    <w:rsid w:val="21C61BB0"/>
    <w:rsid w:val="21C67E02"/>
    <w:rsid w:val="21CB5418"/>
    <w:rsid w:val="21D05231"/>
    <w:rsid w:val="21D342CD"/>
    <w:rsid w:val="21E12E8E"/>
    <w:rsid w:val="21F04E7F"/>
    <w:rsid w:val="21F52495"/>
    <w:rsid w:val="21F66939"/>
    <w:rsid w:val="21FC1A76"/>
    <w:rsid w:val="2208041A"/>
    <w:rsid w:val="220B4B15"/>
    <w:rsid w:val="220F17A9"/>
    <w:rsid w:val="22140793"/>
    <w:rsid w:val="22162B37"/>
    <w:rsid w:val="222A2800"/>
    <w:rsid w:val="222F1E4B"/>
    <w:rsid w:val="223E3E3C"/>
    <w:rsid w:val="223E5BEA"/>
    <w:rsid w:val="224156DA"/>
    <w:rsid w:val="22431452"/>
    <w:rsid w:val="224376A4"/>
    <w:rsid w:val="22443B73"/>
    <w:rsid w:val="22543660"/>
    <w:rsid w:val="22550DF8"/>
    <w:rsid w:val="22552996"/>
    <w:rsid w:val="22561186"/>
    <w:rsid w:val="22573150"/>
    <w:rsid w:val="225C42C2"/>
    <w:rsid w:val="225C544C"/>
    <w:rsid w:val="225E628C"/>
    <w:rsid w:val="22673393"/>
    <w:rsid w:val="226D64CF"/>
    <w:rsid w:val="227B1683"/>
    <w:rsid w:val="227B5090"/>
    <w:rsid w:val="22813D29"/>
    <w:rsid w:val="22873A35"/>
    <w:rsid w:val="22883309"/>
    <w:rsid w:val="22965A26"/>
    <w:rsid w:val="22977E12"/>
    <w:rsid w:val="229C464F"/>
    <w:rsid w:val="22A16179"/>
    <w:rsid w:val="22A2261D"/>
    <w:rsid w:val="22A266DE"/>
    <w:rsid w:val="22AA7723"/>
    <w:rsid w:val="22AB7D77"/>
    <w:rsid w:val="22AC349C"/>
    <w:rsid w:val="22BA3F45"/>
    <w:rsid w:val="22C75BE0"/>
    <w:rsid w:val="22C96F1D"/>
    <w:rsid w:val="22CA1B74"/>
    <w:rsid w:val="22D14CB0"/>
    <w:rsid w:val="22D327D6"/>
    <w:rsid w:val="22D402FC"/>
    <w:rsid w:val="22D447A0"/>
    <w:rsid w:val="22D622C7"/>
    <w:rsid w:val="22D64075"/>
    <w:rsid w:val="22D724A9"/>
    <w:rsid w:val="22D87DED"/>
    <w:rsid w:val="22D95913"/>
    <w:rsid w:val="22E36792"/>
    <w:rsid w:val="22E42C35"/>
    <w:rsid w:val="22E52653"/>
    <w:rsid w:val="22E70030"/>
    <w:rsid w:val="22F015DA"/>
    <w:rsid w:val="22F32E79"/>
    <w:rsid w:val="22F45565"/>
    <w:rsid w:val="22FA4207"/>
    <w:rsid w:val="22FF35CB"/>
    <w:rsid w:val="230706D2"/>
    <w:rsid w:val="230E380E"/>
    <w:rsid w:val="230E7CB2"/>
    <w:rsid w:val="2312765E"/>
    <w:rsid w:val="23130AEE"/>
    <w:rsid w:val="2319178A"/>
    <w:rsid w:val="231F4E1A"/>
    <w:rsid w:val="23203542"/>
    <w:rsid w:val="23241284"/>
    <w:rsid w:val="23243032"/>
    <w:rsid w:val="23290648"/>
    <w:rsid w:val="232A616E"/>
    <w:rsid w:val="2338088B"/>
    <w:rsid w:val="233D5EA2"/>
    <w:rsid w:val="233E7DBC"/>
    <w:rsid w:val="23447230"/>
    <w:rsid w:val="23496F3C"/>
    <w:rsid w:val="234B6811"/>
    <w:rsid w:val="23533917"/>
    <w:rsid w:val="2355143D"/>
    <w:rsid w:val="236B2A0F"/>
    <w:rsid w:val="236B6EB3"/>
    <w:rsid w:val="236E24FF"/>
    <w:rsid w:val="23711FEF"/>
    <w:rsid w:val="23735D67"/>
    <w:rsid w:val="2375388E"/>
    <w:rsid w:val="23775858"/>
    <w:rsid w:val="237C2E6E"/>
    <w:rsid w:val="237C4C1C"/>
    <w:rsid w:val="238166D6"/>
    <w:rsid w:val="23871813"/>
    <w:rsid w:val="238910E7"/>
    <w:rsid w:val="238C7417"/>
    <w:rsid w:val="239D2DE4"/>
    <w:rsid w:val="239F090A"/>
    <w:rsid w:val="23A14683"/>
    <w:rsid w:val="23A44173"/>
    <w:rsid w:val="23A6613D"/>
    <w:rsid w:val="23B1063E"/>
    <w:rsid w:val="23B343B6"/>
    <w:rsid w:val="23B75C54"/>
    <w:rsid w:val="23B819CC"/>
    <w:rsid w:val="23BA3996"/>
    <w:rsid w:val="23BD6FE3"/>
    <w:rsid w:val="23C87E61"/>
    <w:rsid w:val="23CB16FF"/>
    <w:rsid w:val="23CE2F9E"/>
    <w:rsid w:val="23D34A58"/>
    <w:rsid w:val="23D42CAA"/>
    <w:rsid w:val="23E627D5"/>
    <w:rsid w:val="23EA427B"/>
    <w:rsid w:val="23EB3B50"/>
    <w:rsid w:val="23ED3D6C"/>
    <w:rsid w:val="23F073B8"/>
    <w:rsid w:val="23F53C41"/>
    <w:rsid w:val="23FA1FE5"/>
    <w:rsid w:val="23FC3FAF"/>
    <w:rsid w:val="24030E99"/>
    <w:rsid w:val="24062738"/>
    <w:rsid w:val="240A594A"/>
    <w:rsid w:val="240B41F2"/>
    <w:rsid w:val="240C3129"/>
    <w:rsid w:val="24107A5A"/>
    <w:rsid w:val="24116799"/>
    <w:rsid w:val="2412732E"/>
    <w:rsid w:val="24170DE9"/>
    <w:rsid w:val="24194B61"/>
    <w:rsid w:val="242332EA"/>
    <w:rsid w:val="24262DDA"/>
    <w:rsid w:val="243A0633"/>
    <w:rsid w:val="243E45C7"/>
    <w:rsid w:val="243F3E9B"/>
    <w:rsid w:val="24462058"/>
    <w:rsid w:val="245009B2"/>
    <w:rsid w:val="245060A9"/>
    <w:rsid w:val="24507E57"/>
    <w:rsid w:val="24544EED"/>
    <w:rsid w:val="24547947"/>
    <w:rsid w:val="24594C20"/>
    <w:rsid w:val="24596D0B"/>
    <w:rsid w:val="245C67FB"/>
    <w:rsid w:val="246833F2"/>
    <w:rsid w:val="246B6A3F"/>
    <w:rsid w:val="246C6786"/>
    <w:rsid w:val="246E51E0"/>
    <w:rsid w:val="24703184"/>
    <w:rsid w:val="2470471C"/>
    <w:rsid w:val="247955FF"/>
    <w:rsid w:val="247B3126"/>
    <w:rsid w:val="24833D88"/>
    <w:rsid w:val="24871F72"/>
    <w:rsid w:val="249275D7"/>
    <w:rsid w:val="24977834"/>
    <w:rsid w:val="249D12EE"/>
    <w:rsid w:val="249D7540"/>
    <w:rsid w:val="249E5066"/>
    <w:rsid w:val="24A361D8"/>
    <w:rsid w:val="24A85EE5"/>
    <w:rsid w:val="24BB79C6"/>
    <w:rsid w:val="24C543A1"/>
    <w:rsid w:val="24C70119"/>
    <w:rsid w:val="24CA5E5B"/>
    <w:rsid w:val="24D740D4"/>
    <w:rsid w:val="24DC16EA"/>
    <w:rsid w:val="24E0742D"/>
    <w:rsid w:val="24E12BB3"/>
    <w:rsid w:val="24E41CD1"/>
    <w:rsid w:val="24ED38F7"/>
    <w:rsid w:val="24EF3B8A"/>
    <w:rsid w:val="24EF58C2"/>
    <w:rsid w:val="24FE14D5"/>
    <w:rsid w:val="25034EC9"/>
    <w:rsid w:val="2504136D"/>
    <w:rsid w:val="250550E5"/>
    <w:rsid w:val="25063D23"/>
    <w:rsid w:val="25090731"/>
    <w:rsid w:val="25093F7E"/>
    <w:rsid w:val="250A6257"/>
    <w:rsid w:val="2513335E"/>
    <w:rsid w:val="251610A0"/>
    <w:rsid w:val="251946ED"/>
    <w:rsid w:val="251B1717"/>
    <w:rsid w:val="251D242F"/>
    <w:rsid w:val="252512E3"/>
    <w:rsid w:val="252576D0"/>
    <w:rsid w:val="25290DD3"/>
    <w:rsid w:val="252F3F10"/>
    <w:rsid w:val="252F5CBE"/>
    <w:rsid w:val="253471AD"/>
    <w:rsid w:val="25357778"/>
    <w:rsid w:val="2536704D"/>
    <w:rsid w:val="25506360"/>
    <w:rsid w:val="25643BBA"/>
    <w:rsid w:val="25670CAF"/>
    <w:rsid w:val="25695674"/>
    <w:rsid w:val="257A6A38"/>
    <w:rsid w:val="257F27A2"/>
    <w:rsid w:val="25861D82"/>
    <w:rsid w:val="258649AE"/>
    <w:rsid w:val="25873D4C"/>
    <w:rsid w:val="258C3110"/>
    <w:rsid w:val="25976D26"/>
    <w:rsid w:val="25981AB5"/>
    <w:rsid w:val="25A4045A"/>
    <w:rsid w:val="25A55F80"/>
    <w:rsid w:val="25A93CC2"/>
    <w:rsid w:val="25B61F3B"/>
    <w:rsid w:val="25C40AFC"/>
    <w:rsid w:val="25DA0320"/>
    <w:rsid w:val="25DA3E7C"/>
    <w:rsid w:val="25E92311"/>
    <w:rsid w:val="25EC3BAF"/>
    <w:rsid w:val="25F0369F"/>
    <w:rsid w:val="25F27417"/>
    <w:rsid w:val="25FF1B48"/>
    <w:rsid w:val="2604714B"/>
    <w:rsid w:val="260B672B"/>
    <w:rsid w:val="260D24A3"/>
    <w:rsid w:val="260E1D77"/>
    <w:rsid w:val="260E7FC9"/>
    <w:rsid w:val="26170C2C"/>
    <w:rsid w:val="261E020C"/>
    <w:rsid w:val="262F241A"/>
    <w:rsid w:val="26355556"/>
    <w:rsid w:val="26357304"/>
    <w:rsid w:val="263712CE"/>
    <w:rsid w:val="263A491A"/>
    <w:rsid w:val="26404627"/>
    <w:rsid w:val="26415CA9"/>
    <w:rsid w:val="26431A21"/>
    <w:rsid w:val="26467763"/>
    <w:rsid w:val="26485289"/>
    <w:rsid w:val="264B2FCC"/>
    <w:rsid w:val="26591245"/>
    <w:rsid w:val="26630315"/>
    <w:rsid w:val="266825B4"/>
    <w:rsid w:val="266A0D19"/>
    <w:rsid w:val="266B71CA"/>
    <w:rsid w:val="266D6A9E"/>
    <w:rsid w:val="26703F5D"/>
    <w:rsid w:val="267A11BB"/>
    <w:rsid w:val="267A6665"/>
    <w:rsid w:val="267B523A"/>
    <w:rsid w:val="267E0CAB"/>
    <w:rsid w:val="26834513"/>
    <w:rsid w:val="26865DB2"/>
    <w:rsid w:val="26920BFA"/>
    <w:rsid w:val="269B7AAF"/>
    <w:rsid w:val="269E134D"/>
    <w:rsid w:val="269F20F5"/>
    <w:rsid w:val="26A5092E"/>
    <w:rsid w:val="26AB1BF6"/>
    <w:rsid w:val="26AB2BB4"/>
    <w:rsid w:val="26B648E9"/>
    <w:rsid w:val="26C52DB4"/>
    <w:rsid w:val="26C6672D"/>
    <w:rsid w:val="26CC5EBA"/>
    <w:rsid w:val="26CC7C68"/>
    <w:rsid w:val="26CE29D6"/>
    <w:rsid w:val="26D052F6"/>
    <w:rsid w:val="26D7660D"/>
    <w:rsid w:val="26DD00C8"/>
    <w:rsid w:val="26DE64E1"/>
    <w:rsid w:val="26E72CF4"/>
    <w:rsid w:val="26EA27E4"/>
    <w:rsid w:val="26EA2B8E"/>
    <w:rsid w:val="26EF7DFB"/>
    <w:rsid w:val="26F61189"/>
    <w:rsid w:val="26FB67A0"/>
    <w:rsid w:val="26FC7E22"/>
    <w:rsid w:val="26FE5ADC"/>
    <w:rsid w:val="26FF54C0"/>
    <w:rsid w:val="27084A19"/>
    <w:rsid w:val="27147861"/>
    <w:rsid w:val="271909D4"/>
    <w:rsid w:val="271B0BF0"/>
    <w:rsid w:val="271B299E"/>
    <w:rsid w:val="271E423C"/>
    <w:rsid w:val="27230BFF"/>
    <w:rsid w:val="27231852"/>
    <w:rsid w:val="27277595"/>
    <w:rsid w:val="272A498F"/>
    <w:rsid w:val="272F41F5"/>
    <w:rsid w:val="2738348A"/>
    <w:rsid w:val="273870AC"/>
    <w:rsid w:val="27473793"/>
    <w:rsid w:val="274840C4"/>
    <w:rsid w:val="274E4B21"/>
    <w:rsid w:val="274F2647"/>
    <w:rsid w:val="27514612"/>
    <w:rsid w:val="27570B5F"/>
    <w:rsid w:val="275763AD"/>
    <w:rsid w:val="2758288F"/>
    <w:rsid w:val="275B2D9A"/>
    <w:rsid w:val="275B723E"/>
    <w:rsid w:val="275E288B"/>
    <w:rsid w:val="2764572C"/>
    <w:rsid w:val="2767173F"/>
    <w:rsid w:val="2769195B"/>
    <w:rsid w:val="277D71B5"/>
    <w:rsid w:val="277F2F2D"/>
    <w:rsid w:val="278E13C2"/>
    <w:rsid w:val="278F6B69"/>
    <w:rsid w:val="27906EE8"/>
    <w:rsid w:val="27982240"/>
    <w:rsid w:val="279B3ADF"/>
    <w:rsid w:val="279B763B"/>
    <w:rsid w:val="279F712B"/>
    <w:rsid w:val="27A504B9"/>
    <w:rsid w:val="27A75FE0"/>
    <w:rsid w:val="27A97396"/>
    <w:rsid w:val="27A97FAA"/>
    <w:rsid w:val="27AB36D8"/>
    <w:rsid w:val="27AE736E"/>
    <w:rsid w:val="27AF59D2"/>
    <w:rsid w:val="27B01338"/>
    <w:rsid w:val="27B150B0"/>
    <w:rsid w:val="27C55379"/>
    <w:rsid w:val="27C748D4"/>
    <w:rsid w:val="27C933D0"/>
    <w:rsid w:val="27D46AF8"/>
    <w:rsid w:val="27D74B17"/>
    <w:rsid w:val="27DA0163"/>
    <w:rsid w:val="27DD7C53"/>
    <w:rsid w:val="27E15995"/>
    <w:rsid w:val="27F21951"/>
    <w:rsid w:val="27F751B9"/>
    <w:rsid w:val="27F82CDF"/>
    <w:rsid w:val="27F869BA"/>
    <w:rsid w:val="27FB1F28"/>
    <w:rsid w:val="28043432"/>
    <w:rsid w:val="28072F22"/>
    <w:rsid w:val="280E605F"/>
    <w:rsid w:val="28213FE4"/>
    <w:rsid w:val="28243AD4"/>
    <w:rsid w:val="282E04AF"/>
    <w:rsid w:val="28310F5C"/>
    <w:rsid w:val="283261F1"/>
    <w:rsid w:val="28327F9F"/>
    <w:rsid w:val="28333D17"/>
    <w:rsid w:val="283D06F2"/>
    <w:rsid w:val="283F446A"/>
    <w:rsid w:val="2859082E"/>
    <w:rsid w:val="285C326E"/>
    <w:rsid w:val="285E0D94"/>
    <w:rsid w:val="28610884"/>
    <w:rsid w:val="286345FC"/>
    <w:rsid w:val="286363AA"/>
    <w:rsid w:val="286640ED"/>
    <w:rsid w:val="286914E7"/>
    <w:rsid w:val="28702875"/>
    <w:rsid w:val="287405B8"/>
    <w:rsid w:val="288307FB"/>
    <w:rsid w:val="28844573"/>
    <w:rsid w:val="28885E11"/>
    <w:rsid w:val="288D6330"/>
    <w:rsid w:val="289735C3"/>
    <w:rsid w:val="28AD1D1C"/>
    <w:rsid w:val="28B12D73"/>
    <w:rsid w:val="28BE5CD7"/>
    <w:rsid w:val="28C17575"/>
    <w:rsid w:val="28C64B8B"/>
    <w:rsid w:val="28CF1C92"/>
    <w:rsid w:val="28D252DE"/>
    <w:rsid w:val="28D934A9"/>
    <w:rsid w:val="28E03E9F"/>
    <w:rsid w:val="28F96D0F"/>
    <w:rsid w:val="29001E4B"/>
    <w:rsid w:val="2909027C"/>
    <w:rsid w:val="291E49C7"/>
    <w:rsid w:val="29203532"/>
    <w:rsid w:val="29231FDE"/>
    <w:rsid w:val="292F1638"/>
    <w:rsid w:val="29310257"/>
    <w:rsid w:val="29377DCA"/>
    <w:rsid w:val="293D130F"/>
    <w:rsid w:val="293E166E"/>
    <w:rsid w:val="294066EC"/>
    <w:rsid w:val="29475CCC"/>
    <w:rsid w:val="29491A44"/>
    <w:rsid w:val="294A0D31"/>
    <w:rsid w:val="294C6E3F"/>
    <w:rsid w:val="294F4B81"/>
    <w:rsid w:val="295B1778"/>
    <w:rsid w:val="295F5B00"/>
    <w:rsid w:val="296248B4"/>
    <w:rsid w:val="296C5733"/>
    <w:rsid w:val="296D5007"/>
    <w:rsid w:val="2973261D"/>
    <w:rsid w:val="29736AC1"/>
    <w:rsid w:val="29752839"/>
    <w:rsid w:val="297D16EE"/>
    <w:rsid w:val="298A7967"/>
    <w:rsid w:val="298F1421"/>
    <w:rsid w:val="299A404E"/>
    <w:rsid w:val="299F1664"/>
    <w:rsid w:val="29A0362E"/>
    <w:rsid w:val="29A21154"/>
    <w:rsid w:val="29A94291"/>
    <w:rsid w:val="29B35110"/>
    <w:rsid w:val="29B449E4"/>
    <w:rsid w:val="29B50E88"/>
    <w:rsid w:val="29B6075C"/>
    <w:rsid w:val="29C54E43"/>
    <w:rsid w:val="29C7330B"/>
    <w:rsid w:val="29C966E1"/>
    <w:rsid w:val="29CC4423"/>
    <w:rsid w:val="29CC61D1"/>
    <w:rsid w:val="29D137E8"/>
    <w:rsid w:val="29D532D8"/>
    <w:rsid w:val="29DD03DE"/>
    <w:rsid w:val="29E057D9"/>
    <w:rsid w:val="29E256AC"/>
    <w:rsid w:val="29EE7EF6"/>
    <w:rsid w:val="2A005E7B"/>
    <w:rsid w:val="2A015EC3"/>
    <w:rsid w:val="2A027E45"/>
    <w:rsid w:val="2A061630"/>
    <w:rsid w:val="2A067935"/>
    <w:rsid w:val="2A070FB7"/>
    <w:rsid w:val="2A0911D4"/>
    <w:rsid w:val="2A092D45"/>
    <w:rsid w:val="2A1262DA"/>
    <w:rsid w:val="2A133E00"/>
    <w:rsid w:val="2A13795C"/>
    <w:rsid w:val="2A151926"/>
    <w:rsid w:val="2A181417"/>
    <w:rsid w:val="2A202079"/>
    <w:rsid w:val="2A2614BF"/>
    <w:rsid w:val="2A2658E2"/>
    <w:rsid w:val="2A2A4058"/>
    <w:rsid w:val="2A2B739C"/>
    <w:rsid w:val="2A3D3A9E"/>
    <w:rsid w:val="2A426494"/>
    <w:rsid w:val="2A467D32"/>
    <w:rsid w:val="2A4B359A"/>
    <w:rsid w:val="2A5266D7"/>
    <w:rsid w:val="2A5A37DD"/>
    <w:rsid w:val="2A6E1037"/>
    <w:rsid w:val="2A703001"/>
    <w:rsid w:val="2A720B27"/>
    <w:rsid w:val="2A7A79DB"/>
    <w:rsid w:val="2A810D6A"/>
    <w:rsid w:val="2A830F86"/>
    <w:rsid w:val="2A842608"/>
    <w:rsid w:val="2A88034A"/>
    <w:rsid w:val="2A8B3997"/>
    <w:rsid w:val="2A8F072F"/>
    <w:rsid w:val="2A8F792B"/>
    <w:rsid w:val="2A9211C9"/>
    <w:rsid w:val="2A930A9D"/>
    <w:rsid w:val="2A944F41"/>
    <w:rsid w:val="2A946CEF"/>
    <w:rsid w:val="2A96120E"/>
    <w:rsid w:val="2A9D36CA"/>
    <w:rsid w:val="2AA64C74"/>
    <w:rsid w:val="2AB033FD"/>
    <w:rsid w:val="2AB32EED"/>
    <w:rsid w:val="2AB3306A"/>
    <w:rsid w:val="2AB70C30"/>
    <w:rsid w:val="2ABE5B1A"/>
    <w:rsid w:val="2ABF7AE4"/>
    <w:rsid w:val="2AC62C21"/>
    <w:rsid w:val="2AC944BF"/>
    <w:rsid w:val="2AEA2DB3"/>
    <w:rsid w:val="2AEB2687"/>
    <w:rsid w:val="2AED4651"/>
    <w:rsid w:val="2AEE4FFE"/>
    <w:rsid w:val="2AFA28CA"/>
    <w:rsid w:val="2AFB6D6E"/>
    <w:rsid w:val="2B004385"/>
    <w:rsid w:val="2B0F281A"/>
    <w:rsid w:val="2B116592"/>
    <w:rsid w:val="2B14398C"/>
    <w:rsid w:val="2B146082"/>
    <w:rsid w:val="2B25203D"/>
    <w:rsid w:val="2B2833E7"/>
    <w:rsid w:val="2B373B1E"/>
    <w:rsid w:val="2B404781"/>
    <w:rsid w:val="2B406E77"/>
    <w:rsid w:val="2B465B0F"/>
    <w:rsid w:val="2B4A3852"/>
    <w:rsid w:val="2B4C1378"/>
    <w:rsid w:val="2B5D3585"/>
    <w:rsid w:val="2B5E72FD"/>
    <w:rsid w:val="2B606BD1"/>
    <w:rsid w:val="2B620B9B"/>
    <w:rsid w:val="2B634913"/>
    <w:rsid w:val="2B6510BB"/>
    <w:rsid w:val="2B65243A"/>
    <w:rsid w:val="2B6A7A50"/>
    <w:rsid w:val="2B6F4C50"/>
    <w:rsid w:val="2B7351BD"/>
    <w:rsid w:val="2B761F52"/>
    <w:rsid w:val="2B786611"/>
    <w:rsid w:val="2B7B18A0"/>
    <w:rsid w:val="2B824D9A"/>
    <w:rsid w:val="2B8A6344"/>
    <w:rsid w:val="2B8E7BE2"/>
    <w:rsid w:val="2B972AE2"/>
    <w:rsid w:val="2B990335"/>
    <w:rsid w:val="2B9D1BD3"/>
    <w:rsid w:val="2B9E76FA"/>
    <w:rsid w:val="2BA41F1A"/>
    <w:rsid w:val="2BA47406"/>
    <w:rsid w:val="2BA94A1C"/>
    <w:rsid w:val="2BA967CA"/>
    <w:rsid w:val="2BAA609E"/>
    <w:rsid w:val="2BAD5B8F"/>
    <w:rsid w:val="2BAF1EA9"/>
    <w:rsid w:val="2BB62C95"/>
    <w:rsid w:val="2BC01D66"/>
    <w:rsid w:val="2BC2163A"/>
    <w:rsid w:val="2BC37160"/>
    <w:rsid w:val="2BD63337"/>
    <w:rsid w:val="2BDB26FC"/>
    <w:rsid w:val="2BE041B6"/>
    <w:rsid w:val="2BE21CDC"/>
    <w:rsid w:val="2BE35420"/>
    <w:rsid w:val="2BE5357A"/>
    <w:rsid w:val="2BE710A1"/>
    <w:rsid w:val="2BE739FD"/>
    <w:rsid w:val="2BE94E19"/>
    <w:rsid w:val="2BE94E44"/>
    <w:rsid w:val="2BEB54C0"/>
    <w:rsid w:val="2BEF61A7"/>
    <w:rsid w:val="2BF0264B"/>
    <w:rsid w:val="2BF832AE"/>
    <w:rsid w:val="2BFD2672"/>
    <w:rsid w:val="2BFE7BC6"/>
    <w:rsid w:val="2BFF463C"/>
    <w:rsid w:val="2C063C1D"/>
    <w:rsid w:val="2C0E0D23"/>
    <w:rsid w:val="2C136339"/>
    <w:rsid w:val="2C1C3440"/>
    <w:rsid w:val="2C1F06B9"/>
    <w:rsid w:val="2C1F6A8C"/>
    <w:rsid w:val="2C275941"/>
    <w:rsid w:val="2C302A48"/>
    <w:rsid w:val="2C3167C0"/>
    <w:rsid w:val="2C32224A"/>
    <w:rsid w:val="2C3818FC"/>
    <w:rsid w:val="2C38462A"/>
    <w:rsid w:val="2C387CAA"/>
    <w:rsid w:val="2C414C55"/>
    <w:rsid w:val="2C416E1D"/>
    <w:rsid w:val="2C4209CD"/>
    <w:rsid w:val="2C4B7881"/>
    <w:rsid w:val="2C4C53A8"/>
    <w:rsid w:val="2C506C46"/>
    <w:rsid w:val="2C574478"/>
    <w:rsid w:val="2C622E1D"/>
    <w:rsid w:val="2C673F8F"/>
    <w:rsid w:val="2C6B7F24"/>
    <w:rsid w:val="2C701096"/>
    <w:rsid w:val="2C714E0E"/>
    <w:rsid w:val="2C7F577D"/>
    <w:rsid w:val="2C820DC9"/>
    <w:rsid w:val="2C82701B"/>
    <w:rsid w:val="2C840FE5"/>
    <w:rsid w:val="2C844B41"/>
    <w:rsid w:val="2C862667"/>
    <w:rsid w:val="2C884632"/>
    <w:rsid w:val="2C8E4BDA"/>
    <w:rsid w:val="2C92660B"/>
    <w:rsid w:val="2C970D19"/>
    <w:rsid w:val="2C98683F"/>
    <w:rsid w:val="2C9A4365"/>
    <w:rsid w:val="2CA945A8"/>
    <w:rsid w:val="2CAD4098"/>
    <w:rsid w:val="2CAD5E46"/>
    <w:rsid w:val="2CB03B88"/>
    <w:rsid w:val="2CB25B52"/>
    <w:rsid w:val="2CB73169"/>
    <w:rsid w:val="2CB847EB"/>
    <w:rsid w:val="2CCD64E8"/>
    <w:rsid w:val="2CD0422B"/>
    <w:rsid w:val="2CD86C3B"/>
    <w:rsid w:val="2CDE06F5"/>
    <w:rsid w:val="2CE13D42"/>
    <w:rsid w:val="2CE83322"/>
    <w:rsid w:val="2CEE645F"/>
    <w:rsid w:val="2CF0667B"/>
    <w:rsid w:val="2CF72792"/>
    <w:rsid w:val="2CFC0B7C"/>
    <w:rsid w:val="2D054D39"/>
    <w:rsid w:val="2D1265F1"/>
    <w:rsid w:val="2D242128"/>
    <w:rsid w:val="2D297497"/>
    <w:rsid w:val="2D2B320F"/>
    <w:rsid w:val="2D393B7E"/>
    <w:rsid w:val="2D3E2F42"/>
    <w:rsid w:val="2D4A18E7"/>
    <w:rsid w:val="2D582EE4"/>
    <w:rsid w:val="2D597D7C"/>
    <w:rsid w:val="2D6B7155"/>
    <w:rsid w:val="2D6C5D01"/>
    <w:rsid w:val="2D710576"/>
    <w:rsid w:val="2D7352E2"/>
    <w:rsid w:val="2D796670"/>
    <w:rsid w:val="2D7B2AB8"/>
    <w:rsid w:val="2D7E77E3"/>
    <w:rsid w:val="2D81006B"/>
    <w:rsid w:val="2D8172D3"/>
    <w:rsid w:val="2D83129D"/>
    <w:rsid w:val="2D8C0151"/>
    <w:rsid w:val="2D8D5C78"/>
    <w:rsid w:val="2DA01E4F"/>
    <w:rsid w:val="2DA21723"/>
    <w:rsid w:val="2DA57465"/>
    <w:rsid w:val="2DAA05D8"/>
    <w:rsid w:val="2DAF5BEE"/>
    <w:rsid w:val="2DBA2F11"/>
    <w:rsid w:val="2DBF0527"/>
    <w:rsid w:val="2DC25921"/>
    <w:rsid w:val="2DCA0C7A"/>
    <w:rsid w:val="2DCA6ECC"/>
    <w:rsid w:val="2DCB3B18"/>
    <w:rsid w:val="2DD1127E"/>
    <w:rsid w:val="2DDF2977"/>
    <w:rsid w:val="2DE7182C"/>
    <w:rsid w:val="2DE97352"/>
    <w:rsid w:val="2DEC6E42"/>
    <w:rsid w:val="2DFA155F"/>
    <w:rsid w:val="2E0E0B66"/>
    <w:rsid w:val="2E0E5FB4"/>
    <w:rsid w:val="2E150147"/>
    <w:rsid w:val="2E2170F9"/>
    <w:rsid w:val="2E24038A"/>
    <w:rsid w:val="2E272955"/>
    <w:rsid w:val="2E291E44"/>
    <w:rsid w:val="2E2959A0"/>
    <w:rsid w:val="2E2B796A"/>
    <w:rsid w:val="2E30575E"/>
    <w:rsid w:val="2E3305CD"/>
    <w:rsid w:val="2E344345"/>
    <w:rsid w:val="2E36630F"/>
    <w:rsid w:val="2E3A7BAD"/>
    <w:rsid w:val="2E3C1B78"/>
    <w:rsid w:val="2E426A62"/>
    <w:rsid w:val="2E4E18AB"/>
    <w:rsid w:val="2E516CA5"/>
    <w:rsid w:val="2E536EC1"/>
    <w:rsid w:val="2E552C39"/>
    <w:rsid w:val="2E57641F"/>
    <w:rsid w:val="2E5844D8"/>
    <w:rsid w:val="2E5D1AEE"/>
    <w:rsid w:val="2E644C2A"/>
    <w:rsid w:val="2E6B420B"/>
    <w:rsid w:val="2E6B5FB9"/>
    <w:rsid w:val="2E6D7F83"/>
    <w:rsid w:val="2E6E5AA9"/>
    <w:rsid w:val="2E7035CF"/>
    <w:rsid w:val="2E836496"/>
    <w:rsid w:val="2E8609D2"/>
    <w:rsid w:val="2E8953DC"/>
    <w:rsid w:val="2E9F3EB4"/>
    <w:rsid w:val="2EA329DD"/>
    <w:rsid w:val="2EA9088F"/>
    <w:rsid w:val="2EAA6F65"/>
    <w:rsid w:val="2EAB20F3"/>
    <w:rsid w:val="2EB3170E"/>
    <w:rsid w:val="2EB84F76"/>
    <w:rsid w:val="2EBA0CEE"/>
    <w:rsid w:val="2EC1207D"/>
    <w:rsid w:val="2EC27BA3"/>
    <w:rsid w:val="2EC8630A"/>
    <w:rsid w:val="2ECD6C74"/>
    <w:rsid w:val="2ED527E6"/>
    <w:rsid w:val="2EDA4EED"/>
    <w:rsid w:val="2EDC468B"/>
    <w:rsid w:val="2EEE0998"/>
    <w:rsid w:val="2EF02962"/>
    <w:rsid w:val="2EF22236"/>
    <w:rsid w:val="2EFF6701"/>
    <w:rsid w:val="2F032695"/>
    <w:rsid w:val="2F083808"/>
    <w:rsid w:val="2F0D0E1E"/>
    <w:rsid w:val="2F0E4B96"/>
    <w:rsid w:val="2F230642"/>
    <w:rsid w:val="2F285C58"/>
    <w:rsid w:val="2F3445FD"/>
    <w:rsid w:val="2F3565C7"/>
    <w:rsid w:val="2F37233F"/>
    <w:rsid w:val="2F397E65"/>
    <w:rsid w:val="2F3C1703"/>
    <w:rsid w:val="2F4F24DA"/>
    <w:rsid w:val="2F520F27"/>
    <w:rsid w:val="2F546A4D"/>
    <w:rsid w:val="2F5E167A"/>
    <w:rsid w:val="2F601896"/>
    <w:rsid w:val="2F6055E3"/>
    <w:rsid w:val="2F6824F8"/>
    <w:rsid w:val="2F6B1FE9"/>
    <w:rsid w:val="2F7013AD"/>
    <w:rsid w:val="2F713AA3"/>
    <w:rsid w:val="2F792957"/>
    <w:rsid w:val="2F805A94"/>
    <w:rsid w:val="2F835584"/>
    <w:rsid w:val="2F947791"/>
    <w:rsid w:val="2F950E14"/>
    <w:rsid w:val="2F990904"/>
    <w:rsid w:val="2F9B47BA"/>
    <w:rsid w:val="2FA21EAE"/>
    <w:rsid w:val="2FA33530"/>
    <w:rsid w:val="2FA774C5"/>
    <w:rsid w:val="2FB7522E"/>
    <w:rsid w:val="2FB90FA6"/>
    <w:rsid w:val="2FB97352"/>
    <w:rsid w:val="2FBC4423"/>
    <w:rsid w:val="2FBE036A"/>
    <w:rsid w:val="2FC00586"/>
    <w:rsid w:val="2FCA5E76"/>
    <w:rsid w:val="2FCE4344"/>
    <w:rsid w:val="2FCF4325"/>
    <w:rsid w:val="2FD44032"/>
    <w:rsid w:val="2FD656B4"/>
    <w:rsid w:val="2FD91648"/>
    <w:rsid w:val="2FDB0F1C"/>
    <w:rsid w:val="2FDC6A42"/>
    <w:rsid w:val="2FDD2EE6"/>
    <w:rsid w:val="2FE266EA"/>
    <w:rsid w:val="2FE3015E"/>
    <w:rsid w:val="2FE73D65"/>
    <w:rsid w:val="2FE853E7"/>
    <w:rsid w:val="2FEC4ED7"/>
    <w:rsid w:val="2FF43D8C"/>
    <w:rsid w:val="2FF479A2"/>
    <w:rsid w:val="2FFB511A"/>
    <w:rsid w:val="30001F44"/>
    <w:rsid w:val="300F0BC6"/>
    <w:rsid w:val="3011493E"/>
    <w:rsid w:val="301306B6"/>
    <w:rsid w:val="30161F54"/>
    <w:rsid w:val="30185CCC"/>
    <w:rsid w:val="30186A3C"/>
    <w:rsid w:val="302169BE"/>
    <w:rsid w:val="302208F9"/>
    <w:rsid w:val="30240B15"/>
    <w:rsid w:val="302428C3"/>
    <w:rsid w:val="3026074B"/>
    <w:rsid w:val="30291525"/>
    <w:rsid w:val="303606B1"/>
    <w:rsid w:val="30405223"/>
    <w:rsid w:val="30515682"/>
    <w:rsid w:val="30534F57"/>
    <w:rsid w:val="305A4537"/>
    <w:rsid w:val="305A62E5"/>
    <w:rsid w:val="305B205D"/>
    <w:rsid w:val="305D4027"/>
    <w:rsid w:val="305F1B4D"/>
    <w:rsid w:val="305F38FB"/>
    <w:rsid w:val="306B04F2"/>
    <w:rsid w:val="306E1D90"/>
    <w:rsid w:val="30717AD3"/>
    <w:rsid w:val="307373A7"/>
    <w:rsid w:val="30744ECD"/>
    <w:rsid w:val="307B59E5"/>
    <w:rsid w:val="307F7AFA"/>
    <w:rsid w:val="30806116"/>
    <w:rsid w:val="3086532C"/>
    <w:rsid w:val="308C054E"/>
    <w:rsid w:val="308E41E1"/>
    <w:rsid w:val="309317F7"/>
    <w:rsid w:val="309733E0"/>
    <w:rsid w:val="30A12166"/>
    <w:rsid w:val="30A9101A"/>
    <w:rsid w:val="30B8300C"/>
    <w:rsid w:val="30B97271"/>
    <w:rsid w:val="30BB2AFC"/>
    <w:rsid w:val="30BC0D4E"/>
    <w:rsid w:val="30BD0622"/>
    <w:rsid w:val="30BD6874"/>
    <w:rsid w:val="30C145B6"/>
    <w:rsid w:val="30CB0F91"/>
    <w:rsid w:val="30CD2F5B"/>
    <w:rsid w:val="30CE0A81"/>
    <w:rsid w:val="30D047F9"/>
    <w:rsid w:val="30D2231F"/>
    <w:rsid w:val="30EC0F07"/>
    <w:rsid w:val="30EE2ED1"/>
    <w:rsid w:val="30FE1366"/>
    <w:rsid w:val="310149B3"/>
    <w:rsid w:val="310B3A83"/>
    <w:rsid w:val="310B75DF"/>
    <w:rsid w:val="31102E48"/>
    <w:rsid w:val="31104BF6"/>
    <w:rsid w:val="312608BD"/>
    <w:rsid w:val="312E1520"/>
    <w:rsid w:val="313C59EB"/>
    <w:rsid w:val="31466869"/>
    <w:rsid w:val="31556AAC"/>
    <w:rsid w:val="315E3BB3"/>
    <w:rsid w:val="315F16D9"/>
    <w:rsid w:val="31602C50"/>
    <w:rsid w:val="31603DCF"/>
    <w:rsid w:val="31607C0D"/>
    <w:rsid w:val="3163566D"/>
    <w:rsid w:val="31644F41"/>
    <w:rsid w:val="31653193"/>
    <w:rsid w:val="3166515D"/>
    <w:rsid w:val="316B2774"/>
    <w:rsid w:val="316D2048"/>
    <w:rsid w:val="316F477E"/>
    <w:rsid w:val="31745184"/>
    <w:rsid w:val="31774C75"/>
    <w:rsid w:val="317B29B7"/>
    <w:rsid w:val="317C228B"/>
    <w:rsid w:val="317C672F"/>
    <w:rsid w:val="317E1D05"/>
    <w:rsid w:val="317E209A"/>
    <w:rsid w:val="318B0720"/>
    <w:rsid w:val="318B24CE"/>
    <w:rsid w:val="318F1FBE"/>
    <w:rsid w:val="319412B0"/>
    <w:rsid w:val="319B4E07"/>
    <w:rsid w:val="31A17F44"/>
    <w:rsid w:val="31A31F0E"/>
    <w:rsid w:val="31A517E2"/>
    <w:rsid w:val="31AD0696"/>
    <w:rsid w:val="31AF08B2"/>
    <w:rsid w:val="31AF440F"/>
    <w:rsid w:val="31B45EC9"/>
    <w:rsid w:val="31B61C41"/>
    <w:rsid w:val="31B732C3"/>
    <w:rsid w:val="31B9528D"/>
    <w:rsid w:val="31BC6B2B"/>
    <w:rsid w:val="31BE224A"/>
    <w:rsid w:val="31BE28A4"/>
    <w:rsid w:val="31C53C32"/>
    <w:rsid w:val="31C6078C"/>
    <w:rsid w:val="31D200FD"/>
    <w:rsid w:val="31D245A1"/>
    <w:rsid w:val="31D65E3F"/>
    <w:rsid w:val="31D8163C"/>
    <w:rsid w:val="31DB16A7"/>
    <w:rsid w:val="31DE2F46"/>
    <w:rsid w:val="31E87920"/>
    <w:rsid w:val="31EA3699"/>
    <w:rsid w:val="31EB2691"/>
    <w:rsid w:val="31EB409C"/>
    <w:rsid w:val="31EF0CAF"/>
    <w:rsid w:val="31FC517A"/>
    <w:rsid w:val="32024E86"/>
    <w:rsid w:val="32096496"/>
    <w:rsid w:val="320C7AB3"/>
    <w:rsid w:val="32116E77"/>
    <w:rsid w:val="32186458"/>
    <w:rsid w:val="3227669B"/>
    <w:rsid w:val="32290665"/>
    <w:rsid w:val="324234D5"/>
    <w:rsid w:val="32427031"/>
    <w:rsid w:val="324C4353"/>
    <w:rsid w:val="325154C6"/>
    <w:rsid w:val="32562ADC"/>
    <w:rsid w:val="325925CC"/>
    <w:rsid w:val="325B2EC3"/>
    <w:rsid w:val="32694A7A"/>
    <w:rsid w:val="326E42CA"/>
    <w:rsid w:val="32713DBA"/>
    <w:rsid w:val="327613D0"/>
    <w:rsid w:val="3276317E"/>
    <w:rsid w:val="327D275F"/>
    <w:rsid w:val="327F2033"/>
    <w:rsid w:val="3284589B"/>
    <w:rsid w:val="32847649"/>
    <w:rsid w:val="328767F8"/>
    <w:rsid w:val="3291620A"/>
    <w:rsid w:val="32943604"/>
    <w:rsid w:val="329655CE"/>
    <w:rsid w:val="329D070B"/>
    <w:rsid w:val="329F7BE7"/>
    <w:rsid w:val="32B141B6"/>
    <w:rsid w:val="32BF0681"/>
    <w:rsid w:val="32C06EB2"/>
    <w:rsid w:val="32C739DA"/>
    <w:rsid w:val="32C87613"/>
    <w:rsid w:val="32C97752"/>
    <w:rsid w:val="32CE2FBA"/>
    <w:rsid w:val="32CE6B16"/>
    <w:rsid w:val="32D0288E"/>
    <w:rsid w:val="32D81743"/>
    <w:rsid w:val="32DA76EB"/>
    <w:rsid w:val="32DD31FD"/>
    <w:rsid w:val="32DD3527"/>
    <w:rsid w:val="32E0684A"/>
    <w:rsid w:val="32E225C2"/>
    <w:rsid w:val="32E97DF4"/>
    <w:rsid w:val="32EC51EE"/>
    <w:rsid w:val="32F12805"/>
    <w:rsid w:val="32F3657D"/>
    <w:rsid w:val="32F81DE5"/>
    <w:rsid w:val="32F91B95"/>
    <w:rsid w:val="32FA3DAF"/>
    <w:rsid w:val="32FF13C6"/>
    <w:rsid w:val="330662B0"/>
    <w:rsid w:val="330C1EEB"/>
    <w:rsid w:val="331309CD"/>
    <w:rsid w:val="33150BE9"/>
    <w:rsid w:val="33152997"/>
    <w:rsid w:val="3316226B"/>
    <w:rsid w:val="331D35FA"/>
    <w:rsid w:val="331F3816"/>
    <w:rsid w:val="331F7372"/>
    <w:rsid w:val="332130EA"/>
    <w:rsid w:val="3321758E"/>
    <w:rsid w:val="33244988"/>
    <w:rsid w:val="332C7C77"/>
    <w:rsid w:val="3330332D"/>
    <w:rsid w:val="333170A5"/>
    <w:rsid w:val="33354DE7"/>
    <w:rsid w:val="33356B95"/>
    <w:rsid w:val="33370B5F"/>
    <w:rsid w:val="333C43C8"/>
    <w:rsid w:val="33437504"/>
    <w:rsid w:val="33446DD8"/>
    <w:rsid w:val="33466FF4"/>
    <w:rsid w:val="335039CF"/>
    <w:rsid w:val="33574D5E"/>
    <w:rsid w:val="335C05C6"/>
    <w:rsid w:val="33613E2E"/>
    <w:rsid w:val="33707BCD"/>
    <w:rsid w:val="33753436"/>
    <w:rsid w:val="337551E4"/>
    <w:rsid w:val="337A0A4C"/>
    <w:rsid w:val="337D0287"/>
    <w:rsid w:val="33813B89"/>
    <w:rsid w:val="33843679"/>
    <w:rsid w:val="338437CC"/>
    <w:rsid w:val="338673F1"/>
    <w:rsid w:val="3390201E"/>
    <w:rsid w:val="339733AC"/>
    <w:rsid w:val="339E0BDF"/>
    <w:rsid w:val="33A04957"/>
    <w:rsid w:val="33A333B0"/>
    <w:rsid w:val="33AD0E22"/>
    <w:rsid w:val="33AD7074"/>
    <w:rsid w:val="33B73A4E"/>
    <w:rsid w:val="33C76902"/>
    <w:rsid w:val="33C85C5B"/>
    <w:rsid w:val="33CA5530"/>
    <w:rsid w:val="33CD6DCE"/>
    <w:rsid w:val="33CF2B46"/>
    <w:rsid w:val="33D26ADA"/>
    <w:rsid w:val="33D91C17"/>
    <w:rsid w:val="33DF6B01"/>
    <w:rsid w:val="33E365F1"/>
    <w:rsid w:val="33E45AA6"/>
    <w:rsid w:val="33EC67CB"/>
    <w:rsid w:val="33F057A9"/>
    <w:rsid w:val="33F46D37"/>
    <w:rsid w:val="33FB393B"/>
    <w:rsid w:val="33FE167D"/>
    <w:rsid w:val="340E3613"/>
    <w:rsid w:val="341423B6"/>
    <w:rsid w:val="341D2EC6"/>
    <w:rsid w:val="34232E92"/>
    <w:rsid w:val="342804A8"/>
    <w:rsid w:val="3434509F"/>
    <w:rsid w:val="34360E17"/>
    <w:rsid w:val="34362BC5"/>
    <w:rsid w:val="34407822"/>
    <w:rsid w:val="3442156A"/>
    <w:rsid w:val="34476B80"/>
    <w:rsid w:val="34496D9C"/>
    <w:rsid w:val="344E4317"/>
    <w:rsid w:val="34504C29"/>
    <w:rsid w:val="345968B4"/>
    <w:rsid w:val="346040E6"/>
    <w:rsid w:val="346911EC"/>
    <w:rsid w:val="346C65E7"/>
    <w:rsid w:val="346D235F"/>
    <w:rsid w:val="347850B1"/>
    <w:rsid w:val="3478553A"/>
    <w:rsid w:val="34790D04"/>
    <w:rsid w:val="347B2CCE"/>
    <w:rsid w:val="34812F35"/>
    <w:rsid w:val="3482405C"/>
    <w:rsid w:val="349B511E"/>
    <w:rsid w:val="34A044E2"/>
    <w:rsid w:val="34A73AC3"/>
    <w:rsid w:val="34A75871"/>
    <w:rsid w:val="34AF2977"/>
    <w:rsid w:val="34B14942"/>
    <w:rsid w:val="34B34216"/>
    <w:rsid w:val="34B8182C"/>
    <w:rsid w:val="34B94A38"/>
    <w:rsid w:val="34BB131C"/>
    <w:rsid w:val="34BB30CA"/>
    <w:rsid w:val="34C06933"/>
    <w:rsid w:val="34C208FD"/>
    <w:rsid w:val="34C74165"/>
    <w:rsid w:val="34CC67D0"/>
    <w:rsid w:val="34CF6B76"/>
    <w:rsid w:val="34D81ECE"/>
    <w:rsid w:val="34DD74E5"/>
    <w:rsid w:val="34E16FD5"/>
    <w:rsid w:val="34E70033"/>
    <w:rsid w:val="34EE16F2"/>
    <w:rsid w:val="34F860CC"/>
    <w:rsid w:val="34FD2B01"/>
    <w:rsid w:val="34FF38FF"/>
    <w:rsid w:val="350031D3"/>
    <w:rsid w:val="35020CF9"/>
    <w:rsid w:val="35042CC3"/>
    <w:rsid w:val="350607E9"/>
    <w:rsid w:val="35150A2C"/>
    <w:rsid w:val="351729F7"/>
    <w:rsid w:val="351C000D"/>
    <w:rsid w:val="35223149"/>
    <w:rsid w:val="352D221A"/>
    <w:rsid w:val="353115DE"/>
    <w:rsid w:val="353C245D"/>
    <w:rsid w:val="35415CC5"/>
    <w:rsid w:val="35417A73"/>
    <w:rsid w:val="35421694"/>
    <w:rsid w:val="354237EC"/>
    <w:rsid w:val="35431A3E"/>
    <w:rsid w:val="35472BB0"/>
    <w:rsid w:val="354C01C6"/>
    <w:rsid w:val="35571045"/>
    <w:rsid w:val="355A0B35"/>
    <w:rsid w:val="355A28E3"/>
    <w:rsid w:val="355B43B6"/>
    <w:rsid w:val="355B6DC9"/>
    <w:rsid w:val="355D23D3"/>
    <w:rsid w:val="35613C72"/>
    <w:rsid w:val="356419B4"/>
    <w:rsid w:val="35675000"/>
    <w:rsid w:val="35727C2D"/>
    <w:rsid w:val="357B02D5"/>
    <w:rsid w:val="357C0A22"/>
    <w:rsid w:val="35845BB2"/>
    <w:rsid w:val="3589141A"/>
    <w:rsid w:val="358B0CEF"/>
    <w:rsid w:val="359E3147"/>
    <w:rsid w:val="359F0C3E"/>
    <w:rsid w:val="35A04E3D"/>
    <w:rsid w:val="35A324DC"/>
    <w:rsid w:val="35A87AF3"/>
    <w:rsid w:val="35AB75E3"/>
    <w:rsid w:val="35AE4A19"/>
    <w:rsid w:val="35B446E9"/>
    <w:rsid w:val="35B50461"/>
    <w:rsid w:val="35B5769E"/>
    <w:rsid w:val="35B77D36"/>
    <w:rsid w:val="35B83942"/>
    <w:rsid w:val="35B9585C"/>
    <w:rsid w:val="35BF4E3C"/>
    <w:rsid w:val="35D501BC"/>
    <w:rsid w:val="35EB79DF"/>
    <w:rsid w:val="35ED19A9"/>
    <w:rsid w:val="35ED5290"/>
    <w:rsid w:val="35EF6DAA"/>
    <w:rsid w:val="35F20D6E"/>
    <w:rsid w:val="35F25212"/>
    <w:rsid w:val="35F66AB0"/>
    <w:rsid w:val="35FC62E6"/>
    <w:rsid w:val="35FE7713"/>
    <w:rsid w:val="36070CBD"/>
    <w:rsid w:val="360F1920"/>
    <w:rsid w:val="36154A5C"/>
    <w:rsid w:val="36155A91"/>
    <w:rsid w:val="36160F00"/>
    <w:rsid w:val="361A2073"/>
    <w:rsid w:val="362A49AB"/>
    <w:rsid w:val="362A64C1"/>
    <w:rsid w:val="362D624A"/>
    <w:rsid w:val="36343134"/>
    <w:rsid w:val="364A2958"/>
    <w:rsid w:val="36581519"/>
    <w:rsid w:val="365D6B2F"/>
    <w:rsid w:val="366967ED"/>
    <w:rsid w:val="366C4FC4"/>
    <w:rsid w:val="366F2971"/>
    <w:rsid w:val="36700B3E"/>
    <w:rsid w:val="36714388"/>
    <w:rsid w:val="3679323D"/>
    <w:rsid w:val="367B5207"/>
    <w:rsid w:val="367F4CF7"/>
    <w:rsid w:val="36806379"/>
    <w:rsid w:val="368508BD"/>
    <w:rsid w:val="36851BE2"/>
    <w:rsid w:val="36897924"/>
    <w:rsid w:val="368A369C"/>
    <w:rsid w:val="36963DEF"/>
    <w:rsid w:val="36A55DE0"/>
    <w:rsid w:val="36A70B12"/>
    <w:rsid w:val="36A858D0"/>
    <w:rsid w:val="36AD2EE7"/>
    <w:rsid w:val="36AE1139"/>
    <w:rsid w:val="36B83D65"/>
    <w:rsid w:val="36BA60D8"/>
    <w:rsid w:val="36BB57C4"/>
    <w:rsid w:val="36BD137C"/>
    <w:rsid w:val="36C02C1A"/>
    <w:rsid w:val="36C721FA"/>
    <w:rsid w:val="36CC7811"/>
    <w:rsid w:val="36CF10AF"/>
    <w:rsid w:val="36D16BD5"/>
    <w:rsid w:val="36DE12F2"/>
    <w:rsid w:val="36DF5796"/>
    <w:rsid w:val="36E051C8"/>
    <w:rsid w:val="36E92171"/>
    <w:rsid w:val="36E96615"/>
    <w:rsid w:val="36EF34FF"/>
    <w:rsid w:val="36F31241"/>
    <w:rsid w:val="36F40B16"/>
    <w:rsid w:val="37002A60"/>
    <w:rsid w:val="370276D6"/>
    <w:rsid w:val="37092813"/>
    <w:rsid w:val="370C2303"/>
    <w:rsid w:val="37144D14"/>
    <w:rsid w:val="37152F66"/>
    <w:rsid w:val="371D006C"/>
    <w:rsid w:val="37216138"/>
    <w:rsid w:val="37227431"/>
    <w:rsid w:val="372431A9"/>
    <w:rsid w:val="37296A11"/>
    <w:rsid w:val="37357164"/>
    <w:rsid w:val="373830F8"/>
    <w:rsid w:val="374E0226"/>
    <w:rsid w:val="374E6478"/>
    <w:rsid w:val="375B21C6"/>
    <w:rsid w:val="375F0685"/>
    <w:rsid w:val="37783FC2"/>
    <w:rsid w:val="377A54BF"/>
    <w:rsid w:val="378105FB"/>
    <w:rsid w:val="37841E99"/>
    <w:rsid w:val="3787198A"/>
    <w:rsid w:val="378D51F2"/>
    <w:rsid w:val="379540A7"/>
    <w:rsid w:val="37A20571"/>
    <w:rsid w:val="37A631F2"/>
    <w:rsid w:val="37A75B88"/>
    <w:rsid w:val="37AB1B1C"/>
    <w:rsid w:val="37AD7642"/>
    <w:rsid w:val="37B061CF"/>
    <w:rsid w:val="37B7401D"/>
    <w:rsid w:val="37BF2ED1"/>
    <w:rsid w:val="37C14E9C"/>
    <w:rsid w:val="37C86280"/>
    <w:rsid w:val="37D50947"/>
    <w:rsid w:val="37D746BF"/>
    <w:rsid w:val="37DC7F27"/>
    <w:rsid w:val="37DF3574"/>
    <w:rsid w:val="37DF5322"/>
    <w:rsid w:val="37E64902"/>
    <w:rsid w:val="37EB1F18"/>
    <w:rsid w:val="37F903E9"/>
    <w:rsid w:val="37F963E3"/>
    <w:rsid w:val="37FA215C"/>
    <w:rsid w:val="3801173C"/>
    <w:rsid w:val="380354B4"/>
    <w:rsid w:val="38082ACA"/>
    <w:rsid w:val="381551E7"/>
    <w:rsid w:val="381A45AC"/>
    <w:rsid w:val="38206066"/>
    <w:rsid w:val="38325D99"/>
    <w:rsid w:val="38376F0C"/>
    <w:rsid w:val="383C09C6"/>
    <w:rsid w:val="384A6C3F"/>
    <w:rsid w:val="384B0C09"/>
    <w:rsid w:val="385408B5"/>
    <w:rsid w:val="38613F89"/>
    <w:rsid w:val="386677F1"/>
    <w:rsid w:val="38675A43"/>
    <w:rsid w:val="386A5533"/>
    <w:rsid w:val="386C12AB"/>
    <w:rsid w:val="387035A7"/>
    <w:rsid w:val="38765C86"/>
    <w:rsid w:val="387939C8"/>
    <w:rsid w:val="387B504A"/>
    <w:rsid w:val="387D5266"/>
    <w:rsid w:val="388E7474"/>
    <w:rsid w:val="38925C27"/>
    <w:rsid w:val="3894610C"/>
    <w:rsid w:val="389820A0"/>
    <w:rsid w:val="38997BC6"/>
    <w:rsid w:val="389D76B7"/>
    <w:rsid w:val="389E6F8B"/>
    <w:rsid w:val="38A04AB1"/>
    <w:rsid w:val="38AD71CE"/>
    <w:rsid w:val="38B10580"/>
    <w:rsid w:val="38B8629F"/>
    <w:rsid w:val="38BD1B07"/>
    <w:rsid w:val="38C20ECB"/>
    <w:rsid w:val="38CA4224"/>
    <w:rsid w:val="38CD161E"/>
    <w:rsid w:val="38CF35E8"/>
    <w:rsid w:val="38D155B2"/>
    <w:rsid w:val="38D31D51"/>
    <w:rsid w:val="38D429AD"/>
    <w:rsid w:val="38D86941"/>
    <w:rsid w:val="38D931D4"/>
    <w:rsid w:val="38D97FC3"/>
    <w:rsid w:val="38DF5E1D"/>
    <w:rsid w:val="38E4489E"/>
    <w:rsid w:val="38E47094"/>
    <w:rsid w:val="38E56968"/>
    <w:rsid w:val="38EC419A"/>
    <w:rsid w:val="38EE7F12"/>
    <w:rsid w:val="38EF77E6"/>
    <w:rsid w:val="38F35529"/>
    <w:rsid w:val="38F60B75"/>
    <w:rsid w:val="38FE7A29"/>
    <w:rsid w:val="390908A8"/>
    <w:rsid w:val="39096AFA"/>
    <w:rsid w:val="390C261A"/>
    <w:rsid w:val="390E5EBF"/>
    <w:rsid w:val="391079F7"/>
    <w:rsid w:val="393274E6"/>
    <w:rsid w:val="39363667"/>
    <w:rsid w:val="3938118D"/>
    <w:rsid w:val="393D2C48"/>
    <w:rsid w:val="39400042"/>
    <w:rsid w:val="3942025E"/>
    <w:rsid w:val="394915ED"/>
    <w:rsid w:val="3949339B"/>
    <w:rsid w:val="394C4C39"/>
    <w:rsid w:val="3962620A"/>
    <w:rsid w:val="39697599"/>
    <w:rsid w:val="398E34A3"/>
    <w:rsid w:val="39902D77"/>
    <w:rsid w:val="3995213C"/>
    <w:rsid w:val="399B1280"/>
    <w:rsid w:val="399D5494"/>
    <w:rsid w:val="399F745E"/>
    <w:rsid w:val="39AE31FE"/>
    <w:rsid w:val="39AE76A2"/>
    <w:rsid w:val="39B36A66"/>
    <w:rsid w:val="39C11183"/>
    <w:rsid w:val="39C432A6"/>
    <w:rsid w:val="39C908AC"/>
    <w:rsid w:val="39D215E2"/>
    <w:rsid w:val="39D37108"/>
    <w:rsid w:val="39D54C2E"/>
    <w:rsid w:val="39D709A6"/>
    <w:rsid w:val="39D92970"/>
    <w:rsid w:val="39DD3AE3"/>
    <w:rsid w:val="39DF3CFF"/>
    <w:rsid w:val="39F92BBE"/>
    <w:rsid w:val="3A00289B"/>
    <w:rsid w:val="3A013C75"/>
    <w:rsid w:val="3A0177D1"/>
    <w:rsid w:val="3A033549"/>
    <w:rsid w:val="3A06303A"/>
    <w:rsid w:val="3A0B68A2"/>
    <w:rsid w:val="3A0D261A"/>
    <w:rsid w:val="3A103EB8"/>
    <w:rsid w:val="3A105C66"/>
    <w:rsid w:val="3A1A6AE5"/>
    <w:rsid w:val="3A1E4827"/>
    <w:rsid w:val="3A241712"/>
    <w:rsid w:val="3A263E74"/>
    <w:rsid w:val="3A267238"/>
    <w:rsid w:val="3A287454"/>
    <w:rsid w:val="3A2B484E"/>
    <w:rsid w:val="3A2F2590"/>
    <w:rsid w:val="3A331955"/>
    <w:rsid w:val="3A3758E9"/>
    <w:rsid w:val="3A390EBB"/>
    <w:rsid w:val="3A392571"/>
    <w:rsid w:val="3A3A1E13"/>
    <w:rsid w:val="3A3A2CE3"/>
    <w:rsid w:val="3A405562"/>
    <w:rsid w:val="3A4122C4"/>
    <w:rsid w:val="3A4164A5"/>
    <w:rsid w:val="3A52627F"/>
    <w:rsid w:val="3A557B1D"/>
    <w:rsid w:val="3A563FC1"/>
    <w:rsid w:val="3A575643"/>
    <w:rsid w:val="3A687850"/>
    <w:rsid w:val="3A6A7A6C"/>
    <w:rsid w:val="3A6B7341"/>
    <w:rsid w:val="3A742699"/>
    <w:rsid w:val="3A79380C"/>
    <w:rsid w:val="3A7C32FC"/>
    <w:rsid w:val="3A7F6C83"/>
    <w:rsid w:val="3A836438"/>
    <w:rsid w:val="3A865D2F"/>
    <w:rsid w:val="3A8A77C7"/>
    <w:rsid w:val="3A8D375B"/>
    <w:rsid w:val="3A914FF9"/>
    <w:rsid w:val="3A976388"/>
    <w:rsid w:val="3A9E7716"/>
    <w:rsid w:val="3AAA7E69"/>
    <w:rsid w:val="3AAF1923"/>
    <w:rsid w:val="3AB02FA5"/>
    <w:rsid w:val="3AB26D1E"/>
    <w:rsid w:val="3AB50B8E"/>
    <w:rsid w:val="3AB807D8"/>
    <w:rsid w:val="3AC76C6D"/>
    <w:rsid w:val="3AC87DE6"/>
    <w:rsid w:val="3ACD3B57"/>
    <w:rsid w:val="3ADE7B13"/>
    <w:rsid w:val="3AE113B1"/>
    <w:rsid w:val="3AE710BD"/>
    <w:rsid w:val="3AEA52B2"/>
    <w:rsid w:val="3AED5F33"/>
    <w:rsid w:val="3AEE41FA"/>
    <w:rsid w:val="3AF13CEA"/>
    <w:rsid w:val="3AF66579"/>
    <w:rsid w:val="3AF92B9E"/>
    <w:rsid w:val="3AFB6916"/>
    <w:rsid w:val="3AFD268F"/>
    <w:rsid w:val="3B027CA5"/>
    <w:rsid w:val="3B037579"/>
    <w:rsid w:val="3B06606E"/>
    <w:rsid w:val="3B0C28D2"/>
    <w:rsid w:val="3B135A0E"/>
    <w:rsid w:val="3B190B4B"/>
    <w:rsid w:val="3B1B48C3"/>
    <w:rsid w:val="3B20637D"/>
    <w:rsid w:val="3B293484"/>
    <w:rsid w:val="3B3748BC"/>
    <w:rsid w:val="3B4677B8"/>
    <w:rsid w:val="3B4E2EEA"/>
    <w:rsid w:val="3B5E2A01"/>
    <w:rsid w:val="3B5F14D7"/>
    <w:rsid w:val="3B6224F2"/>
    <w:rsid w:val="3B6444BC"/>
    <w:rsid w:val="3B6A75F8"/>
    <w:rsid w:val="3B6B584A"/>
    <w:rsid w:val="3B7010B2"/>
    <w:rsid w:val="3B702E61"/>
    <w:rsid w:val="3B732951"/>
    <w:rsid w:val="3B765F9D"/>
    <w:rsid w:val="3B7A5A8D"/>
    <w:rsid w:val="3B7F12F6"/>
    <w:rsid w:val="3B842468"/>
    <w:rsid w:val="3B8763FC"/>
    <w:rsid w:val="3B8A37F6"/>
    <w:rsid w:val="3B914B85"/>
    <w:rsid w:val="3B994330"/>
    <w:rsid w:val="3B9A1C8B"/>
    <w:rsid w:val="3BA23236"/>
    <w:rsid w:val="3BA64AD4"/>
    <w:rsid w:val="3BAD5C8E"/>
    <w:rsid w:val="3BB0325D"/>
    <w:rsid w:val="3BB30F9F"/>
    <w:rsid w:val="3BB52F69"/>
    <w:rsid w:val="3BB63308"/>
    <w:rsid w:val="3BB865B6"/>
    <w:rsid w:val="3BC1546A"/>
    <w:rsid w:val="3BC211E2"/>
    <w:rsid w:val="3BC66F24"/>
    <w:rsid w:val="3BCC3E0F"/>
    <w:rsid w:val="3BDC6748"/>
    <w:rsid w:val="3BDD7DCA"/>
    <w:rsid w:val="3BDE2B43"/>
    <w:rsid w:val="3BE13D5E"/>
    <w:rsid w:val="3BE744EC"/>
    <w:rsid w:val="3BE86E9B"/>
    <w:rsid w:val="3BFF7230"/>
    <w:rsid w:val="3C033461"/>
    <w:rsid w:val="3C0435A9"/>
    <w:rsid w:val="3C067321"/>
    <w:rsid w:val="3C074E47"/>
    <w:rsid w:val="3C0B4937"/>
    <w:rsid w:val="3C0D4B53"/>
    <w:rsid w:val="3C140102"/>
    <w:rsid w:val="3C1D466B"/>
    <w:rsid w:val="3C241E9D"/>
    <w:rsid w:val="3C244220"/>
    <w:rsid w:val="3C28373B"/>
    <w:rsid w:val="3C2E0626"/>
    <w:rsid w:val="3C33408F"/>
    <w:rsid w:val="3C335C3C"/>
    <w:rsid w:val="3C3976F6"/>
    <w:rsid w:val="3C3F0A85"/>
    <w:rsid w:val="3C430575"/>
    <w:rsid w:val="3C522566"/>
    <w:rsid w:val="3C616C4D"/>
    <w:rsid w:val="3C687FDC"/>
    <w:rsid w:val="3C850B8E"/>
    <w:rsid w:val="3C85300E"/>
    <w:rsid w:val="3C857E13"/>
    <w:rsid w:val="3C862210"/>
    <w:rsid w:val="3C8944AF"/>
    <w:rsid w:val="3C8E3CF4"/>
    <w:rsid w:val="3C905550"/>
    <w:rsid w:val="3C9568F7"/>
    <w:rsid w:val="3C9F32D2"/>
    <w:rsid w:val="3CA20B6B"/>
    <w:rsid w:val="3CA321C2"/>
    <w:rsid w:val="3CA37266"/>
    <w:rsid w:val="3CAE5FD1"/>
    <w:rsid w:val="3CB46D7D"/>
    <w:rsid w:val="3CB6098D"/>
    <w:rsid w:val="3CB72D11"/>
    <w:rsid w:val="3CBE7BFC"/>
    <w:rsid w:val="3CC03974"/>
    <w:rsid w:val="3CC32762"/>
    <w:rsid w:val="3CC60AEE"/>
    <w:rsid w:val="3CC6538C"/>
    <w:rsid w:val="3CCD7E3F"/>
    <w:rsid w:val="3CD61CFF"/>
    <w:rsid w:val="3CD64F45"/>
    <w:rsid w:val="3CDB5C3F"/>
    <w:rsid w:val="3CDB69FF"/>
    <w:rsid w:val="3CDC62D4"/>
    <w:rsid w:val="3CED04E1"/>
    <w:rsid w:val="3CFE26EE"/>
    <w:rsid w:val="3D000831"/>
    <w:rsid w:val="3D015D3A"/>
    <w:rsid w:val="3D0A2E41"/>
    <w:rsid w:val="3D0F0457"/>
    <w:rsid w:val="3D0F48FB"/>
    <w:rsid w:val="3D14081D"/>
    <w:rsid w:val="3D1837B0"/>
    <w:rsid w:val="3D1C4922"/>
    <w:rsid w:val="3D2008B6"/>
    <w:rsid w:val="3D22018A"/>
    <w:rsid w:val="3D251A29"/>
    <w:rsid w:val="3D281519"/>
    <w:rsid w:val="3D2A5291"/>
    <w:rsid w:val="3D2C725B"/>
    <w:rsid w:val="3D346110"/>
    <w:rsid w:val="3D3659E4"/>
    <w:rsid w:val="3D4F2F4A"/>
    <w:rsid w:val="3D6267D9"/>
    <w:rsid w:val="3D6469F5"/>
    <w:rsid w:val="3D6562C9"/>
    <w:rsid w:val="3D69400B"/>
    <w:rsid w:val="3D6C7658"/>
    <w:rsid w:val="3D7309E6"/>
    <w:rsid w:val="3D766728"/>
    <w:rsid w:val="3D820C29"/>
    <w:rsid w:val="3D891FB8"/>
    <w:rsid w:val="3D985399"/>
    <w:rsid w:val="3D9B1CEB"/>
    <w:rsid w:val="3D9B618F"/>
    <w:rsid w:val="3DA52B6A"/>
    <w:rsid w:val="3DA6700D"/>
    <w:rsid w:val="3DB64D77"/>
    <w:rsid w:val="3DB8289D"/>
    <w:rsid w:val="3DC41242"/>
    <w:rsid w:val="3DC54FBA"/>
    <w:rsid w:val="3DC7281A"/>
    <w:rsid w:val="3DD00F88"/>
    <w:rsid w:val="3DD27E02"/>
    <w:rsid w:val="3DD376D7"/>
    <w:rsid w:val="3DD53583"/>
    <w:rsid w:val="3DDC47DD"/>
    <w:rsid w:val="3DDD0555"/>
    <w:rsid w:val="3DE10046"/>
    <w:rsid w:val="3DE2791A"/>
    <w:rsid w:val="3DE74F30"/>
    <w:rsid w:val="3DF24001"/>
    <w:rsid w:val="3DF31B27"/>
    <w:rsid w:val="3DF37D79"/>
    <w:rsid w:val="3DFB09DB"/>
    <w:rsid w:val="3DFC4E7F"/>
    <w:rsid w:val="3DFD6502"/>
    <w:rsid w:val="3E012496"/>
    <w:rsid w:val="3E09759C"/>
    <w:rsid w:val="3E0C4997"/>
    <w:rsid w:val="3E155F41"/>
    <w:rsid w:val="3E1675C3"/>
    <w:rsid w:val="3E1C107E"/>
    <w:rsid w:val="3E1D6BA4"/>
    <w:rsid w:val="3E216694"/>
    <w:rsid w:val="3E2B306F"/>
    <w:rsid w:val="3E2D328B"/>
    <w:rsid w:val="3E2E0DB1"/>
    <w:rsid w:val="3E337CA1"/>
    <w:rsid w:val="3E353EED"/>
    <w:rsid w:val="3E3D0FF4"/>
    <w:rsid w:val="3E3D2DA2"/>
    <w:rsid w:val="3E481E73"/>
    <w:rsid w:val="3E491747"/>
    <w:rsid w:val="3E4E3201"/>
    <w:rsid w:val="3E4F1194"/>
    <w:rsid w:val="3E56715C"/>
    <w:rsid w:val="3E5C147A"/>
    <w:rsid w:val="3E5F71BC"/>
    <w:rsid w:val="3E636CAD"/>
    <w:rsid w:val="3E693D72"/>
    <w:rsid w:val="3E6F439C"/>
    <w:rsid w:val="3E7013C9"/>
    <w:rsid w:val="3E733B27"/>
    <w:rsid w:val="3E734A16"/>
    <w:rsid w:val="3E740EBA"/>
    <w:rsid w:val="3E7C38CA"/>
    <w:rsid w:val="3E832EAB"/>
    <w:rsid w:val="3E844952"/>
    <w:rsid w:val="3E86299B"/>
    <w:rsid w:val="3E8751F4"/>
    <w:rsid w:val="3E8B1D5F"/>
    <w:rsid w:val="3E8D3D29"/>
    <w:rsid w:val="3E921340"/>
    <w:rsid w:val="3E9B1F29"/>
    <w:rsid w:val="3E9E7CE5"/>
    <w:rsid w:val="3EA01CAF"/>
    <w:rsid w:val="3EA13331"/>
    <w:rsid w:val="3EAD43CC"/>
    <w:rsid w:val="3EAD7F28"/>
    <w:rsid w:val="3EAF3CA0"/>
    <w:rsid w:val="3EB77273"/>
    <w:rsid w:val="3EBB0897"/>
    <w:rsid w:val="3EBE2135"/>
    <w:rsid w:val="3EC139D3"/>
    <w:rsid w:val="3EC15781"/>
    <w:rsid w:val="3EC55271"/>
    <w:rsid w:val="3EC66904"/>
    <w:rsid w:val="3EC6723B"/>
    <w:rsid w:val="3EC86B10"/>
    <w:rsid w:val="3ED23E32"/>
    <w:rsid w:val="3ED2798E"/>
    <w:rsid w:val="3ED5122D"/>
    <w:rsid w:val="3ED90D1D"/>
    <w:rsid w:val="3EDC6A5F"/>
    <w:rsid w:val="3EF26282"/>
    <w:rsid w:val="3EF618CF"/>
    <w:rsid w:val="3EF6201A"/>
    <w:rsid w:val="3EFB5137"/>
    <w:rsid w:val="3F00051C"/>
    <w:rsid w:val="3F0062A9"/>
    <w:rsid w:val="3F051B12"/>
    <w:rsid w:val="3F057D64"/>
    <w:rsid w:val="3F0A7128"/>
    <w:rsid w:val="3F0F2990"/>
    <w:rsid w:val="3F147FA7"/>
    <w:rsid w:val="3F2006FA"/>
    <w:rsid w:val="3F214472"/>
    <w:rsid w:val="3F285800"/>
    <w:rsid w:val="3F2C3542"/>
    <w:rsid w:val="3F2D1069"/>
    <w:rsid w:val="3F2E7B74"/>
    <w:rsid w:val="3F32667F"/>
    <w:rsid w:val="3F3423F7"/>
    <w:rsid w:val="3F4563B2"/>
    <w:rsid w:val="3F4C14EF"/>
    <w:rsid w:val="3F4C624D"/>
    <w:rsid w:val="3F4E170B"/>
    <w:rsid w:val="3F4F5483"/>
    <w:rsid w:val="3F5D7BA0"/>
    <w:rsid w:val="3F5E7474"/>
    <w:rsid w:val="3F632CDC"/>
    <w:rsid w:val="3F634A8A"/>
    <w:rsid w:val="3F6F78D3"/>
    <w:rsid w:val="3F743F25"/>
    <w:rsid w:val="3F746C97"/>
    <w:rsid w:val="3F76656C"/>
    <w:rsid w:val="3F780536"/>
    <w:rsid w:val="3F7B1DD4"/>
    <w:rsid w:val="3F7C275B"/>
    <w:rsid w:val="3F8E1B07"/>
    <w:rsid w:val="3F9410E8"/>
    <w:rsid w:val="3F980BD8"/>
    <w:rsid w:val="3F9A4950"/>
    <w:rsid w:val="3FA7706D"/>
    <w:rsid w:val="3FA96941"/>
    <w:rsid w:val="3FAE21A9"/>
    <w:rsid w:val="3FBB0422"/>
    <w:rsid w:val="3FC45529"/>
    <w:rsid w:val="3FD662F8"/>
    <w:rsid w:val="3FD87226"/>
    <w:rsid w:val="3FDA11F0"/>
    <w:rsid w:val="3FEC2CD2"/>
    <w:rsid w:val="3FF35E0E"/>
    <w:rsid w:val="3FF52A66"/>
    <w:rsid w:val="3FFB2F15"/>
    <w:rsid w:val="40063D93"/>
    <w:rsid w:val="40155D85"/>
    <w:rsid w:val="40183AC7"/>
    <w:rsid w:val="401F30A7"/>
    <w:rsid w:val="4021297B"/>
    <w:rsid w:val="402204A1"/>
    <w:rsid w:val="402406BD"/>
    <w:rsid w:val="40273D0A"/>
    <w:rsid w:val="4028049C"/>
    <w:rsid w:val="403A57EB"/>
    <w:rsid w:val="403D52DB"/>
    <w:rsid w:val="40420B44"/>
    <w:rsid w:val="40672358"/>
    <w:rsid w:val="407056B1"/>
    <w:rsid w:val="40721429"/>
    <w:rsid w:val="40736643"/>
    <w:rsid w:val="40740D19"/>
    <w:rsid w:val="407A208B"/>
    <w:rsid w:val="407F76A2"/>
    <w:rsid w:val="40850A58"/>
    <w:rsid w:val="408829FA"/>
    <w:rsid w:val="408A49C4"/>
    <w:rsid w:val="408E5B37"/>
    <w:rsid w:val="40A1586A"/>
    <w:rsid w:val="40B05AAD"/>
    <w:rsid w:val="40B21825"/>
    <w:rsid w:val="40C4164F"/>
    <w:rsid w:val="40C907D4"/>
    <w:rsid w:val="40C96B6F"/>
    <w:rsid w:val="40CB28E7"/>
    <w:rsid w:val="40CC076D"/>
    <w:rsid w:val="40D479EE"/>
    <w:rsid w:val="40D95004"/>
    <w:rsid w:val="40E63BC5"/>
    <w:rsid w:val="40E65973"/>
    <w:rsid w:val="40EA5463"/>
    <w:rsid w:val="40EA7211"/>
    <w:rsid w:val="40F655CB"/>
    <w:rsid w:val="40FA31CC"/>
    <w:rsid w:val="40FA4F7A"/>
    <w:rsid w:val="40FE0F0E"/>
    <w:rsid w:val="40FE4A6B"/>
    <w:rsid w:val="410D4CAE"/>
    <w:rsid w:val="410F0A26"/>
    <w:rsid w:val="411249BA"/>
    <w:rsid w:val="411E335F"/>
    <w:rsid w:val="41276809"/>
    <w:rsid w:val="413A7927"/>
    <w:rsid w:val="41451B89"/>
    <w:rsid w:val="41547C7E"/>
    <w:rsid w:val="41594397"/>
    <w:rsid w:val="415E19AD"/>
    <w:rsid w:val="4162324B"/>
    <w:rsid w:val="41670B1B"/>
    <w:rsid w:val="4168282C"/>
    <w:rsid w:val="416845DA"/>
    <w:rsid w:val="416A2100"/>
    <w:rsid w:val="416E7E42"/>
    <w:rsid w:val="417411D1"/>
    <w:rsid w:val="41750C2C"/>
    <w:rsid w:val="4176306B"/>
    <w:rsid w:val="418D5DEE"/>
    <w:rsid w:val="418F7DB9"/>
    <w:rsid w:val="41931657"/>
    <w:rsid w:val="419E1DAA"/>
    <w:rsid w:val="41A43864"/>
    <w:rsid w:val="41AA074E"/>
    <w:rsid w:val="41B96BE3"/>
    <w:rsid w:val="41BD3036"/>
    <w:rsid w:val="41BE41FA"/>
    <w:rsid w:val="41C3426E"/>
    <w:rsid w:val="41C37A62"/>
    <w:rsid w:val="41C71300"/>
    <w:rsid w:val="41CE317A"/>
    <w:rsid w:val="41D13F2D"/>
    <w:rsid w:val="41D34149"/>
    <w:rsid w:val="41D63C39"/>
    <w:rsid w:val="41D67795"/>
    <w:rsid w:val="41E22A2F"/>
    <w:rsid w:val="41E2438C"/>
    <w:rsid w:val="41E50F2A"/>
    <w:rsid w:val="41E80262"/>
    <w:rsid w:val="41E9396D"/>
    <w:rsid w:val="41EA4FEF"/>
    <w:rsid w:val="41EC6FB9"/>
    <w:rsid w:val="41F30347"/>
    <w:rsid w:val="41F8595E"/>
    <w:rsid w:val="420E33D3"/>
    <w:rsid w:val="420F2CA7"/>
    <w:rsid w:val="42132798"/>
    <w:rsid w:val="42167C36"/>
    <w:rsid w:val="4217035F"/>
    <w:rsid w:val="421D53C4"/>
    <w:rsid w:val="421F113C"/>
    <w:rsid w:val="42276243"/>
    <w:rsid w:val="423821FE"/>
    <w:rsid w:val="42446DF5"/>
    <w:rsid w:val="42497F67"/>
    <w:rsid w:val="425132C0"/>
    <w:rsid w:val="42537038"/>
    <w:rsid w:val="425608D6"/>
    <w:rsid w:val="425A6618"/>
    <w:rsid w:val="42672AE3"/>
    <w:rsid w:val="426C3C56"/>
    <w:rsid w:val="42756FAE"/>
    <w:rsid w:val="42772D26"/>
    <w:rsid w:val="427C15DE"/>
    <w:rsid w:val="427C1FAA"/>
    <w:rsid w:val="427F607F"/>
    <w:rsid w:val="428216CB"/>
    <w:rsid w:val="428B67D2"/>
    <w:rsid w:val="429513FF"/>
    <w:rsid w:val="42957651"/>
    <w:rsid w:val="429F5DD9"/>
    <w:rsid w:val="42A11B51"/>
    <w:rsid w:val="42AB6E74"/>
    <w:rsid w:val="42B23D5F"/>
    <w:rsid w:val="42B31885"/>
    <w:rsid w:val="42BC79F2"/>
    <w:rsid w:val="42BF022A"/>
    <w:rsid w:val="42BF7889"/>
    <w:rsid w:val="42C6780A"/>
    <w:rsid w:val="42C910A8"/>
    <w:rsid w:val="42CA554C"/>
    <w:rsid w:val="42CA5629"/>
    <w:rsid w:val="42CC6F80"/>
    <w:rsid w:val="42D068DB"/>
    <w:rsid w:val="42D24401"/>
    <w:rsid w:val="42D66C22"/>
    <w:rsid w:val="42D737C5"/>
    <w:rsid w:val="42D842B8"/>
    <w:rsid w:val="42DB79D7"/>
    <w:rsid w:val="42ED123B"/>
    <w:rsid w:val="42EF4FB3"/>
    <w:rsid w:val="42EF518C"/>
    <w:rsid w:val="42F257F0"/>
    <w:rsid w:val="42FC147E"/>
    <w:rsid w:val="42FE6FA4"/>
    <w:rsid w:val="430D5439"/>
    <w:rsid w:val="431F6F1A"/>
    <w:rsid w:val="432644BC"/>
    <w:rsid w:val="432D5ADB"/>
    <w:rsid w:val="43362BE2"/>
    <w:rsid w:val="43394480"/>
    <w:rsid w:val="433B1FA6"/>
    <w:rsid w:val="434370AD"/>
    <w:rsid w:val="434B5F61"/>
    <w:rsid w:val="434B7D0F"/>
    <w:rsid w:val="434E3411"/>
    <w:rsid w:val="4352109E"/>
    <w:rsid w:val="4355648A"/>
    <w:rsid w:val="43570DAA"/>
    <w:rsid w:val="435766B4"/>
    <w:rsid w:val="43657023"/>
    <w:rsid w:val="43681D2F"/>
    <w:rsid w:val="436C6603"/>
    <w:rsid w:val="436F1C50"/>
    <w:rsid w:val="436F39FE"/>
    <w:rsid w:val="43727992"/>
    <w:rsid w:val="4374370A"/>
    <w:rsid w:val="43747266"/>
    <w:rsid w:val="43770B04"/>
    <w:rsid w:val="4379487C"/>
    <w:rsid w:val="43811983"/>
    <w:rsid w:val="43853221"/>
    <w:rsid w:val="4389537A"/>
    <w:rsid w:val="438D20D6"/>
    <w:rsid w:val="43943464"/>
    <w:rsid w:val="439873F8"/>
    <w:rsid w:val="439C056B"/>
    <w:rsid w:val="43A40153"/>
    <w:rsid w:val="43A92A16"/>
    <w:rsid w:val="43AC4C52"/>
    <w:rsid w:val="43B14016"/>
    <w:rsid w:val="43B43B06"/>
    <w:rsid w:val="43B6162D"/>
    <w:rsid w:val="43B65AD0"/>
    <w:rsid w:val="43B9111D"/>
    <w:rsid w:val="43B92ECB"/>
    <w:rsid w:val="43BC29BB"/>
    <w:rsid w:val="43BD0C0D"/>
    <w:rsid w:val="43BE6733"/>
    <w:rsid w:val="43C95804"/>
    <w:rsid w:val="43D1290A"/>
    <w:rsid w:val="43D85A47"/>
    <w:rsid w:val="43D9531B"/>
    <w:rsid w:val="43DB1093"/>
    <w:rsid w:val="43DE09D2"/>
    <w:rsid w:val="43DF4619"/>
    <w:rsid w:val="43E066A9"/>
    <w:rsid w:val="43E77A38"/>
    <w:rsid w:val="43E837B0"/>
    <w:rsid w:val="43F7309A"/>
    <w:rsid w:val="43F834E8"/>
    <w:rsid w:val="43FB7987"/>
    <w:rsid w:val="43FD725B"/>
    <w:rsid w:val="43FE2FD4"/>
    <w:rsid w:val="44020D16"/>
    <w:rsid w:val="4404683C"/>
    <w:rsid w:val="440920A4"/>
    <w:rsid w:val="440A7BCA"/>
    <w:rsid w:val="440C3942"/>
    <w:rsid w:val="441045ED"/>
    <w:rsid w:val="441237C0"/>
    <w:rsid w:val="441B1DD7"/>
    <w:rsid w:val="442073EE"/>
    <w:rsid w:val="442742D8"/>
    <w:rsid w:val="44316F05"/>
    <w:rsid w:val="44354C47"/>
    <w:rsid w:val="4436451B"/>
    <w:rsid w:val="443B06AD"/>
    <w:rsid w:val="44444E8A"/>
    <w:rsid w:val="44454637"/>
    <w:rsid w:val="444F63D4"/>
    <w:rsid w:val="44552246"/>
    <w:rsid w:val="44586B88"/>
    <w:rsid w:val="446217B4"/>
    <w:rsid w:val="44676DCB"/>
    <w:rsid w:val="446B68BB"/>
    <w:rsid w:val="44703ED1"/>
    <w:rsid w:val="447137A5"/>
    <w:rsid w:val="447A0A62"/>
    <w:rsid w:val="447B3F61"/>
    <w:rsid w:val="448D4A83"/>
    <w:rsid w:val="448E07FB"/>
    <w:rsid w:val="449000D0"/>
    <w:rsid w:val="449F6565"/>
    <w:rsid w:val="44A122DD"/>
    <w:rsid w:val="44AB6CB7"/>
    <w:rsid w:val="44AB77B4"/>
    <w:rsid w:val="44B00772"/>
    <w:rsid w:val="44B02520"/>
    <w:rsid w:val="44BC7116"/>
    <w:rsid w:val="44C1472D"/>
    <w:rsid w:val="44C67F95"/>
    <w:rsid w:val="44C925A2"/>
    <w:rsid w:val="44CB1108"/>
    <w:rsid w:val="44CE0BF8"/>
    <w:rsid w:val="44CE6739"/>
    <w:rsid w:val="44D02BC2"/>
    <w:rsid w:val="44D0671E"/>
    <w:rsid w:val="44D37FBC"/>
    <w:rsid w:val="44DD0E3B"/>
    <w:rsid w:val="44E03985"/>
    <w:rsid w:val="44E126D9"/>
    <w:rsid w:val="44E4041B"/>
    <w:rsid w:val="44E421C9"/>
    <w:rsid w:val="44E93C84"/>
    <w:rsid w:val="44EC25D6"/>
    <w:rsid w:val="44ED18E6"/>
    <w:rsid w:val="44F22B38"/>
    <w:rsid w:val="44F91C30"/>
    <w:rsid w:val="44FA19ED"/>
    <w:rsid w:val="44FF5255"/>
    <w:rsid w:val="450308A1"/>
    <w:rsid w:val="45041480"/>
    <w:rsid w:val="450B0FB3"/>
    <w:rsid w:val="451900C5"/>
    <w:rsid w:val="451A4D22"/>
    <w:rsid w:val="451F3201"/>
    <w:rsid w:val="45322F35"/>
    <w:rsid w:val="45350C77"/>
    <w:rsid w:val="4537689D"/>
    <w:rsid w:val="453E7B2C"/>
    <w:rsid w:val="453F38A4"/>
    <w:rsid w:val="4543109C"/>
    <w:rsid w:val="45433394"/>
    <w:rsid w:val="45435142"/>
    <w:rsid w:val="45464C32"/>
    <w:rsid w:val="454F3AE7"/>
    <w:rsid w:val="45513D03"/>
    <w:rsid w:val="455235D7"/>
    <w:rsid w:val="45525385"/>
    <w:rsid w:val="45572644"/>
    <w:rsid w:val="455949F6"/>
    <w:rsid w:val="455E2A37"/>
    <w:rsid w:val="45723C79"/>
    <w:rsid w:val="4577128F"/>
    <w:rsid w:val="4582193B"/>
    <w:rsid w:val="45857508"/>
    <w:rsid w:val="45863281"/>
    <w:rsid w:val="45877724"/>
    <w:rsid w:val="4588349D"/>
    <w:rsid w:val="45927E77"/>
    <w:rsid w:val="459B4F7E"/>
    <w:rsid w:val="459C0CF6"/>
    <w:rsid w:val="45A007E6"/>
    <w:rsid w:val="45A0154F"/>
    <w:rsid w:val="45A45D5E"/>
    <w:rsid w:val="45A73923"/>
    <w:rsid w:val="45AF0A29"/>
    <w:rsid w:val="45AF4585"/>
    <w:rsid w:val="45B222C8"/>
    <w:rsid w:val="45CD7101"/>
    <w:rsid w:val="45D60869"/>
    <w:rsid w:val="45DB35CC"/>
    <w:rsid w:val="45DD7344"/>
    <w:rsid w:val="45EA683B"/>
    <w:rsid w:val="45EA7CB3"/>
    <w:rsid w:val="45ED50AE"/>
    <w:rsid w:val="45EE1552"/>
    <w:rsid w:val="45F40BF9"/>
    <w:rsid w:val="46026DAB"/>
    <w:rsid w:val="460615EF"/>
    <w:rsid w:val="46072613"/>
    <w:rsid w:val="46081DC4"/>
    <w:rsid w:val="4609638B"/>
    <w:rsid w:val="460C5E7C"/>
    <w:rsid w:val="460D1B71"/>
    <w:rsid w:val="46184218"/>
    <w:rsid w:val="46207231"/>
    <w:rsid w:val="46222FA9"/>
    <w:rsid w:val="46284338"/>
    <w:rsid w:val="4631143E"/>
    <w:rsid w:val="46366A55"/>
    <w:rsid w:val="4638133D"/>
    <w:rsid w:val="463D4287"/>
    <w:rsid w:val="4642189D"/>
    <w:rsid w:val="46426453"/>
    <w:rsid w:val="46456C98"/>
    <w:rsid w:val="46470C62"/>
    <w:rsid w:val="46537607"/>
    <w:rsid w:val="465A5B70"/>
    <w:rsid w:val="46641814"/>
    <w:rsid w:val="46647A66"/>
    <w:rsid w:val="467001B9"/>
    <w:rsid w:val="4670640B"/>
    <w:rsid w:val="46713F31"/>
    <w:rsid w:val="46733805"/>
    <w:rsid w:val="467A2DE5"/>
    <w:rsid w:val="467F03FC"/>
    <w:rsid w:val="467F664E"/>
    <w:rsid w:val="468679DC"/>
    <w:rsid w:val="468974CC"/>
    <w:rsid w:val="468A0B4E"/>
    <w:rsid w:val="468A6DA0"/>
    <w:rsid w:val="468C2B19"/>
    <w:rsid w:val="469B2D5C"/>
    <w:rsid w:val="46A61E2C"/>
    <w:rsid w:val="46A66538"/>
    <w:rsid w:val="46A67A5D"/>
    <w:rsid w:val="46A77952"/>
    <w:rsid w:val="46AC6D17"/>
    <w:rsid w:val="46AE2CC1"/>
    <w:rsid w:val="46B06807"/>
    <w:rsid w:val="46B300A5"/>
    <w:rsid w:val="46B362F7"/>
    <w:rsid w:val="46B53E1D"/>
    <w:rsid w:val="46BA58D8"/>
    <w:rsid w:val="46BC1650"/>
    <w:rsid w:val="46BE1C8A"/>
    <w:rsid w:val="46C329DE"/>
    <w:rsid w:val="46C67DD9"/>
    <w:rsid w:val="46D324F5"/>
    <w:rsid w:val="46D544C0"/>
    <w:rsid w:val="46D67C01"/>
    <w:rsid w:val="46D85D5E"/>
    <w:rsid w:val="46DA7D28"/>
    <w:rsid w:val="46E36784"/>
    <w:rsid w:val="46E42955"/>
    <w:rsid w:val="46E91D19"/>
    <w:rsid w:val="46E93AC7"/>
    <w:rsid w:val="46E97F6B"/>
    <w:rsid w:val="46F26E20"/>
    <w:rsid w:val="46F34946"/>
    <w:rsid w:val="46F5246C"/>
    <w:rsid w:val="46F920EB"/>
    <w:rsid w:val="46FC004E"/>
    <w:rsid w:val="46FF778E"/>
    <w:rsid w:val="470A7D85"/>
    <w:rsid w:val="472471F5"/>
    <w:rsid w:val="47264D1B"/>
    <w:rsid w:val="472745EF"/>
    <w:rsid w:val="472D60AA"/>
    <w:rsid w:val="472E3BD0"/>
    <w:rsid w:val="47347438"/>
    <w:rsid w:val="47354F5E"/>
    <w:rsid w:val="473F2011"/>
    <w:rsid w:val="47431429"/>
    <w:rsid w:val="47460F19"/>
    <w:rsid w:val="474F4272"/>
    <w:rsid w:val="47555600"/>
    <w:rsid w:val="475E2707"/>
    <w:rsid w:val="47665118"/>
    <w:rsid w:val="47694C08"/>
    <w:rsid w:val="47705F96"/>
    <w:rsid w:val="477261B2"/>
    <w:rsid w:val="47727F60"/>
    <w:rsid w:val="477737C9"/>
    <w:rsid w:val="47777C36"/>
    <w:rsid w:val="477E4B57"/>
    <w:rsid w:val="47811F51"/>
    <w:rsid w:val="4783216D"/>
    <w:rsid w:val="47863A0C"/>
    <w:rsid w:val="47885014"/>
    <w:rsid w:val="47953C4F"/>
    <w:rsid w:val="479B1265"/>
    <w:rsid w:val="479E48B1"/>
    <w:rsid w:val="47A67C0A"/>
    <w:rsid w:val="47A878A3"/>
    <w:rsid w:val="47B66A16"/>
    <w:rsid w:val="47B916EB"/>
    <w:rsid w:val="47B95B8F"/>
    <w:rsid w:val="47C167F2"/>
    <w:rsid w:val="47C87B80"/>
    <w:rsid w:val="47CA38F8"/>
    <w:rsid w:val="47CB141F"/>
    <w:rsid w:val="47D209FF"/>
    <w:rsid w:val="47D83CEB"/>
    <w:rsid w:val="47D91D8D"/>
    <w:rsid w:val="47DE55F6"/>
    <w:rsid w:val="47EA7AF7"/>
    <w:rsid w:val="47EF335F"/>
    <w:rsid w:val="47EF7803"/>
    <w:rsid w:val="47F46BC7"/>
    <w:rsid w:val="47F70466"/>
    <w:rsid w:val="47FA3EF2"/>
    <w:rsid w:val="47FD7DC4"/>
    <w:rsid w:val="480037BE"/>
    <w:rsid w:val="4800731A"/>
    <w:rsid w:val="480212E4"/>
    <w:rsid w:val="4803505C"/>
    <w:rsid w:val="48082673"/>
    <w:rsid w:val="48147269"/>
    <w:rsid w:val="4819662E"/>
    <w:rsid w:val="481D611E"/>
    <w:rsid w:val="481D7ECC"/>
    <w:rsid w:val="48205C0E"/>
    <w:rsid w:val="48240FB9"/>
    <w:rsid w:val="48253225"/>
    <w:rsid w:val="48254FD3"/>
    <w:rsid w:val="482A083B"/>
    <w:rsid w:val="482A3B4E"/>
    <w:rsid w:val="482C4C7A"/>
    <w:rsid w:val="482E032B"/>
    <w:rsid w:val="48311BC9"/>
    <w:rsid w:val="4832149E"/>
    <w:rsid w:val="483376F0"/>
    <w:rsid w:val="483416BA"/>
    <w:rsid w:val="48360F8E"/>
    <w:rsid w:val="48362D3C"/>
    <w:rsid w:val="48396CD0"/>
    <w:rsid w:val="484336AB"/>
    <w:rsid w:val="484E4529"/>
    <w:rsid w:val="484F3DFE"/>
    <w:rsid w:val="48531B40"/>
    <w:rsid w:val="485E04E5"/>
    <w:rsid w:val="485E2293"/>
    <w:rsid w:val="485F6737"/>
    <w:rsid w:val="48645AFB"/>
    <w:rsid w:val="487A531F"/>
    <w:rsid w:val="487B4BF3"/>
    <w:rsid w:val="488066AD"/>
    <w:rsid w:val="488937B4"/>
    <w:rsid w:val="488F68F0"/>
    <w:rsid w:val="48917477"/>
    <w:rsid w:val="48931F3C"/>
    <w:rsid w:val="48A04659"/>
    <w:rsid w:val="48A203D1"/>
    <w:rsid w:val="48A4239B"/>
    <w:rsid w:val="48B00D40"/>
    <w:rsid w:val="48B325DE"/>
    <w:rsid w:val="48B3438D"/>
    <w:rsid w:val="48B819A3"/>
    <w:rsid w:val="48C12F4D"/>
    <w:rsid w:val="48C90054"/>
    <w:rsid w:val="48D32C81"/>
    <w:rsid w:val="48D6451F"/>
    <w:rsid w:val="48DB1348"/>
    <w:rsid w:val="48E629B4"/>
    <w:rsid w:val="48E662AE"/>
    <w:rsid w:val="48EA3B26"/>
    <w:rsid w:val="48F21359"/>
    <w:rsid w:val="48F246AF"/>
    <w:rsid w:val="48F7696F"/>
    <w:rsid w:val="48F931D5"/>
    <w:rsid w:val="49033566"/>
    <w:rsid w:val="49137612"/>
    <w:rsid w:val="49184B37"/>
    <w:rsid w:val="491D3EFC"/>
    <w:rsid w:val="491F7C74"/>
    <w:rsid w:val="492359B6"/>
    <w:rsid w:val="492B486B"/>
    <w:rsid w:val="492E435B"/>
    <w:rsid w:val="4933371F"/>
    <w:rsid w:val="4934252A"/>
    <w:rsid w:val="49366D6C"/>
    <w:rsid w:val="49463453"/>
    <w:rsid w:val="494871CB"/>
    <w:rsid w:val="49496A9F"/>
    <w:rsid w:val="494B0A69"/>
    <w:rsid w:val="49557B3A"/>
    <w:rsid w:val="495913D8"/>
    <w:rsid w:val="49627B61"/>
    <w:rsid w:val="49634005"/>
    <w:rsid w:val="49647D7D"/>
    <w:rsid w:val="496B2EB9"/>
    <w:rsid w:val="49724248"/>
    <w:rsid w:val="4977360C"/>
    <w:rsid w:val="497C0C22"/>
    <w:rsid w:val="497C6E74"/>
    <w:rsid w:val="49843F7B"/>
    <w:rsid w:val="498A3342"/>
    <w:rsid w:val="498B70B7"/>
    <w:rsid w:val="49971F00"/>
    <w:rsid w:val="49973CAE"/>
    <w:rsid w:val="49975A5C"/>
    <w:rsid w:val="49A14B2D"/>
    <w:rsid w:val="49A1577E"/>
    <w:rsid w:val="49A87C69"/>
    <w:rsid w:val="49A95790"/>
    <w:rsid w:val="49B06B1E"/>
    <w:rsid w:val="49B50217"/>
    <w:rsid w:val="49B52386"/>
    <w:rsid w:val="49B91E77"/>
    <w:rsid w:val="49C04002"/>
    <w:rsid w:val="49C16F7D"/>
    <w:rsid w:val="49C83E68"/>
    <w:rsid w:val="49CA4084"/>
    <w:rsid w:val="49CB3958"/>
    <w:rsid w:val="49CC7DFC"/>
    <w:rsid w:val="49D00F6E"/>
    <w:rsid w:val="49D56585"/>
    <w:rsid w:val="49E7505B"/>
    <w:rsid w:val="49F033BE"/>
    <w:rsid w:val="49F96717"/>
    <w:rsid w:val="49FB423D"/>
    <w:rsid w:val="4A037596"/>
    <w:rsid w:val="4A064990"/>
    <w:rsid w:val="4A0B1FA6"/>
    <w:rsid w:val="4A262747"/>
    <w:rsid w:val="4A2B43F6"/>
    <w:rsid w:val="4A2C2648"/>
    <w:rsid w:val="4A2D2BBE"/>
    <w:rsid w:val="4A325785"/>
    <w:rsid w:val="4A443E36"/>
    <w:rsid w:val="4A524ECF"/>
    <w:rsid w:val="4A525E27"/>
    <w:rsid w:val="4A534079"/>
    <w:rsid w:val="4A56032E"/>
    <w:rsid w:val="4A5971B6"/>
    <w:rsid w:val="4A653DAC"/>
    <w:rsid w:val="4A66196B"/>
    <w:rsid w:val="4A722025"/>
    <w:rsid w:val="4A761460"/>
    <w:rsid w:val="4A7D2EA4"/>
    <w:rsid w:val="4A834233"/>
    <w:rsid w:val="4A875AD1"/>
    <w:rsid w:val="4A8C758B"/>
    <w:rsid w:val="4A8E3303"/>
    <w:rsid w:val="4A902DD3"/>
    <w:rsid w:val="4A914BA1"/>
    <w:rsid w:val="4A9326C8"/>
    <w:rsid w:val="4A992897"/>
    <w:rsid w:val="4A993A56"/>
    <w:rsid w:val="4A9B157C"/>
    <w:rsid w:val="4A9D4120"/>
    <w:rsid w:val="4AA5422C"/>
    <w:rsid w:val="4AA7028D"/>
    <w:rsid w:val="4AB32D6A"/>
    <w:rsid w:val="4ABD14F2"/>
    <w:rsid w:val="4ABF34BD"/>
    <w:rsid w:val="4AC42881"/>
    <w:rsid w:val="4AC9433B"/>
    <w:rsid w:val="4ACF7478"/>
    <w:rsid w:val="4AD2498A"/>
    <w:rsid w:val="4AD52CE0"/>
    <w:rsid w:val="4ADA20A4"/>
    <w:rsid w:val="4AE64290"/>
    <w:rsid w:val="4AEB2504"/>
    <w:rsid w:val="4AF3760A"/>
    <w:rsid w:val="4AF56EDE"/>
    <w:rsid w:val="4AFB026D"/>
    <w:rsid w:val="4B0610EB"/>
    <w:rsid w:val="4B074E64"/>
    <w:rsid w:val="4B0E61F2"/>
    <w:rsid w:val="4B117A90"/>
    <w:rsid w:val="4B19324D"/>
    <w:rsid w:val="4B1A4B97"/>
    <w:rsid w:val="4B1C5AA0"/>
    <w:rsid w:val="4B1D01E3"/>
    <w:rsid w:val="4B2D7A82"/>
    <w:rsid w:val="4B2E0642"/>
    <w:rsid w:val="4B2E23F0"/>
    <w:rsid w:val="4B306168"/>
    <w:rsid w:val="4B46598C"/>
    <w:rsid w:val="4B4C51F0"/>
    <w:rsid w:val="4B570D16"/>
    <w:rsid w:val="4B58121B"/>
    <w:rsid w:val="4B5856BF"/>
    <w:rsid w:val="4B6B0F4E"/>
    <w:rsid w:val="4B726781"/>
    <w:rsid w:val="4B80769F"/>
    <w:rsid w:val="4B8169C4"/>
    <w:rsid w:val="4B83273C"/>
    <w:rsid w:val="4B8A1D1C"/>
    <w:rsid w:val="4B9009B5"/>
    <w:rsid w:val="4B983D0E"/>
    <w:rsid w:val="4B9C37FE"/>
    <w:rsid w:val="4BA34B8C"/>
    <w:rsid w:val="4BA61478"/>
    <w:rsid w:val="4BBA1ED6"/>
    <w:rsid w:val="4BBE19C6"/>
    <w:rsid w:val="4BBF129A"/>
    <w:rsid w:val="4BC32B39"/>
    <w:rsid w:val="4BD5286C"/>
    <w:rsid w:val="4BD9235C"/>
    <w:rsid w:val="4BDB2578"/>
    <w:rsid w:val="4BDC3BFA"/>
    <w:rsid w:val="4BE13907"/>
    <w:rsid w:val="4BEB208F"/>
    <w:rsid w:val="4C001FDF"/>
    <w:rsid w:val="4C013661"/>
    <w:rsid w:val="4C066EC9"/>
    <w:rsid w:val="4C0A0767"/>
    <w:rsid w:val="4C101AF6"/>
    <w:rsid w:val="4C15535E"/>
    <w:rsid w:val="4C174804"/>
    <w:rsid w:val="4C194E4E"/>
    <w:rsid w:val="4C215AB1"/>
    <w:rsid w:val="4C325F10"/>
    <w:rsid w:val="4C371778"/>
    <w:rsid w:val="4C39729F"/>
    <w:rsid w:val="4C3A571A"/>
    <w:rsid w:val="4C3B3017"/>
    <w:rsid w:val="4C3C28EB"/>
    <w:rsid w:val="4C3E48B5"/>
    <w:rsid w:val="4C3F4944"/>
    <w:rsid w:val="4C443EC1"/>
    <w:rsid w:val="4C52500F"/>
    <w:rsid w:val="4C5C2F8D"/>
    <w:rsid w:val="4C5E09D6"/>
    <w:rsid w:val="4C5E0AB3"/>
    <w:rsid w:val="4C6F0F12"/>
    <w:rsid w:val="4C8229F4"/>
    <w:rsid w:val="4C895A5A"/>
    <w:rsid w:val="4C8A18A8"/>
    <w:rsid w:val="4C991AEB"/>
    <w:rsid w:val="4C9E7102"/>
    <w:rsid w:val="4CA70172"/>
    <w:rsid w:val="4CA706AC"/>
    <w:rsid w:val="4CA87F80"/>
    <w:rsid w:val="4CC254E6"/>
    <w:rsid w:val="4CC823D1"/>
    <w:rsid w:val="4CCA439B"/>
    <w:rsid w:val="4CCA6149"/>
    <w:rsid w:val="4CD3324F"/>
    <w:rsid w:val="4CD46FC7"/>
    <w:rsid w:val="4CD86AB8"/>
    <w:rsid w:val="4CEC4311"/>
    <w:rsid w:val="4CF65190"/>
    <w:rsid w:val="4CFE5DF2"/>
    <w:rsid w:val="4D001B6A"/>
    <w:rsid w:val="4D07739D"/>
    <w:rsid w:val="4D090A1F"/>
    <w:rsid w:val="4D096C71"/>
    <w:rsid w:val="4D0C49B3"/>
    <w:rsid w:val="4D111FCA"/>
    <w:rsid w:val="4D137AF0"/>
    <w:rsid w:val="4D1D096E"/>
    <w:rsid w:val="4D252D69"/>
    <w:rsid w:val="4D287F2B"/>
    <w:rsid w:val="4D2E66D8"/>
    <w:rsid w:val="4D3006A2"/>
    <w:rsid w:val="4D3A1520"/>
    <w:rsid w:val="4D3A32CE"/>
    <w:rsid w:val="4D3F2693"/>
    <w:rsid w:val="4D52686A"/>
    <w:rsid w:val="4D5679DC"/>
    <w:rsid w:val="4D5F3B5F"/>
    <w:rsid w:val="4D600EC9"/>
    <w:rsid w:val="4D676C11"/>
    <w:rsid w:val="4D761E2D"/>
    <w:rsid w:val="4D823FFB"/>
    <w:rsid w:val="4D9329DF"/>
    <w:rsid w:val="4D950505"/>
    <w:rsid w:val="4D981DA3"/>
    <w:rsid w:val="4DA16EA9"/>
    <w:rsid w:val="4DAE3833"/>
    <w:rsid w:val="4DB52955"/>
    <w:rsid w:val="4DB72B71"/>
    <w:rsid w:val="4DBB1AD3"/>
    <w:rsid w:val="4DBC0187"/>
    <w:rsid w:val="4DC20868"/>
    <w:rsid w:val="4DC40DEA"/>
    <w:rsid w:val="4DCF13D9"/>
    <w:rsid w:val="4DD059E1"/>
    <w:rsid w:val="4DD0778F"/>
    <w:rsid w:val="4DD27745"/>
    <w:rsid w:val="4DD67B6B"/>
    <w:rsid w:val="4DD70B1D"/>
    <w:rsid w:val="4DEA4CF4"/>
    <w:rsid w:val="4DF27705"/>
    <w:rsid w:val="4DF3347D"/>
    <w:rsid w:val="4DF53699"/>
    <w:rsid w:val="4DF571F5"/>
    <w:rsid w:val="4E015B9A"/>
    <w:rsid w:val="4E036AF6"/>
    <w:rsid w:val="4E047438"/>
    <w:rsid w:val="4E0612EE"/>
    <w:rsid w:val="4E130248"/>
    <w:rsid w:val="4E173610"/>
    <w:rsid w:val="4E191136"/>
    <w:rsid w:val="4E1A6C5C"/>
    <w:rsid w:val="4E201ADC"/>
    <w:rsid w:val="4E296E9F"/>
    <w:rsid w:val="4E2D2E33"/>
    <w:rsid w:val="4E37780E"/>
    <w:rsid w:val="4E3E6DEE"/>
    <w:rsid w:val="4E453CD9"/>
    <w:rsid w:val="4E487C6D"/>
    <w:rsid w:val="4E503704"/>
    <w:rsid w:val="4E54216E"/>
    <w:rsid w:val="4E545553"/>
    <w:rsid w:val="4E557C94"/>
    <w:rsid w:val="4E564138"/>
    <w:rsid w:val="4E5C15C9"/>
    <w:rsid w:val="4E5C7274"/>
    <w:rsid w:val="4E604FB7"/>
    <w:rsid w:val="4E704ACE"/>
    <w:rsid w:val="4E727140"/>
    <w:rsid w:val="4E791BD4"/>
    <w:rsid w:val="4E8011B5"/>
    <w:rsid w:val="4E854A1D"/>
    <w:rsid w:val="4E8A3DE2"/>
    <w:rsid w:val="4E984750"/>
    <w:rsid w:val="4E9E5ADF"/>
    <w:rsid w:val="4EA50C1B"/>
    <w:rsid w:val="4EA824BA"/>
    <w:rsid w:val="4EAD187E"/>
    <w:rsid w:val="4EAF55F6"/>
    <w:rsid w:val="4EB946C7"/>
    <w:rsid w:val="4EBE3A8B"/>
    <w:rsid w:val="4EC70B92"/>
    <w:rsid w:val="4ECB75AB"/>
    <w:rsid w:val="4ECF7A46"/>
    <w:rsid w:val="4ED60DD5"/>
    <w:rsid w:val="4ED908C5"/>
    <w:rsid w:val="4EE554BC"/>
    <w:rsid w:val="4EE748E4"/>
    <w:rsid w:val="4EED611E"/>
    <w:rsid w:val="4EEF66E7"/>
    <w:rsid w:val="4EF12E94"/>
    <w:rsid w:val="4EFD2805"/>
    <w:rsid w:val="4F035942"/>
    <w:rsid w:val="4F053468"/>
    <w:rsid w:val="4F0E056F"/>
    <w:rsid w:val="4F196F13"/>
    <w:rsid w:val="4F245FE4"/>
    <w:rsid w:val="4F253B0A"/>
    <w:rsid w:val="4F2B1CFF"/>
    <w:rsid w:val="4F2E29BF"/>
    <w:rsid w:val="4F304989"/>
    <w:rsid w:val="4F347765"/>
    <w:rsid w:val="4F351F9F"/>
    <w:rsid w:val="4F3D3F64"/>
    <w:rsid w:val="4F3D70A6"/>
    <w:rsid w:val="4F455F5A"/>
    <w:rsid w:val="4F4F2935"/>
    <w:rsid w:val="4F512B51"/>
    <w:rsid w:val="4F5166AD"/>
    <w:rsid w:val="4F530677"/>
    <w:rsid w:val="4F55619D"/>
    <w:rsid w:val="4F561F16"/>
    <w:rsid w:val="4F587A3C"/>
    <w:rsid w:val="4F6B3C13"/>
    <w:rsid w:val="4F6C1739"/>
    <w:rsid w:val="4F6E54B1"/>
    <w:rsid w:val="4F6E725F"/>
    <w:rsid w:val="4F716D4F"/>
    <w:rsid w:val="4F723518"/>
    <w:rsid w:val="4F756840"/>
    <w:rsid w:val="4F7B197C"/>
    <w:rsid w:val="4F824AB9"/>
    <w:rsid w:val="4F8847C5"/>
    <w:rsid w:val="4F8E16AF"/>
    <w:rsid w:val="4F9273F2"/>
    <w:rsid w:val="4F9A62A6"/>
    <w:rsid w:val="4F9F1B0F"/>
    <w:rsid w:val="4FA2515B"/>
    <w:rsid w:val="4FA26F09"/>
    <w:rsid w:val="4FAB04B3"/>
    <w:rsid w:val="4FAC7D88"/>
    <w:rsid w:val="4FAD422B"/>
    <w:rsid w:val="4FBF7ABB"/>
    <w:rsid w:val="4FC7696F"/>
    <w:rsid w:val="4FCD667C"/>
    <w:rsid w:val="4FCF021B"/>
    <w:rsid w:val="4FD86DCF"/>
    <w:rsid w:val="4FDD43E5"/>
    <w:rsid w:val="4FDF015D"/>
    <w:rsid w:val="4FDF1F0B"/>
    <w:rsid w:val="4FE85264"/>
    <w:rsid w:val="4FEA34A9"/>
    <w:rsid w:val="4FEC63D6"/>
    <w:rsid w:val="4FF57980"/>
    <w:rsid w:val="4FFE4A87"/>
    <w:rsid w:val="500951DA"/>
    <w:rsid w:val="500B4BE0"/>
    <w:rsid w:val="500E27F0"/>
    <w:rsid w:val="50146059"/>
    <w:rsid w:val="5023629C"/>
    <w:rsid w:val="5028041A"/>
    <w:rsid w:val="502C341E"/>
    <w:rsid w:val="5043693E"/>
    <w:rsid w:val="50485D02"/>
    <w:rsid w:val="50496D46"/>
    <w:rsid w:val="504B134F"/>
    <w:rsid w:val="50546455"/>
    <w:rsid w:val="505E72D4"/>
    <w:rsid w:val="50604C1C"/>
    <w:rsid w:val="5062117E"/>
    <w:rsid w:val="50650662"/>
    <w:rsid w:val="506568B4"/>
    <w:rsid w:val="506B379F"/>
    <w:rsid w:val="506F1AED"/>
    <w:rsid w:val="506F328F"/>
    <w:rsid w:val="506F7733"/>
    <w:rsid w:val="50724B2D"/>
    <w:rsid w:val="50746AF7"/>
    <w:rsid w:val="507D4B62"/>
    <w:rsid w:val="508B5BEF"/>
    <w:rsid w:val="509008DC"/>
    <w:rsid w:val="509048BD"/>
    <w:rsid w:val="5091466B"/>
    <w:rsid w:val="509727E6"/>
    <w:rsid w:val="50AA42C7"/>
    <w:rsid w:val="50AA46D1"/>
    <w:rsid w:val="50BB4726"/>
    <w:rsid w:val="50C3182D"/>
    <w:rsid w:val="50C64B87"/>
    <w:rsid w:val="50D43A3A"/>
    <w:rsid w:val="50D6330E"/>
    <w:rsid w:val="50D70E34"/>
    <w:rsid w:val="50D71373"/>
    <w:rsid w:val="50DB6B76"/>
    <w:rsid w:val="50DD19BA"/>
    <w:rsid w:val="50E83041"/>
    <w:rsid w:val="50F10148"/>
    <w:rsid w:val="50F32112"/>
    <w:rsid w:val="50FD6AED"/>
    <w:rsid w:val="51025EB1"/>
    <w:rsid w:val="510D2AA8"/>
    <w:rsid w:val="510F05CE"/>
    <w:rsid w:val="51142088"/>
    <w:rsid w:val="51165E00"/>
    <w:rsid w:val="51167BAE"/>
    <w:rsid w:val="511B3417"/>
    <w:rsid w:val="51226553"/>
    <w:rsid w:val="51256043"/>
    <w:rsid w:val="51257DF2"/>
    <w:rsid w:val="512678FB"/>
    <w:rsid w:val="51281690"/>
    <w:rsid w:val="51295B34"/>
    <w:rsid w:val="512A320D"/>
    <w:rsid w:val="512F097C"/>
    <w:rsid w:val="513B5867"/>
    <w:rsid w:val="514222FB"/>
    <w:rsid w:val="51422751"/>
    <w:rsid w:val="5144296E"/>
    <w:rsid w:val="5147420C"/>
    <w:rsid w:val="51477D68"/>
    <w:rsid w:val="51481DCD"/>
    <w:rsid w:val="514C35D0"/>
    <w:rsid w:val="51516E38"/>
    <w:rsid w:val="51523EF4"/>
    <w:rsid w:val="515F3303"/>
    <w:rsid w:val="5164091A"/>
    <w:rsid w:val="51644DBE"/>
    <w:rsid w:val="51677E7B"/>
    <w:rsid w:val="516A1CA8"/>
    <w:rsid w:val="51705511"/>
    <w:rsid w:val="51713037"/>
    <w:rsid w:val="51782617"/>
    <w:rsid w:val="517D2AB0"/>
    <w:rsid w:val="517D5E7F"/>
    <w:rsid w:val="518731FF"/>
    <w:rsid w:val="51874608"/>
    <w:rsid w:val="51890380"/>
    <w:rsid w:val="51894824"/>
    <w:rsid w:val="51986815"/>
    <w:rsid w:val="519B00B4"/>
    <w:rsid w:val="51A4340C"/>
    <w:rsid w:val="51A56758"/>
    <w:rsid w:val="51A76A58"/>
    <w:rsid w:val="51AB479B"/>
    <w:rsid w:val="51AB6549"/>
    <w:rsid w:val="51AE428B"/>
    <w:rsid w:val="51BD627C"/>
    <w:rsid w:val="51C413B8"/>
    <w:rsid w:val="51C4585C"/>
    <w:rsid w:val="51C52BB8"/>
    <w:rsid w:val="51C71DD3"/>
    <w:rsid w:val="51C770FB"/>
    <w:rsid w:val="51CE0489"/>
    <w:rsid w:val="51DC2BA6"/>
    <w:rsid w:val="51E23F34"/>
    <w:rsid w:val="51E8779D"/>
    <w:rsid w:val="51F85506"/>
    <w:rsid w:val="52004BA4"/>
    <w:rsid w:val="52020133"/>
    <w:rsid w:val="52067C23"/>
    <w:rsid w:val="520774F7"/>
    <w:rsid w:val="520E0886"/>
    <w:rsid w:val="52102850"/>
    <w:rsid w:val="521045FE"/>
    <w:rsid w:val="52195BA8"/>
    <w:rsid w:val="521A36CE"/>
    <w:rsid w:val="521C11F4"/>
    <w:rsid w:val="522400A9"/>
    <w:rsid w:val="52285DEB"/>
    <w:rsid w:val="52293911"/>
    <w:rsid w:val="522D3402"/>
    <w:rsid w:val="52326C6A"/>
    <w:rsid w:val="52410C5B"/>
    <w:rsid w:val="524424F9"/>
    <w:rsid w:val="5246087A"/>
    <w:rsid w:val="52481FEA"/>
    <w:rsid w:val="524D13AE"/>
    <w:rsid w:val="5257222D"/>
    <w:rsid w:val="52592449"/>
    <w:rsid w:val="52604AC2"/>
    <w:rsid w:val="52614E59"/>
    <w:rsid w:val="52630BD1"/>
    <w:rsid w:val="52650DED"/>
    <w:rsid w:val="526B3F2A"/>
    <w:rsid w:val="526F3A1A"/>
    <w:rsid w:val="52756B57"/>
    <w:rsid w:val="527821A3"/>
    <w:rsid w:val="52860D64"/>
    <w:rsid w:val="52916F6E"/>
    <w:rsid w:val="52927709"/>
    <w:rsid w:val="52943481"/>
    <w:rsid w:val="529C40E3"/>
    <w:rsid w:val="529E42FF"/>
    <w:rsid w:val="52A01B73"/>
    <w:rsid w:val="52A64F62"/>
    <w:rsid w:val="52B14033"/>
    <w:rsid w:val="52B256B5"/>
    <w:rsid w:val="52BB6C5F"/>
    <w:rsid w:val="52BC29D7"/>
    <w:rsid w:val="52BC6534"/>
    <w:rsid w:val="52C11D9C"/>
    <w:rsid w:val="52C35B14"/>
    <w:rsid w:val="52C84ED8"/>
    <w:rsid w:val="52CB6777"/>
    <w:rsid w:val="52D63A99"/>
    <w:rsid w:val="52D65847"/>
    <w:rsid w:val="52E02222"/>
    <w:rsid w:val="52E141EC"/>
    <w:rsid w:val="52EA07DF"/>
    <w:rsid w:val="52EC6E19"/>
    <w:rsid w:val="52F061DD"/>
    <w:rsid w:val="52F263F9"/>
    <w:rsid w:val="52F749BC"/>
    <w:rsid w:val="52FE08FA"/>
    <w:rsid w:val="530028C4"/>
    <w:rsid w:val="53083527"/>
    <w:rsid w:val="530C74BB"/>
    <w:rsid w:val="5311478A"/>
    <w:rsid w:val="5311687F"/>
    <w:rsid w:val="53165C44"/>
    <w:rsid w:val="53234681"/>
    <w:rsid w:val="5325232B"/>
    <w:rsid w:val="53310CD0"/>
    <w:rsid w:val="53346A12"/>
    <w:rsid w:val="53400F13"/>
    <w:rsid w:val="534053B7"/>
    <w:rsid w:val="534C78B7"/>
    <w:rsid w:val="53530C46"/>
    <w:rsid w:val="53547BFC"/>
    <w:rsid w:val="53566988"/>
    <w:rsid w:val="535E583D"/>
    <w:rsid w:val="535F3A8F"/>
    <w:rsid w:val="535F434C"/>
    <w:rsid w:val="536015B5"/>
    <w:rsid w:val="53654E1D"/>
    <w:rsid w:val="536A41E2"/>
    <w:rsid w:val="536F7A4A"/>
    <w:rsid w:val="53762B86"/>
    <w:rsid w:val="53807561"/>
    <w:rsid w:val="5382152B"/>
    <w:rsid w:val="53852DC9"/>
    <w:rsid w:val="53894668"/>
    <w:rsid w:val="539B083F"/>
    <w:rsid w:val="53A07C03"/>
    <w:rsid w:val="53A414A2"/>
    <w:rsid w:val="53A51988"/>
    <w:rsid w:val="53AD15DB"/>
    <w:rsid w:val="53B51901"/>
    <w:rsid w:val="53C102A5"/>
    <w:rsid w:val="53C27B7A"/>
    <w:rsid w:val="53C438F2"/>
    <w:rsid w:val="53D310CB"/>
    <w:rsid w:val="53DD49B3"/>
    <w:rsid w:val="53E421E6"/>
    <w:rsid w:val="53E75832"/>
    <w:rsid w:val="53F046E7"/>
    <w:rsid w:val="53F5504D"/>
    <w:rsid w:val="53F561A1"/>
    <w:rsid w:val="53F8359B"/>
    <w:rsid w:val="53FC752F"/>
    <w:rsid w:val="54012CB9"/>
    <w:rsid w:val="54102FDB"/>
    <w:rsid w:val="541D3002"/>
    <w:rsid w:val="542425E2"/>
    <w:rsid w:val="54244390"/>
    <w:rsid w:val="5426635A"/>
    <w:rsid w:val="542919A7"/>
    <w:rsid w:val="54297BF9"/>
    <w:rsid w:val="542D593B"/>
    <w:rsid w:val="54364A4A"/>
    <w:rsid w:val="54387E3C"/>
    <w:rsid w:val="543D32A0"/>
    <w:rsid w:val="544113E6"/>
    <w:rsid w:val="54493DF7"/>
    <w:rsid w:val="544B4013"/>
    <w:rsid w:val="544B689D"/>
    <w:rsid w:val="544E7CB5"/>
    <w:rsid w:val="54532EC8"/>
    <w:rsid w:val="54537985"/>
    <w:rsid w:val="5455702E"/>
    <w:rsid w:val="54574766"/>
    <w:rsid w:val="545804DE"/>
    <w:rsid w:val="545D6C6F"/>
    <w:rsid w:val="545D78A2"/>
    <w:rsid w:val="545F7ABE"/>
    <w:rsid w:val="546155E5"/>
    <w:rsid w:val="54662BFB"/>
    <w:rsid w:val="54694499"/>
    <w:rsid w:val="546D5D37"/>
    <w:rsid w:val="5473336A"/>
    <w:rsid w:val="548412D3"/>
    <w:rsid w:val="548D462B"/>
    <w:rsid w:val="54907C78"/>
    <w:rsid w:val="5492579E"/>
    <w:rsid w:val="54971006"/>
    <w:rsid w:val="54994D7E"/>
    <w:rsid w:val="54997C8E"/>
    <w:rsid w:val="54A43723"/>
    <w:rsid w:val="54AB6860"/>
    <w:rsid w:val="54BA4CF5"/>
    <w:rsid w:val="54C31DFB"/>
    <w:rsid w:val="54C55B73"/>
    <w:rsid w:val="54C65448"/>
    <w:rsid w:val="54C85664"/>
    <w:rsid w:val="54CB0CB0"/>
    <w:rsid w:val="54D04518"/>
    <w:rsid w:val="54DA7145"/>
    <w:rsid w:val="54DE4E87"/>
    <w:rsid w:val="54DE6C35"/>
    <w:rsid w:val="54E56216"/>
    <w:rsid w:val="54E80FC4"/>
    <w:rsid w:val="550245FF"/>
    <w:rsid w:val="55083CB2"/>
    <w:rsid w:val="55085A60"/>
    <w:rsid w:val="550A5C7C"/>
    <w:rsid w:val="55142657"/>
    <w:rsid w:val="551B39E5"/>
    <w:rsid w:val="551B5793"/>
    <w:rsid w:val="551C150B"/>
    <w:rsid w:val="551E7032"/>
    <w:rsid w:val="5523289A"/>
    <w:rsid w:val="55287EB0"/>
    <w:rsid w:val="552A59D6"/>
    <w:rsid w:val="552C2EC0"/>
    <w:rsid w:val="552F123F"/>
    <w:rsid w:val="55306CD3"/>
    <w:rsid w:val="553D1BAE"/>
    <w:rsid w:val="55482300"/>
    <w:rsid w:val="55592760"/>
    <w:rsid w:val="555A19D4"/>
    <w:rsid w:val="5560764A"/>
    <w:rsid w:val="556C30CA"/>
    <w:rsid w:val="556F1F83"/>
    <w:rsid w:val="556F4C23"/>
    <w:rsid w:val="55711857"/>
    <w:rsid w:val="557430F6"/>
    <w:rsid w:val="55747599"/>
    <w:rsid w:val="55766E6E"/>
    <w:rsid w:val="55782BE6"/>
    <w:rsid w:val="5579070C"/>
    <w:rsid w:val="557914C7"/>
    <w:rsid w:val="55794BB0"/>
    <w:rsid w:val="557B26D6"/>
    <w:rsid w:val="557E3F74"/>
    <w:rsid w:val="55805F3E"/>
    <w:rsid w:val="55833339"/>
    <w:rsid w:val="558477DD"/>
    <w:rsid w:val="5588094F"/>
    <w:rsid w:val="558C6691"/>
    <w:rsid w:val="55990DAE"/>
    <w:rsid w:val="55992B5C"/>
    <w:rsid w:val="55A30CE4"/>
    <w:rsid w:val="55A35789"/>
    <w:rsid w:val="55A57753"/>
    <w:rsid w:val="55B6370E"/>
    <w:rsid w:val="55BB0D24"/>
    <w:rsid w:val="55BD2CEE"/>
    <w:rsid w:val="55C0458D"/>
    <w:rsid w:val="55C23E61"/>
    <w:rsid w:val="55CB55ED"/>
    <w:rsid w:val="55D41DE6"/>
    <w:rsid w:val="55DF4A13"/>
    <w:rsid w:val="55E55DA1"/>
    <w:rsid w:val="55E97640"/>
    <w:rsid w:val="55EC00A8"/>
    <w:rsid w:val="55EE7B38"/>
    <w:rsid w:val="55F14746"/>
    <w:rsid w:val="55F4140B"/>
    <w:rsid w:val="55FD51D3"/>
    <w:rsid w:val="5600146F"/>
    <w:rsid w:val="560069AF"/>
    <w:rsid w:val="56064695"/>
    <w:rsid w:val="56091A90"/>
    <w:rsid w:val="560A6202"/>
    <w:rsid w:val="560B1CAC"/>
    <w:rsid w:val="56130B60"/>
    <w:rsid w:val="56262642"/>
    <w:rsid w:val="5627460C"/>
    <w:rsid w:val="56290384"/>
    <w:rsid w:val="56334D5F"/>
    <w:rsid w:val="56340787"/>
    <w:rsid w:val="563F54B2"/>
    <w:rsid w:val="5647080A"/>
    <w:rsid w:val="564E7DEA"/>
    <w:rsid w:val="56521689"/>
    <w:rsid w:val="56535401"/>
    <w:rsid w:val="565A053D"/>
    <w:rsid w:val="565F3DA6"/>
    <w:rsid w:val="566273F2"/>
    <w:rsid w:val="5664316A"/>
    <w:rsid w:val="566A2E0C"/>
    <w:rsid w:val="56764C4B"/>
    <w:rsid w:val="567A473C"/>
    <w:rsid w:val="567A6414"/>
    <w:rsid w:val="56890E23"/>
    <w:rsid w:val="569544FD"/>
    <w:rsid w:val="56981066"/>
    <w:rsid w:val="56A30136"/>
    <w:rsid w:val="56A65531"/>
    <w:rsid w:val="56AA54C3"/>
    <w:rsid w:val="56B37C4E"/>
    <w:rsid w:val="56BC6B02"/>
    <w:rsid w:val="56BE6D1E"/>
    <w:rsid w:val="56CB31E9"/>
    <w:rsid w:val="56CF5DCB"/>
    <w:rsid w:val="56D133FC"/>
    <w:rsid w:val="56D26326"/>
    <w:rsid w:val="56DF0A43"/>
    <w:rsid w:val="56E7228C"/>
    <w:rsid w:val="56F02C50"/>
    <w:rsid w:val="56F3629C"/>
    <w:rsid w:val="56FE35BF"/>
    <w:rsid w:val="56FE536D"/>
    <w:rsid w:val="57014E5D"/>
    <w:rsid w:val="570B7A8A"/>
    <w:rsid w:val="571050A0"/>
    <w:rsid w:val="5714693E"/>
    <w:rsid w:val="57174680"/>
    <w:rsid w:val="5717642E"/>
    <w:rsid w:val="571C57F3"/>
    <w:rsid w:val="572528F9"/>
    <w:rsid w:val="572904F0"/>
    <w:rsid w:val="573B036F"/>
    <w:rsid w:val="574A2360"/>
    <w:rsid w:val="574F5BC8"/>
    <w:rsid w:val="57521214"/>
    <w:rsid w:val="57541431"/>
    <w:rsid w:val="57596A47"/>
    <w:rsid w:val="57633422"/>
    <w:rsid w:val="5765719A"/>
    <w:rsid w:val="57672F12"/>
    <w:rsid w:val="57713D91"/>
    <w:rsid w:val="57723665"/>
    <w:rsid w:val="577613A7"/>
    <w:rsid w:val="57763155"/>
    <w:rsid w:val="57825F9E"/>
    <w:rsid w:val="57835872"/>
    <w:rsid w:val="5785783C"/>
    <w:rsid w:val="578647C5"/>
    <w:rsid w:val="578E4942"/>
    <w:rsid w:val="57904CC8"/>
    <w:rsid w:val="57911D3D"/>
    <w:rsid w:val="579131B3"/>
    <w:rsid w:val="57923D07"/>
    <w:rsid w:val="5794182D"/>
    <w:rsid w:val="5796377F"/>
    <w:rsid w:val="579B2BBB"/>
    <w:rsid w:val="57A001D2"/>
    <w:rsid w:val="57AC301B"/>
    <w:rsid w:val="57AC4DC9"/>
    <w:rsid w:val="57AD27FD"/>
    <w:rsid w:val="57B40121"/>
    <w:rsid w:val="57B819BF"/>
    <w:rsid w:val="57B86FFE"/>
    <w:rsid w:val="57B94ADE"/>
    <w:rsid w:val="57B974E6"/>
    <w:rsid w:val="57C71C02"/>
    <w:rsid w:val="57CA524F"/>
    <w:rsid w:val="57CA6A87"/>
    <w:rsid w:val="57D04F5B"/>
    <w:rsid w:val="57DB15B9"/>
    <w:rsid w:val="57DD3330"/>
    <w:rsid w:val="57E14487"/>
    <w:rsid w:val="57E73733"/>
    <w:rsid w:val="57EE3633"/>
    <w:rsid w:val="57F4758F"/>
    <w:rsid w:val="57F56770"/>
    <w:rsid w:val="58070251"/>
    <w:rsid w:val="580A7D41"/>
    <w:rsid w:val="580B5F93"/>
    <w:rsid w:val="58112E7E"/>
    <w:rsid w:val="581A7F84"/>
    <w:rsid w:val="581B3CFC"/>
    <w:rsid w:val="581D136C"/>
    <w:rsid w:val="582B03E3"/>
    <w:rsid w:val="582C095E"/>
    <w:rsid w:val="582E3A30"/>
    <w:rsid w:val="583152CE"/>
    <w:rsid w:val="58346B6C"/>
    <w:rsid w:val="583A23D4"/>
    <w:rsid w:val="58490869"/>
    <w:rsid w:val="584C2108"/>
    <w:rsid w:val="584E5E80"/>
    <w:rsid w:val="585039A6"/>
    <w:rsid w:val="5866141B"/>
    <w:rsid w:val="586839F3"/>
    <w:rsid w:val="586B4C84"/>
    <w:rsid w:val="586E6522"/>
    <w:rsid w:val="58730BCE"/>
    <w:rsid w:val="58741EB5"/>
    <w:rsid w:val="587578B0"/>
    <w:rsid w:val="588673C8"/>
    <w:rsid w:val="588758BF"/>
    <w:rsid w:val="588B2C30"/>
    <w:rsid w:val="588D4BFA"/>
    <w:rsid w:val="588E44CE"/>
    <w:rsid w:val="589917F1"/>
    <w:rsid w:val="589A2E73"/>
    <w:rsid w:val="589F492D"/>
    <w:rsid w:val="58A41AE0"/>
    <w:rsid w:val="58AB1D89"/>
    <w:rsid w:val="58AB6E2E"/>
    <w:rsid w:val="58AC4EEE"/>
    <w:rsid w:val="58B8154B"/>
    <w:rsid w:val="58BE3729"/>
    <w:rsid w:val="58C83E84"/>
    <w:rsid w:val="58CF5213"/>
    <w:rsid w:val="58D565A1"/>
    <w:rsid w:val="58D740C7"/>
    <w:rsid w:val="58DC16DE"/>
    <w:rsid w:val="58DD0FB2"/>
    <w:rsid w:val="58DF11CE"/>
    <w:rsid w:val="58DF3A45"/>
    <w:rsid w:val="58E86238"/>
    <w:rsid w:val="58F76517"/>
    <w:rsid w:val="58FD3402"/>
    <w:rsid w:val="58FF6F29"/>
    <w:rsid w:val="59046163"/>
    <w:rsid w:val="59084281"/>
    <w:rsid w:val="59103135"/>
    <w:rsid w:val="59126EAD"/>
    <w:rsid w:val="591F15CA"/>
    <w:rsid w:val="59213594"/>
    <w:rsid w:val="59372DB8"/>
    <w:rsid w:val="59396B30"/>
    <w:rsid w:val="59407EBE"/>
    <w:rsid w:val="594159E5"/>
    <w:rsid w:val="59417793"/>
    <w:rsid w:val="59480B21"/>
    <w:rsid w:val="59554FEC"/>
    <w:rsid w:val="595B4CF8"/>
    <w:rsid w:val="596040BD"/>
    <w:rsid w:val="5966544B"/>
    <w:rsid w:val="59682F71"/>
    <w:rsid w:val="596A6CE9"/>
    <w:rsid w:val="597D4C6F"/>
    <w:rsid w:val="597E2795"/>
    <w:rsid w:val="59815DE1"/>
    <w:rsid w:val="59851D75"/>
    <w:rsid w:val="598A13F7"/>
    <w:rsid w:val="598C3104"/>
    <w:rsid w:val="598C4EB2"/>
    <w:rsid w:val="598D0C2A"/>
    <w:rsid w:val="599211F9"/>
    <w:rsid w:val="59945B14"/>
    <w:rsid w:val="599B50F5"/>
    <w:rsid w:val="59A42220"/>
    <w:rsid w:val="59A541C5"/>
    <w:rsid w:val="59AF6DF2"/>
    <w:rsid w:val="59BB7545"/>
    <w:rsid w:val="59BE0DE3"/>
    <w:rsid w:val="59C53F20"/>
    <w:rsid w:val="59C561B6"/>
    <w:rsid w:val="59CD7278"/>
    <w:rsid w:val="59D625D1"/>
    <w:rsid w:val="59D979CB"/>
    <w:rsid w:val="59DA36DD"/>
    <w:rsid w:val="59EA4662"/>
    <w:rsid w:val="59EC5950"/>
    <w:rsid w:val="59F9006D"/>
    <w:rsid w:val="5A0C1B4F"/>
    <w:rsid w:val="5A0C7DA1"/>
    <w:rsid w:val="5A1A3741"/>
    <w:rsid w:val="5A1B6236"/>
    <w:rsid w:val="5A1D1FAE"/>
    <w:rsid w:val="5A1D5B0A"/>
    <w:rsid w:val="5A232CE0"/>
    <w:rsid w:val="5A2450EA"/>
    <w:rsid w:val="5A292701"/>
    <w:rsid w:val="5A2C3F9F"/>
    <w:rsid w:val="5A2E41BB"/>
    <w:rsid w:val="5A3410A5"/>
    <w:rsid w:val="5A380B96"/>
    <w:rsid w:val="5A3C274E"/>
    <w:rsid w:val="5A3D7F5A"/>
    <w:rsid w:val="5A4B6B1B"/>
    <w:rsid w:val="5A4C2893"/>
    <w:rsid w:val="5A4F20F7"/>
    <w:rsid w:val="5A513A05"/>
    <w:rsid w:val="5A517EA9"/>
    <w:rsid w:val="5A5438D2"/>
    <w:rsid w:val="5A6279C1"/>
    <w:rsid w:val="5A6812FA"/>
    <w:rsid w:val="5A6C32DD"/>
    <w:rsid w:val="5A6D6E55"/>
    <w:rsid w:val="5A715E56"/>
    <w:rsid w:val="5A845B89"/>
    <w:rsid w:val="5A8E2EAB"/>
    <w:rsid w:val="5A9164F8"/>
    <w:rsid w:val="5A951B44"/>
    <w:rsid w:val="5A9B2ED2"/>
    <w:rsid w:val="5AA44439"/>
    <w:rsid w:val="5AA4447D"/>
    <w:rsid w:val="5AAC50E0"/>
    <w:rsid w:val="5AAE2C06"/>
    <w:rsid w:val="5AB346C0"/>
    <w:rsid w:val="5AB83A84"/>
    <w:rsid w:val="5AC24903"/>
    <w:rsid w:val="5AC66A62"/>
    <w:rsid w:val="5AD22D98"/>
    <w:rsid w:val="5AD35165"/>
    <w:rsid w:val="5AE1122D"/>
    <w:rsid w:val="5AE12C4C"/>
    <w:rsid w:val="5AE900E2"/>
    <w:rsid w:val="5AF34ABD"/>
    <w:rsid w:val="5AF80325"/>
    <w:rsid w:val="5AFC1BC3"/>
    <w:rsid w:val="5B0311A3"/>
    <w:rsid w:val="5B04316E"/>
    <w:rsid w:val="5B0A0784"/>
    <w:rsid w:val="5B1213E7"/>
    <w:rsid w:val="5B130AB9"/>
    <w:rsid w:val="5B1A029B"/>
    <w:rsid w:val="5B1A64ED"/>
    <w:rsid w:val="5B2630E4"/>
    <w:rsid w:val="5B264E92"/>
    <w:rsid w:val="5B270C71"/>
    <w:rsid w:val="5B2C6535"/>
    <w:rsid w:val="5B31645E"/>
    <w:rsid w:val="5B323837"/>
    <w:rsid w:val="5B353327"/>
    <w:rsid w:val="5B3A6B8F"/>
    <w:rsid w:val="5B3B5E4A"/>
    <w:rsid w:val="5B445318"/>
    <w:rsid w:val="5B4D241F"/>
    <w:rsid w:val="5B4D68C3"/>
    <w:rsid w:val="5B5163B3"/>
    <w:rsid w:val="5B57329D"/>
    <w:rsid w:val="5B5E63DA"/>
    <w:rsid w:val="5B615ECA"/>
    <w:rsid w:val="5B6B4F9B"/>
    <w:rsid w:val="5B6B6D49"/>
    <w:rsid w:val="5B6F6839"/>
    <w:rsid w:val="5B791466"/>
    <w:rsid w:val="5B7B51DE"/>
    <w:rsid w:val="5B800A46"/>
    <w:rsid w:val="5B8816A9"/>
    <w:rsid w:val="5B8937AD"/>
    <w:rsid w:val="5B8A5421"/>
    <w:rsid w:val="5B8A7C55"/>
    <w:rsid w:val="5B8F0C89"/>
    <w:rsid w:val="5B955CFF"/>
    <w:rsid w:val="5B9833FC"/>
    <w:rsid w:val="5B9938B6"/>
    <w:rsid w:val="5B9E04F2"/>
    <w:rsid w:val="5BA44364"/>
    <w:rsid w:val="5BAA7871"/>
    <w:rsid w:val="5BB95D06"/>
    <w:rsid w:val="5BB97AB4"/>
    <w:rsid w:val="5BBA55DA"/>
    <w:rsid w:val="5BBB7CD0"/>
    <w:rsid w:val="5BBC1352"/>
    <w:rsid w:val="5BC052E6"/>
    <w:rsid w:val="5BC87CF7"/>
    <w:rsid w:val="5BCA1CC1"/>
    <w:rsid w:val="5BCC5A39"/>
    <w:rsid w:val="5BD4669C"/>
    <w:rsid w:val="5BE30FD5"/>
    <w:rsid w:val="5BE508A9"/>
    <w:rsid w:val="5BEA5EBF"/>
    <w:rsid w:val="5BF05C48"/>
    <w:rsid w:val="5BF136F2"/>
    <w:rsid w:val="5BF94355"/>
    <w:rsid w:val="5C0351D3"/>
    <w:rsid w:val="5C07081F"/>
    <w:rsid w:val="5C0C22DA"/>
    <w:rsid w:val="5C0D1BAE"/>
    <w:rsid w:val="5C0F1DCA"/>
    <w:rsid w:val="5C1A7D4C"/>
    <w:rsid w:val="5C1C479A"/>
    <w:rsid w:val="5C1D6295"/>
    <w:rsid w:val="5C1E200D"/>
    <w:rsid w:val="5C205D85"/>
    <w:rsid w:val="5C2313D1"/>
    <w:rsid w:val="5C2A58C7"/>
    <w:rsid w:val="5C2E2250"/>
    <w:rsid w:val="5C321615"/>
    <w:rsid w:val="5C376CF1"/>
    <w:rsid w:val="5C384E7D"/>
    <w:rsid w:val="5C3B671B"/>
    <w:rsid w:val="5C423F4D"/>
    <w:rsid w:val="5C45759A"/>
    <w:rsid w:val="5C4708E2"/>
    <w:rsid w:val="5C4B1054"/>
    <w:rsid w:val="5C4E46A0"/>
    <w:rsid w:val="5C5123E2"/>
    <w:rsid w:val="5C514191"/>
    <w:rsid w:val="5C531CB7"/>
    <w:rsid w:val="5C533A65"/>
    <w:rsid w:val="5C5477DD"/>
    <w:rsid w:val="5C593045"/>
    <w:rsid w:val="5C5A1297"/>
    <w:rsid w:val="5C5F065B"/>
    <w:rsid w:val="5C62014C"/>
    <w:rsid w:val="5C62639E"/>
    <w:rsid w:val="5C642116"/>
    <w:rsid w:val="5C645C72"/>
    <w:rsid w:val="5C677510"/>
    <w:rsid w:val="5C6A7000"/>
    <w:rsid w:val="5C6C2D78"/>
    <w:rsid w:val="5C763BF7"/>
    <w:rsid w:val="5C8400C2"/>
    <w:rsid w:val="5C891B7C"/>
    <w:rsid w:val="5C9347A9"/>
    <w:rsid w:val="5C961BA3"/>
    <w:rsid w:val="5CA120BE"/>
    <w:rsid w:val="5CA73DB1"/>
    <w:rsid w:val="5CB44D92"/>
    <w:rsid w:val="5CB70498"/>
    <w:rsid w:val="5CC42BB4"/>
    <w:rsid w:val="5CC74453"/>
    <w:rsid w:val="5CC826A5"/>
    <w:rsid w:val="5CCC3817"/>
    <w:rsid w:val="5CD11697"/>
    <w:rsid w:val="5CD34BA6"/>
    <w:rsid w:val="5CDC1CAC"/>
    <w:rsid w:val="5CE17595"/>
    <w:rsid w:val="5CE70651"/>
    <w:rsid w:val="5CE773E6"/>
    <w:rsid w:val="5CF50FC0"/>
    <w:rsid w:val="5CF76AE6"/>
    <w:rsid w:val="5CFD1C22"/>
    <w:rsid w:val="5CFD7E74"/>
    <w:rsid w:val="5D0134C1"/>
    <w:rsid w:val="5D027239"/>
    <w:rsid w:val="5D047455"/>
    <w:rsid w:val="5D064F7B"/>
    <w:rsid w:val="5D096819"/>
    <w:rsid w:val="5D1256CE"/>
    <w:rsid w:val="5D1458EA"/>
    <w:rsid w:val="5D1F7DEB"/>
    <w:rsid w:val="5D290C69"/>
    <w:rsid w:val="5D3142EC"/>
    <w:rsid w:val="5D325D70"/>
    <w:rsid w:val="5D335644"/>
    <w:rsid w:val="5D3715D8"/>
    <w:rsid w:val="5D375134"/>
    <w:rsid w:val="5D415FB3"/>
    <w:rsid w:val="5D465377"/>
    <w:rsid w:val="5D577585"/>
    <w:rsid w:val="5D5977A1"/>
    <w:rsid w:val="5D5A7075"/>
    <w:rsid w:val="5D5D1495"/>
    <w:rsid w:val="5D5E6B65"/>
    <w:rsid w:val="5D600B2F"/>
    <w:rsid w:val="5D663C6C"/>
    <w:rsid w:val="5D6879E4"/>
    <w:rsid w:val="5D6B1052"/>
    <w:rsid w:val="5D746389"/>
    <w:rsid w:val="5D79399F"/>
    <w:rsid w:val="5D79574D"/>
    <w:rsid w:val="5D7A14C5"/>
    <w:rsid w:val="5D810890"/>
    <w:rsid w:val="5D845EA0"/>
    <w:rsid w:val="5D8A5BAC"/>
    <w:rsid w:val="5D9C768D"/>
    <w:rsid w:val="5D9E1657"/>
    <w:rsid w:val="5DA327CA"/>
    <w:rsid w:val="5DA86032"/>
    <w:rsid w:val="5DAA3B58"/>
    <w:rsid w:val="5DAB167E"/>
    <w:rsid w:val="5DAD189A"/>
    <w:rsid w:val="5DB05036"/>
    <w:rsid w:val="5DBB290C"/>
    <w:rsid w:val="5DC44938"/>
    <w:rsid w:val="5DC866D4"/>
    <w:rsid w:val="5DCA5FA9"/>
    <w:rsid w:val="5DCE3D00"/>
    <w:rsid w:val="5DD010E5"/>
    <w:rsid w:val="5DD72473"/>
    <w:rsid w:val="5DDC5CDC"/>
    <w:rsid w:val="5DDC7A8A"/>
    <w:rsid w:val="5DEA664B"/>
    <w:rsid w:val="5DEC2753"/>
    <w:rsid w:val="5DEC4171"/>
    <w:rsid w:val="5DF0765F"/>
    <w:rsid w:val="5DF360BE"/>
    <w:rsid w:val="5DF5102F"/>
    <w:rsid w:val="5E070FAB"/>
    <w:rsid w:val="5E0F1C0D"/>
    <w:rsid w:val="5E176D14"/>
    <w:rsid w:val="5E1A4977"/>
    <w:rsid w:val="5E1E4546"/>
    <w:rsid w:val="5E1F0C11"/>
    <w:rsid w:val="5E20206C"/>
    <w:rsid w:val="5E251431"/>
    <w:rsid w:val="5E2D4789"/>
    <w:rsid w:val="5E2F22B0"/>
    <w:rsid w:val="5E31427A"/>
    <w:rsid w:val="5E337FF2"/>
    <w:rsid w:val="5E394EDC"/>
    <w:rsid w:val="5E3B2A02"/>
    <w:rsid w:val="5E3C677A"/>
    <w:rsid w:val="5E457D25"/>
    <w:rsid w:val="5E47584B"/>
    <w:rsid w:val="5E48511F"/>
    <w:rsid w:val="5E4E54AA"/>
    <w:rsid w:val="5E543AC4"/>
    <w:rsid w:val="5E563CE0"/>
    <w:rsid w:val="5E581806"/>
    <w:rsid w:val="5E59557E"/>
    <w:rsid w:val="5E602469"/>
    <w:rsid w:val="5E6774EE"/>
    <w:rsid w:val="5E710B1A"/>
    <w:rsid w:val="5E781EA8"/>
    <w:rsid w:val="5E7B54F5"/>
    <w:rsid w:val="5E892B2C"/>
    <w:rsid w:val="5E897C12"/>
    <w:rsid w:val="5E8C5954"/>
    <w:rsid w:val="5E8E5228"/>
    <w:rsid w:val="5E9131FE"/>
    <w:rsid w:val="5E96232F"/>
    <w:rsid w:val="5E9A2F3A"/>
    <w:rsid w:val="5E9B7945"/>
    <w:rsid w:val="5E9D36BD"/>
    <w:rsid w:val="5EA04F5B"/>
    <w:rsid w:val="5EA24E14"/>
    <w:rsid w:val="5EA70098"/>
    <w:rsid w:val="5EA92062"/>
    <w:rsid w:val="5EAD2120"/>
    <w:rsid w:val="5EAE3EF0"/>
    <w:rsid w:val="5EAE7678"/>
    <w:rsid w:val="5EB629D1"/>
    <w:rsid w:val="5EB84053"/>
    <w:rsid w:val="5EBD5B0D"/>
    <w:rsid w:val="5EC549C2"/>
    <w:rsid w:val="5EC96260"/>
    <w:rsid w:val="5ECA1FD8"/>
    <w:rsid w:val="5ECC7AFE"/>
    <w:rsid w:val="5ED30E8D"/>
    <w:rsid w:val="5ED82947"/>
    <w:rsid w:val="5EE412EC"/>
    <w:rsid w:val="5EEC1F4F"/>
    <w:rsid w:val="5EED6B4B"/>
    <w:rsid w:val="5EF77271"/>
    <w:rsid w:val="5EFD0600"/>
    <w:rsid w:val="5EFD23AE"/>
    <w:rsid w:val="5F076D88"/>
    <w:rsid w:val="5F0B4ACB"/>
    <w:rsid w:val="5F155949"/>
    <w:rsid w:val="5F217E4A"/>
    <w:rsid w:val="5F2913F5"/>
    <w:rsid w:val="5F2B0CC9"/>
    <w:rsid w:val="5F335DC1"/>
    <w:rsid w:val="5F3C4C84"/>
    <w:rsid w:val="5F3E6C4E"/>
    <w:rsid w:val="5F41229A"/>
    <w:rsid w:val="5F4839A3"/>
    <w:rsid w:val="5F4E49B7"/>
    <w:rsid w:val="5F526256"/>
    <w:rsid w:val="5F5521EA"/>
    <w:rsid w:val="5F5C0E82"/>
    <w:rsid w:val="5F5E109E"/>
    <w:rsid w:val="5F5F4E16"/>
    <w:rsid w:val="5F675E99"/>
    <w:rsid w:val="5F681F1D"/>
    <w:rsid w:val="5F685A79"/>
    <w:rsid w:val="5F6B7317"/>
    <w:rsid w:val="5F7268F8"/>
    <w:rsid w:val="5F812FDF"/>
    <w:rsid w:val="5F85487D"/>
    <w:rsid w:val="5F881C77"/>
    <w:rsid w:val="5F88611B"/>
    <w:rsid w:val="5F887EC9"/>
    <w:rsid w:val="5F8A1E93"/>
    <w:rsid w:val="5F8B1768"/>
    <w:rsid w:val="5F9069E1"/>
    <w:rsid w:val="5F93061C"/>
    <w:rsid w:val="5F97237B"/>
    <w:rsid w:val="5F9E593F"/>
    <w:rsid w:val="5F9F1AF5"/>
    <w:rsid w:val="5FA12D39"/>
    <w:rsid w:val="5FA565F1"/>
    <w:rsid w:val="5FAF36A8"/>
    <w:rsid w:val="5FB85611"/>
    <w:rsid w:val="5FBC7B73"/>
    <w:rsid w:val="5FBE38EB"/>
    <w:rsid w:val="5FC3459E"/>
    <w:rsid w:val="5FD650D9"/>
    <w:rsid w:val="5FD90725"/>
    <w:rsid w:val="5FD96977"/>
    <w:rsid w:val="5FDE3F8D"/>
    <w:rsid w:val="5FE01AB3"/>
    <w:rsid w:val="5FE62E42"/>
    <w:rsid w:val="5FE64BF0"/>
    <w:rsid w:val="5FED1E6F"/>
    <w:rsid w:val="5FEE0EAB"/>
    <w:rsid w:val="5FEF1CF6"/>
    <w:rsid w:val="5FF11F12"/>
    <w:rsid w:val="5FF13CC0"/>
    <w:rsid w:val="5FF27A39"/>
    <w:rsid w:val="5FF612D7"/>
    <w:rsid w:val="600339F4"/>
    <w:rsid w:val="600A6B30"/>
    <w:rsid w:val="6014175D"/>
    <w:rsid w:val="601856F1"/>
    <w:rsid w:val="60193217"/>
    <w:rsid w:val="601E438A"/>
    <w:rsid w:val="602837DB"/>
    <w:rsid w:val="602B6AA7"/>
    <w:rsid w:val="602D0A71"/>
    <w:rsid w:val="602D281F"/>
    <w:rsid w:val="603040BD"/>
    <w:rsid w:val="603D6F06"/>
    <w:rsid w:val="60450FE5"/>
    <w:rsid w:val="60453A0D"/>
    <w:rsid w:val="604858AA"/>
    <w:rsid w:val="604A33D1"/>
    <w:rsid w:val="604B7CD1"/>
    <w:rsid w:val="604C0EF7"/>
    <w:rsid w:val="60593614"/>
    <w:rsid w:val="60595773"/>
    <w:rsid w:val="60695F4D"/>
    <w:rsid w:val="606A75CF"/>
    <w:rsid w:val="606E3563"/>
    <w:rsid w:val="60714E01"/>
    <w:rsid w:val="607246D5"/>
    <w:rsid w:val="60732927"/>
    <w:rsid w:val="60762184"/>
    <w:rsid w:val="6085265B"/>
    <w:rsid w:val="60870181"/>
    <w:rsid w:val="60885CA7"/>
    <w:rsid w:val="608F7035"/>
    <w:rsid w:val="60956D42"/>
    <w:rsid w:val="60A10678"/>
    <w:rsid w:val="60A2320D"/>
    <w:rsid w:val="60A32AE1"/>
    <w:rsid w:val="60A41A75"/>
    <w:rsid w:val="60A67467"/>
    <w:rsid w:val="60B71822"/>
    <w:rsid w:val="60C018E5"/>
    <w:rsid w:val="60C07B37"/>
    <w:rsid w:val="60C51A2C"/>
    <w:rsid w:val="60C72C73"/>
    <w:rsid w:val="60C767CF"/>
    <w:rsid w:val="60CC64DC"/>
    <w:rsid w:val="60E46382"/>
    <w:rsid w:val="60E5134B"/>
    <w:rsid w:val="60E70C20"/>
    <w:rsid w:val="60F40E74"/>
    <w:rsid w:val="60FF41BB"/>
    <w:rsid w:val="61001CE1"/>
    <w:rsid w:val="61023342"/>
    <w:rsid w:val="61037798"/>
    <w:rsid w:val="61083D56"/>
    <w:rsid w:val="610C0686"/>
    <w:rsid w:val="61136969"/>
    <w:rsid w:val="6115578D"/>
    <w:rsid w:val="611F03B9"/>
    <w:rsid w:val="612956DC"/>
    <w:rsid w:val="61305197"/>
    <w:rsid w:val="613320B7"/>
    <w:rsid w:val="61371BA7"/>
    <w:rsid w:val="613A3445"/>
    <w:rsid w:val="613D2F35"/>
    <w:rsid w:val="614339CA"/>
    <w:rsid w:val="61453B98"/>
    <w:rsid w:val="614918DA"/>
    <w:rsid w:val="6151253D"/>
    <w:rsid w:val="61532759"/>
    <w:rsid w:val="61573FF7"/>
    <w:rsid w:val="615C785F"/>
    <w:rsid w:val="615E35D8"/>
    <w:rsid w:val="61614E76"/>
    <w:rsid w:val="616B1851"/>
    <w:rsid w:val="616D2169"/>
    <w:rsid w:val="616D381B"/>
    <w:rsid w:val="6171498D"/>
    <w:rsid w:val="617D3332"/>
    <w:rsid w:val="617E77D6"/>
    <w:rsid w:val="617F52FC"/>
    <w:rsid w:val="618172C6"/>
    <w:rsid w:val="6183303E"/>
    <w:rsid w:val="618F19E3"/>
    <w:rsid w:val="619E1C26"/>
    <w:rsid w:val="61A134C4"/>
    <w:rsid w:val="61A30FEA"/>
    <w:rsid w:val="61AA6976"/>
    <w:rsid w:val="61BF7DEE"/>
    <w:rsid w:val="61C947C9"/>
    <w:rsid w:val="61C96577"/>
    <w:rsid w:val="61CA2A1B"/>
    <w:rsid w:val="61CB22EF"/>
    <w:rsid w:val="61CD42B9"/>
    <w:rsid w:val="61D5316E"/>
    <w:rsid w:val="61D90EB0"/>
    <w:rsid w:val="61DA0784"/>
    <w:rsid w:val="61DF3FED"/>
    <w:rsid w:val="61E11B13"/>
    <w:rsid w:val="61E260EE"/>
    <w:rsid w:val="61E33ADD"/>
    <w:rsid w:val="61E635CD"/>
    <w:rsid w:val="61EA6C19"/>
    <w:rsid w:val="61EB2991"/>
    <w:rsid w:val="61F0489F"/>
    <w:rsid w:val="61FF01EB"/>
    <w:rsid w:val="620121B5"/>
    <w:rsid w:val="620F6680"/>
    <w:rsid w:val="621041A6"/>
    <w:rsid w:val="62143C96"/>
    <w:rsid w:val="62193D9A"/>
    <w:rsid w:val="622B1281"/>
    <w:rsid w:val="623065F6"/>
    <w:rsid w:val="62314848"/>
    <w:rsid w:val="62373E29"/>
    <w:rsid w:val="623936FD"/>
    <w:rsid w:val="623C4F9B"/>
    <w:rsid w:val="623C56CB"/>
    <w:rsid w:val="623E0D13"/>
    <w:rsid w:val="623F6839"/>
    <w:rsid w:val="624F2F20"/>
    <w:rsid w:val="62522A10"/>
    <w:rsid w:val="625B3673"/>
    <w:rsid w:val="62600C89"/>
    <w:rsid w:val="62614A02"/>
    <w:rsid w:val="6263077A"/>
    <w:rsid w:val="6263743D"/>
    <w:rsid w:val="626A1B08"/>
    <w:rsid w:val="626F711E"/>
    <w:rsid w:val="627209BD"/>
    <w:rsid w:val="62724313"/>
    <w:rsid w:val="62796B4D"/>
    <w:rsid w:val="627E7362"/>
    <w:rsid w:val="628250A4"/>
    <w:rsid w:val="62854B94"/>
    <w:rsid w:val="62856942"/>
    <w:rsid w:val="62864468"/>
    <w:rsid w:val="6291178B"/>
    <w:rsid w:val="62946B85"/>
    <w:rsid w:val="62950435"/>
    <w:rsid w:val="6299063F"/>
    <w:rsid w:val="629D0130"/>
    <w:rsid w:val="62A82630"/>
    <w:rsid w:val="62AC0CF9"/>
    <w:rsid w:val="62BE2037"/>
    <w:rsid w:val="62C236F2"/>
    <w:rsid w:val="62DB2A06"/>
    <w:rsid w:val="62DD22DA"/>
    <w:rsid w:val="62E0001C"/>
    <w:rsid w:val="62E418BB"/>
    <w:rsid w:val="62E431E5"/>
    <w:rsid w:val="62E96ED1"/>
    <w:rsid w:val="62F35FA1"/>
    <w:rsid w:val="62F52605"/>
    <w:rsid w:val="63027F93"/>
    <w:rsid w:val="63161C90"/>
    <w:rsid w:val="63170935"/>
    <w:rsid w:val="632223E3"/>
    <w:rsid w:val="6324615B"/>
    <w:rsid w:val="63291345"/>
    <w:rsid w:val="6333639E"/>
    <w:rsid w:val="633640E0"/>
    <w:rsid w:val="633839B4"/>
    <w:rsid w:val="633A3BD0"/>
    <w:rsid w:val="633B34A5"/>
    <w:rsid w:val="633B6B97"/>
    <w:rsid w:val="633D721D"/>
    <w:rsid w:val="634265E1"/>
    <w:rsid w:val="634B7B8C"/>
    <w:rsid w:val="634E31D8"/>
    <w:rsid w:val="63500CFE"/>
    <w:rsid w:val="63534C92"/>
    <w:rsid w:val="63583DC3"/>
    <w:rsid w:val="635A7DCF"/>
    <w:rsid w:val="635D166D"/>
    <w:rsid w:val="636724EC"/>
    <w:rsid w:val="63691DC0"/>
    <w:rsid w:val="63715118"/>
    <w:rsid w:val="63795CCD"/>
    <w:rsid w:val="637D1D0F"/>
    <w:rsid w:val="63864720"/>
    <w:rsid w:val="638C5AAE"/>
    <w:rsid w:val="63923C5C"/>
    <w:rsid w:val="63937C6E"/>
    <w:rsid w:val="63950E07"/>
    <w:rsid w:val="639826A5"/>
    <w:rsid w:val="639C2195"/>
    <w:rsid w:val="639D5F0D"/>
    <w:rsid w:val="63A1155A"/>
    <w:rsid w:val="63A454EE"/>
    <w:rsid w:val="63A64DC2"/>
    <w:rsid w:val="63A728E8"/>
    <w:rsid w:val="63A948B2"/>
    <w:rsid w:val="63AE011A"/>
    <w:rsid w:val="63AE1EC8"/>
    <w:rsid w:val="63AE3C76"/>
    <w:rsid w:val="63B079EF"/>
    <w:rsid w:val="63BA6ABF"/>
    <w:rsid w:val="63BE65AF"/>
    <w:rsid w:val="63C4349A"/>
    <w:rsid w:val="63C4484F"/>
    <w:rsid w:val="63C65464"/>
    <w:rsid w:val="63C82F8A"/>
    <w:rsid w:val="63D00091"/>
    <w:rsid w:val="63D062E3"/>
    <w:rsid w:val="63D63E84"/>
    <w:rsid w:val="63D77671"/>
    <w:rsid w:val="63D812D0"/>
    <w:rsid w:val="63DC64F9"/>
    <w:rsid w:val="63DD630A"/>
    <w:rsid w:val="63E0034F"/>
    <w:rsid w:val="63E455BB"/>
    <w:rsid w:val="63E678B4"/>
    <w:rsid w:val="63EB0A27"/>
    <w:rsid w:val="63EF49BB"/>
    <w:rsid w:val="63F773CC"/>
    <w:rsid w:val="63FA3360"/>
    <w:rsid w:val="63FE4BFE"/>
    <w:rsid w:val="64061766"/>
    <w:rsid w:val="64144421"/>
    <w:rsid w:val="64175CC0"/>
    <w:rsid w:val="641C5084"/>
    <w:rsid w:val="641F4B74"/>
    <w:rsid w:val="64267CB1"/>
    <w:rsid w:val="64271867"/>
    <w:rsid w:val="643423CE"/>
    <w:rsid w:val="643C74D4"/>
    <w:rsid w:val="64427974"/>
    <w:rsid w:val="644338BB"/>
    <w:rsid w:val="64462101"/>
    <w:rsid w:val="644A7E43"/>
    <w:rsid w:val="64520AA6"/>
    <w:rsid w:val="64590086"/>
    <w:rsid w:val="645C1924"/>
    <w:rsid w:val="64601415"/>
    <w:rsid w:val="646031C3"/>
    <w:rsid w:val="64632CB3"/>
    <w:rsid w:val="646507D9"/>
    <w:rsid w:val="646A04A1"/>
    <w:rsid w:val="64701E66"/>
    <w:rsid w:val="647664C4"/>
    <w:rsid w:val="64784E00"/>
    <w:rsid w:val="647E5D3F"/>
    <w:rsid w:val="64836EB1"/>
    <w:rsid w:val="649015CE"/>
    <w:rsid w:val="6494748A"/>
    <w:rsid w:val="64983DB0"/>
    <w:rsid w:val="649D0B69"/>
    <w:rsid w:val="64A01811"/>
    <w:rsid w:val="64A532CB"/>
    <w:rsid w:val="64AC465A"/>
    <w:rsid w:val="64AD3F2E"/>
    <w:rsid w:val="64B14FF4"/>
    <w:rsid w:val="64B33C3A"/>
    <w:rsid w:val="64B41760"/>
    <w:rsid w:val="64B60DE0"/>
    <w:rsid w:val="64B67287"/>
    <w:rsid w:val="64BB489D"/>
    <w:rsid w:val="64C5008F"/>
    <w:rsid w:val="64C73242"/>
    <w:rsid w:val="64C86FBA"/>
    <w:rsid w:val="64CC5391"/>
    <w:rsid w:val="64D06D18"/>
    <w:rsid w:val="64D63485"/>
    <w:rsid w:val="64D67929"/>
    <w:rsid w:val="64DA2918"/>
    <w:rsid w:val="64DE67DD"/>
    <w:rsid w:val="64E2007C"/>
    <w:rsid w:val="64E52733"/>
    <w:rsid w:val="64EE6A20"/>
    <w:rsid w:val="64EF2799"/>
    <w:rsid w:val="64F8164D"/>
    <w:rsid w:val="64FB2EEB"/>
    <w:rsid w:val="65095EBC"/>
    <w:rsid w:val="650A1380"/>
    <w:rsid w:val="650C334B"/>
    <w:rsid w:val="65110961"/>
    <w:rsid w:val="65197815"/>
    <w:rsid w:val="651F307E"/>
    <w:rsid w:val="65222B6E"/>
    <w:rsid w:val="652266CA"/>
    <w:rsid w:val="652F5BBD"/>
    <w:rsid w:val="65332685"/>
    <w:rsid w:val="65363F24"/>
    <w:rsid w:val="65375793"/>
    <w:rsid w:val="65393A14"/>
    <w:rsid w:val="653B3C30"/>
    <w:rsid w:val="654B3E73"/>
    <w:rsid w:val="654F4FE5"/>
    <w:rsid w:val="655D5954"/>
    <w:rsid w:val="655F16CC"/>
    <w:rsid w:val="656211BC"/>
    <w:rsid w:val="65660CAD"/>
    <w:rsid w:val="65815AE7"/>
    <w:rsid w:val="65827169"/>
    <w:rsid w:val="658630FD"/>
    <w:rsid w:val="65984BDE"/>
    <w:rsid w:val="659B022A"/>
    <w:rsid w:val="65A11CE5"/>
    <w:rsid w:val="65A215B9"/>
    <w:rsid w:val="65A610A9"/>
    <w:rsid w:val="65A74E21"/>
    <w:rsid w:val="65AC068A"/>
    <w:rsid w:val="65B31A18"/>
    <w:rsid w:val="65BC08CD"/>
    <w:rsid w:val="65C71020"/>
    <w:rsid w:val="65C77271"/>
    <w:rsid w:val="65C9123C"/>
    <w:rsid w:val="65CE6852"/>
    <w:rsid w:val="65D06126"/>
    <w:rsid w:val="65D774B5"/>
    <w:rsid w:val="65E41BD1"/>
    <w:rsid w:val="65E971E8"/>
    <w:rsid w:val="65EB2F60"/>
    <w:rsid w:val="65ED4F2A"/>
    <w:rsid w:val="65F22540"/>
    <w:rsid w:val="65FA13F5"/>
    <w:rsid w:val="66013A00"/>
    <w:rsid w:val="6603474E"/>
    <w:rsid w:val="66291CDA"/>
    <w:rsid w:val="662C727A"/>
    <w:rsid w:val="662D3578"/>
    <w:rsid w:val="662E109F"/>
    <w:rsid w:val="66344907"/>
    <w:rsid w:val="663A5C95"/>
    <w:rsid w:val="663F32AC"/>
    <w:rsid w:val="66434B4A"/>
    <w:rsid w:val="66444D37"/>
    <w:rsid w:val="664457FD"/>
    <w:rsid w:val="6646288C"/>
    <w:rsid w:val="66487FB8"/>
    <w:rsid w:val="664E39F8"/>
    <w:rsid w:val="665705F5"/>
    <w:rsid w:val="665C32B6"/>
    <w:rsid w:val="665C3E5E"/>
    <w:rsid w:val="665E3732"/>
    <w:rsid w:val="66682803"/>
    <w:rsid w:val="666B22F3"/>
    <w:rsid w:val="666D606B"/>
    <w:rsid w:val="66723681"/>
    <w:rsid w:val="667264C2"/>
    <w:rsid w:val="667271DD"/>
    <w:rsid w:val="66770C98"/>
    <w:rsid w:val="667B0788"/>
    <w:rsid w:val="66815672"/>
    <w:rsid w:val="66860B6A"/>
    <w:rsid w:val="668D4017"/>
    <w:rsid w:val="668F1B3D"/>
    <w:rsid w:val="66935F70"/>
    <w:rsid w:val="6694184A"/>
    <w:rsid w:val="669730E8"/>
    <w:rsid w:val="669E4476"/>
    <w:rsid w:val="66A15D14"/>
    <w:rsid w:val="66A60651"/>
    <w:rsid w:val="66AB26EF"/>
    <w:rsid w:val="66B477F6"/>
    <w:rsid w:val="66B912B0"/>
    <w:rsid w:val="66C13CC1"/>
    <w:rsid w:val="66C20165"/>
    <w:rsid w:val="66C51A03"/>
    <w:rsid w:val="66C57C55"/>
    <w:rsid w:val="66C67529"/>
    <w:rsid w:val="66C7577B"/>
    <w:rsid w:val="66D01786"/>
    <w:rsid w:val="66D165FA"/>
    <w:rsid w:val="66D41C46"/>
    <w:rsid w:val="66D63C10"/>
    <w:rsid w:val="66D734E4"/>
    <w:rsid w:val="66D93700"/>
    <w:rsid w:val="66E16111"/>
    <w:rsid w:val="66EC6F90"/>
    <w:rsid w:val="66F30C81"/>
    <w:rsid w:val="66F549FB"/>
    <w:rsid w:val="66FB5425"/>
    <w:rsid w:val="66FE6CC3"/>
    <w:rsid w:val="6704520E"/>
    <w:rsid w:val="67177D85"/>
    <w:rsid w:val="67185FD7"/>
    <w:rsid w:val="67193AFD"/>
    <w:rsid w:val="671F0AB5"/>
    <w:rsid w:val="67235902"/>
    <w:rsid w:val="672506F4"/>
    <w:rsid w:val="6732696D"/>
    <w:rsid w:val="67334BBF"/>
    <w:rsid w:val="67395F4D"/>
    <w:rsid w:val="673B3A73"/>
    <w:rsid w:val="6744501E"/>
    <w:rsid w:val="67446219"/>
    <w:rsid w:val="674F5770"/>
    <w:rsid w:val="67542D87"/>
    <w:rsid w:val="675747A9"/>
    <w:rsid w:val="675B5EC3"/>
    <w:rsid w:val="675E59B4"/>
    <w:rsid w:val="676F7BC1"/>
    <w:rsid w:val="677376B1"/>
    <w:rsid w:val="67746F85"/>
    <w:rsid w:val="677B6565"/>
    <w:rsid w:val="6781623E"/>
    <w:rsid w:val="67825B46"/>
    <w:rsid w:val="67896ED4"/>
    <w:rsid w:val="678A67A9"/>
    <w:rsid w:val="678C0773"/>
    <w:rsid w:val="67955879"/>
    <w:rsid w:val="67964D29"/>
    <w:rsid w:val="67A45ABC"/>
    <w:rsid w:val="67A55468"/>
    <w:rsid w:val="67A65BC3"/>
    <w:rsid w:val="67AE693B"/>
    <w:rsid w:val="67B101D9"/>
    <w:rsid w:val="67BB4006"/>
    <w:rsid w:val="67BD26DA"/>
    <w:rsid w:val="67BE06DE"/>
    <w:rsid w:val="67BF28F6"/>
    <w:rsid w:val="67C1041C"/>
    <w:rsid w:val="67C223E6"/>
    <w:rsid w:val="67C43A69"/>
    <w:rsid w:val="67C577E1"/>
    <w:rsid w:val="67C61D1E"/>
    <w:rsid w:val="67CC6DC1"/>
    <w:rsid w:val="67D05125"/>
    <w:rsid w:val="67D22517"/>
    <w:rsid w:val="67D55C76"/>
    <w:rsid w:val="67DD4B2A"/>
    <w:rsid w:val="67DE07AA"/>
    <w:rsid w:val="67E660D5"/>
    <w:rsid w:val="67E91721"/>
    <w:rsid w:val="67EC1211"/>
    <w:rsid w:val="680117A9"/>
    <w:rsid w:val="68012F0F"/>
    <w:rsid w:val="68077DF9"/>
    <w:rsid w:val="6809591F"/>
    <w:rsid w:val="68103152"/>
    <w:rsid w:val="681B08E1"/>
    <w:rsid w:val="68224C33"/>
    <w:rsid w:val="682664D1"/>
    <w:rsid w:val="6828049B"/>
    <w:rsid w:val="68295FC1"/>
    <w:rsid w:val="682A2A45"/>
    <w:rsid w:val="682B1D3A"/>
    <w:rsid w:val="682E35D8"/>
    <w:rsid w:val="683E7CBF"/>
    <w:rsid w:val="685017A0"/>
    <w:rsid w:val="68555008"/>
    <w:rsid w:val="68582403"/>
    <w:rsid w:val="685F19E3"/>
    <w:rsid w:val="6861575B"/>
    <w:rsid w:val="6864130D"/>
    <w:rsid w:val="686718EC"/>
    <w:rsid w:val="686F60CA"/>
    <w:rsid w:val="686F7E78"/>
    <w:rsid w:val="68751207"/>
    <w:rsid w:val="688B0A2A"/>
    <w:rsid w:val="68945B31"/>
    <w:rsid w:val="689E250C"/>
    <w:rsid w:val="689F0032"/>
    <w:rsid w:val="68AA7102"/>
    <w:rsid w:val="68AD274F"/>
    <w:rsid w:val="68B211C7"/>
    <w:rsid w:val="68B910F3"/>
    <w:rsid w:val="68B95597"/>
    <w:rsid w:val="68C96EA3"/>
    <w:rsid w:val="68CC52CB"/>
    <w:rsid w:val="68CD37B6"/>
    <w:rsid w:val="68CF0917"/>
    <w:rsid w:val="68CF4DBB"/>
    <w:rsid w:val="68DB1440"/>
    <w:rsid w:val="68E32614"/>
    <w:rsid w:val="68ED6FEF"/>
    <w:rsid w:val="68EF0FB9"/>
    <w:rsid w:val="68F10EFC"/>
    <w:rsid w:val="68F22857"/>
    <w:rsid w:val="68F44821"/>
    <w:rsid w:val="68F95994"/>
    <w:rsid w:val="68FC5C48"/>
    <w:rsid w:val="69004F74"/>
    <w:rsid w:val="690D143F"/>
    <w:rsid w:val="69140A20"/>
    <w:rsid w:val="69175381"/>
    <w:rsid w:val="69232A11"/>
    <w:rsid w:val="692A0243"/>
    <w:rsid w:val="692E7D33"/>
    <w:rsid w:val="693370F8"/>
    <w:rsid w:val="69366BE8"/>
    <w:rsid w:val="6938470E"/>
    <w:rsid w:val="69390486"/>
    <w:rsid w:val="694330B3"/>
    <w:rsid w:val="694A4441"/>
    <w:rsid w:val="694D7A8E"/>
    <w:rsid w:val="69513A22"/>
    <w:rsid w:val="6953779A"/>
    <w:rsid w:val="695F0FA6"/>
    <w:rsid w:val="696234C0"/>
    <w:rsid w:val="69676DA1"/>
    <w:rsid w:val="697414BE"/>
    <w:rsid w:val="69780FAF"/>
    <w:rsid w:val="69791212"/>
    <w:rsid w:val="697A2F79"/>
    <w:rsid w:val="697B284D"/>
    <w:rsid w:val="69825989"/>
    <w:rsid w:val="69827B00"/>
    <w:rsid w:val="698536CB"/>
    <w:rsid w:val="698A6F34"/>
    <w:rsid w:val="698E432E"/>
    <w:rsid w:val="69935DE8"/>
    <w:rsid w:val="699F478D"/>
    <w:rsid w:val="69AE2C22"/>
    <w:rsid w:val="69AF0748"/>
    <w:rsid w:val="69B55D5F"/>
    <w:rsid w:val="69C97A5C"/>
    <w:rsid w:val="69D00DEB"/>
    <w:rsid w:val="69D75139"/>
    <w:rsid w:val="69D81A4D"/>
    <w:rsid w:val="69DD52B6"/>
    <w:rsid w:val="69EA30F4"/>
    <w:rsid w:val="69EB1780"/>
    <w:rsid w:val="69EC72A7"/>
    <w:rsid w:val="69F745C9"/>
    <w:rsid w:val="69F820EF"/>
    <w:rsid w:val="69F83E9D"/>
    <w:rsid w:val="69FF347E"/>
    <w:rsid w:val="6A0279C4"/>
    <w:rsid w:val="6A050B73"/>
    <w:rsid w:val="6A097E59"/>
    <w:rsid w:val="6A0E546F"/>
    <w:rsid w:val="6A116D0D"/>
    <w:rsid w:val="6A132A85"/>
    <w:rsid w:val="6A164324"/>
    <w:rsid w:val="6A1707C7"/>
    <w:rsid w:val="6A1C5DDE"/>
    <w:rsid w:val="6A2133F4"/>
    <w:rsid w:val="6A22716C"/>
    <w:rsid w:val="6A260A0B"/>
    <w:rsid w:val="6A2829D5"/>
    <w:rsid w:val="6A2922A9"/>
    <w:rsid w:val="6A2B4273"/>
    <w:rsid w:val="6A2E78BF"/>
    <w:rsid w:val="6A303637"/>
    <w:rsid w:val="6A325314"/>
    <w:rsid w:val="6A356EA0"/>
    <w:rsid w:val="6A3C0286"/>
    <w:rsid w:val="6A440E91"/>
    <w:rsid w:val="6A4A3D0D"/>
    <w:rsid w:val="6A554E4C"/>
    <w:rsid w:val="6A627569"/>
    <w:rsid w:val="6A633A0D"/>
    <w:rsid w:val="6A6908F7"/>
    <w:rsid w:val="6A6D1C85"/>
    <w:rsid w:val="6A6D488B"/>
    <w:rsid w:val="6A6D6639"/>
    <w:rsid w:val="6A7379C8"/>
    <w:rsid w:val="6A7C062B"/>
    <w:rsid w:val="6A885221"/>
    <w:rsid w:val="6A99742E"/>
    <w:rsid w:val="6A997972"/>
    <w:rsid w:val="6A9D24BE"/>
    <w:rsid w:val="6AA14535"/>
    <w:rsid w:val="6AA33E09"/>
    <w:rsid w:val="6AA67D9D"/>
    <w:rsid w:val="6AAB1C27"/>
    <w:rsid w:val="6AAD2EDA"/>
    <w:rsid w:val="6AAF6C52"/>
    <w:rsid w:val="6ABC4ECB"/>
    <w:rsid w:val="6ABD5D58"/>
    <w:rsid w:val="6AC00E5F"/>
    <w:rsid w:val="6AC10733"/>
    <w:rsid w:val="6AC51778"/>
    <w:rsid w:val="6AD466B8"/>
    <w:rsid w:val="6ADE7537"/>
    <w:rsid w:val="6ADF0BB9"/>
    <w:rsid w:val="6AE82164"/>
    <w:rsid w:val="6AF91C7B"/>
    <w:rsid w:val="6AF97ECD"/>
    <w:rsid w:val="6AFC79BD"/>
    <w:rsid w:val="6B00125C"/>
    <w:rsid w:val="6B030D4C"/>
    <w:rsid w:val="6B056872"/>
    <w:rsid w:val="6B080110"/>
    <w:rsid w:val="6B0D1BCA"/>
    <w:rsid w:val="6B0E014E"/>
    <w:rsid w:val="6B122D3D"/>
    <w:rsid w:val="6B1271E1"/>
    <w:rsid w:val="6B146AB5"/>
    <w:rsid w:val="6B15282D"/>
    <w:rsid w:val="6B1940CB"/>
    <w:rsid w:val="6B1A2FCA"/>
    <w:rsid w:val="6B1B7E43"/>
    <w:rsid w:val="6B1E18A8"/>
    <w:rsid w:val="6B286F26"/>
    <w:rsid w:val="6B2C4A86"/>
    <w:rsid w:val="6B2D401B"/>
    <w:rsid w:val="6B321631"/>
    <w:rsid w:val="6B36061A"/>
    <w:rsid w:val="6B3C04CC"/>
    <w:rsid w:val="6B421F06"/>
    <w:rsid w:val="6B4355EC"/>
    <w:rsid w:val="6B451364"/>
    <w:rsid w:val="6B476E8A"/>
    <w:rsid w:val="6B480E55"/>
    <w:rsid w:val="6B4849B1"/>
    <w:rsid w:val="6B4D1FC7"/>
    <w:rsid w:val="6B4D48EE"/>
    <w:rsid w:val="6B5B0B88"/>
    <w:rsid w:val="6B621F16"/>
    <w:rsid w:val="6B6317EA"/>
    <w:rsid w:val="6B737C7F"/>
    <w:rsid w:val="6B7901B0"/>
    <w:rsid w:val="6B7F12E5"/>
    <w:rsid w:val="6B8579B3"/>
    <w:rsid w:val="6B87372B"/>
    <w:rsid w:val="6B8C0D41"/>
    <w:rsid w:val="6B8F210E"/>
    <w:rsid w:val="6B985938"/>
    <w:rsid w:val="6B985FB6"/>
    <w:rsid w:val="6B9B2D32"/>
    <w:rsid w:val="6B9D4CFC"/>
    <w:rsid w:val="6B9E2823"/>
    <w:rsid w:val="6BAA566B"/>
    <w:rsid w:val="6BAA7419"/>
    <w:rsid w:val="6BAE6F0A"/>
    <w:rsid w:val="6BAF2C82"/>
    <w:rsid w:val="6BB34520"/>
    <w:rsid w:val="6BB42046"/>
    <w:rsid w:val="6BC56001"/>
    <w:rsid w:val="6BCC55E2"/>
    <w:rsid w:val="6BCC7390"/>
    <w:rsid w:val="6BD050D2"/>
    <w:rsid w:val="6BE4292B"/>
    <w:rsid w:val="6BE446D9"/>
    <w:rsid w:val="6BEC4697"/>
    <w:rsid w:val="6BF15048"/>
    <w:rsid w:val="6BFD1C3F"/>
    <w:rsid w:val="6C030E67"/>
    <w:rsid w:val="6C052B01"/>
    <w:rsid w:val="6C054650"/>
    <w:rsid w:val="6C060AF4"/>
    <w:rsid w:val="6C07486C"/>
    <w:rsid w:val="6C094140"/>
    <w:rsid w:val="6C0A7EB8"/>
    <w:rsid w:val="6C136D6D"/>
    <w:rsid w:val="6C156F89"/>
    <w:rsid w:val="6C1711A8"/>
    <w:rsid w:val="6C184383"/>
    <w:rsid w:val="6C1D408F"/>
    <w:rsid w:val="6C2076DB"/>
    <w:rsid w:val="6C2E004A"/>
    <w:rsid w:val="6C305B70"/>
    <w:rsid w:val="6C3311BD"/>
    <w:rsid w:val="6C3B104D"/>
    <w:rsid w:val="6C3C0FDC"/>
    <w:rsid w:val="6C417BD5"/>
    <w:rsid w:val="6C4B4A70"/>
    <w:rsid w:val="6C506213"/>
    <w:rsid w:val="6C506ACD"/>
    <w:rsid w:val="6C517895"/>
    <w:rsid w:val="6C5C5C0D"/>
    <w:rsid w:val="6C606116"/>
    <w:rsid w:val="6C692E30"/>
    <w:rsid w:val="6C6979DF"/>
    <w:rsid w:val="6C6B0957"/>
    <w:rsid w:val="6C6D0B73"/>
    <w:rsid w:val="6C6E48EB"/>
    <w:rsid w:val="6C733CAF"/>
    <w:rsid w:val="6C757A27"/>
    <w:rsid w:val="6C757BB2"/>
    <w:rsid w:val="6C81017A"/>
    <w:rsid w:val="6C84715D"/>
    <w:rsid w:val="6C847C6A"/>
    <w:rsid w:val="6C896F5E"/>
    <w:rsid w:val="6C9205D9"/>
    <w:rsid w:val="6C944351"/>
    <w:rsid w:val="6C950E4F"/>
    <w:rsid w:val="6C985796"/>
    <w:rsid w:val="6C9C691F"/>
    <w:rsid w:val="6CA200F0"/>
    <w:rsid w:val="6CA83959"/>
    <w:rsid w:val="6CA9147F"/>
    <w:rsid w:val="6CA95923"/>
    <w:rsid w:val="6CAB51F7"/>
    <w:rsid w:val="6CB06CB1"/>
    <w:rsid w:val="6CBC11B2"/>
    <w:rsid w:val="6CC369E5"/>
    <w:rsid w:val="6CC664D5"/>
    <w:rsid w:val="6CCD7863"/>
    <w:rsid w:val="6CD75FEC"/>
    <w:rsid w:val="6CD96208"/>
    <w:rsid w:val="6CDE676F"/>
    <w:rsid w:val="6CE40709"/>
    <w:rsid w:val="6CEB5F3B"/>
    <w:rsid w:val="6CF272CA"/>
    <w:rsid w:val="6CF748E0"/>
    <w:rsid w:val="6CFF5543"/>
    <w:rsid w:val="6D107750"/>
    <w:rsid w:val="6D260D22"/>
    <w:rsid w:val="6D2A25C0"/>
    <w:rsid w:val="6D2F407A"/>
    <w:rsid w:val="6D2F5E28"/>
    <w:rsid w:val="6D3023AD"/>
    <w:rsid w:val="6D326638"/>
    <w:rsid w:val="6D39365E"/>
    <w:rsid w:val="6D3F3B91"/>
    <w:rsid w:val="6D407A67"/>
    <w:rsid w:val="6D413DAD"/>
    <w:rsid w:val="6D4318D3"/>
    <w:rsid w:val="6D48513C"/>
    <w:rsid w:val="6D4F2026"/>
    <w:rsid w:val="6D5533B5"/>
    <w:rsid w:val="6D592EA5"/>
    <w:rsid w:val="6D5E670D"/>
    <w:rsid w:val="6D620092"/>
    <w:rsid w:val="6D673814"/>
    <w:rsid w:val="6D6830E8"/>
    <w:rsid w:val="6D6A3304"/>
    <w:rsid w:val="6D6A6E60"/>
    <w:rsid w:val="6D6F091A"/>
    <w:rsid w:val="6D725D15"/>
    <w:rsid w:val="6D741A8D"/>
    <w:rsid w:val="6D785A21"/>
    <w:rsid w:val="6D793547"/>
    <w:rsid w:val="6D7C2724"/>
    <w:rsid w:val="6D7E290C"/>
    <w:rsid w:val="6D8A305E"/>
    <w:rsid w:val="6D8F2D6B"/>
    <w:rsid w:val="6D94212F"/>
    <w:rsid w:val="6D952DD1"/>
    <w:rsid w:val="6D967C55"/>
    <w:rsid w:val="6D9D5488"/>
    <w:rsid w:val="6DA2484C"/>
    <w:rsid w:val="6DA46816"/>
    <w:rsid w:val="6DB225B5"/>
    <w:rsid w:val="6DBB3B60"/>
    <w:rsid w:val="6DBB590E"/>
    <w:rsid w:val="6DBD1686"/>
    <w:rsid w:val="6DBE53FE"/>
    <w:rsid w:val="6DC72505"/>
    <w:rsid w:val="6DCF13B9"/>
    <w:rsid w:val="6DCF760B"/>
    <w:rsid w:val="6DD10C8D"/>
    <w:rsid w:val="6DD16EDF"/>
    <w:rsid w:val="6DD218E2"/>
    <w:rsid w:val="6DD23FBE"/>
    <w:rsid w:val="6DD24A05"/>
    <w:rsid w:val="6DD93FE6"/>
    <w:rsid w:val="6DD95D94"/>
    <w:rsid w:val="6DDD5884"/>
    <w:rsid w:val="6DDE5180"/>
    <w:rsid w:val="6DDF784E"/>
    <w:rsid w:val="6DE2064C"/>
    <w:rsid w:val="6DE210EC"/>
    <w:rsid w:val="6DEA6CA4"/>
    <w:rsid w:val="6DEF3809"/>
    <w:rsid w:val="6DF17581"/>
    <w:rsid w:val="6E0041A2"/>
    <w:rsid w:val="6E072901"/>
    <w:rsid w:val="6E0E3C8F"/>
    <w:rsid w:val="6E0F17B6"/>
    <w:rsid w:val="6E113780"/>
    <w:rsid w:val="6E2A4841"/>
    <w:rsid w:val="6E2E60E0"/>
    <w:rsid w:val="6E34121C"/>
    <w:rsid w:val="6E3A2CD6"/>
    <w:rsid w:val="6E3C285F"/>
    <w:rsid w:val="6E3D27C7"/>
    <w:rsid w:val="6E3F209B"/>
    <w:rsid w:val="6E407BC1"/>
    <w:rsid w:val="6E4753F3"/>
    <w:rsid w:val="6E492F1A"/>
    <w:rsid w:val="6E4C2A0A"/>
    <w:rsid w:val="6E4E0530"/>
    <w:rsid w:val="6E4E22DE"/>
    <w:rsid w:val="6E597A7A"/>
    <w:rsid w:val="6E5F44EB"/>
    <w:rsid w:val="6E69248F"/>
    <w:rsid w:val="6E694FD0"/>
    <w:rsid w:val="6E6B10E2"/>
    <w:rsid w:val="6E6C7980"/>
    <w:rsid w:val="6E6E2980"/>
    <w:rsid w:val="6E7066F8"/>
    <w:rsid w:val="6E741832"/>
    <w:rsid w:val="6E750C9F"/>
    <w:rsid w:val="6E7837FF"/>
    <w:rsid w:val="6E7E1C21"/>
    <w:rsid w:val="6E800468"/>
    <w:rsid w:val="6E82642B"/>
    <w:rsid w:val="6E8D72AA"/>
    <w:rsid w:val="6E91041D"/>
    <w:rsid w:val="6E9817AB"/>
    <w:rsid w:val="6E98274F"/>
    <w:rsid w:val="6E9C74ED"/>
    <w:rsid w:val="6E9F3C9F"/>
    <w:rsid w:val="6EA36ACE"/>
    <w:rsid w:val="6EA44F40"/>
    <w:rsid w:val="6EA463A2"/>
    <w:rsid w:val="6EA6211A"/>
    <w:rsid w:val="6EA840E4"/>
    <w:rsid w:val="6EAC5256"/>
    <w:rsid w:val="6EAD34A8"/>
    <w:rsid w:val="6EAE0FCF"/>
    <w:rsid w:val="6EAE5472"/>
    <w:rsid w:val="6EB24278"/>
    <w:rsid w:val="6EB34837"/>
    <w:rsid w:val="6EBA3D3A"/>
    <w:rsid w:val="6EBA503C"/>
    <w:rsid w:val="6EBF31DC"/>
    <w:rsid w:val="6EBF6F77"/>
    <w:rsid w:val="6EC6456A"/>
    <w:rsid w:val="6ECB7DD2"/>
    <w:rsid w:val="6ECC79F3"/>
    <w:rsid w:val="6ECD58F9"/>
    <w:rsid w:val="6ED547AD"/>
    <w:rsid w:val="6EE3511C"/>
    <w:rsid w:val="6EE8132F"/>
    <w:rsid w:val="6EE844E0"/>
    <w:rsid w:val="6EEF1D13"/>
    <w:rsid w:val="6EF2710D"/>
    <w:rsid w:val="6EFC4430"/>
    <w:rsid w:val="6EFF182A"/>
    <w:rsid w:val="6F062BB9"/>
    <w:rsid w:val="6F084B83"/>
    <w:rsid w:val="6F094457"/>
    <w:rsid w:val="6F103A37"/>
    <w:rsid w:val="6F1572A0"/>
    <w:rsid w:val="6F1E43A6"/>
    <w:rsid w:val="6F1F3C7A"/>
    <w:rsid w:val="6F2E3EBD"/>
    <w:rsid w:val="6F347726"/>
    <w:rsid w:val="6F35349E"/>
    <w:rsid w:val="6F3B6D06"/>
    <w:rsid w:val="6F4B0F13"/>
    <w:rsid w:val="6F5222A2"/>
    <w:rsid w:val="6F5953DE"/>
    <w:rsid w:val="6F6A75EB"/>
    <w:rsid w:val="6F6D70DC"/>
    <w:rsid w:val="6F6F075E"/>
    <w:rsid w:val="6F7264A0"/>
    <w:rsid w:val="6F7A7BBB"/>
    <w:rsid w:val="6F834209"/>
    <w:rsid w:val="6F857F81"/>
    <w:rsid w:val="6F865AA7"/>
    <w:rsid w:val="6F96218E"/>
    <w:rsid w:val="6F975F07"/>
    <w:rsid w:val="6F9957DB"/>
    <w:rsid w:val="6FA26D85"/>
    <w:rsid w:val="6FA7614A"/>
    <w:rsid w:val="6FAC3760"/>
    <w:rsid w:val="6FAC6621"/>
    <w:rsid w:val="6FAE6A04"/>
    <w:rsid w:val="6FAF4FFE"/>
    <w:rsid w:val="6FB62831"/>
    <w:rsid w:val="6FB70576"/>
    <w:rsid w:val="6FC3350D"/>
    <w:rsid w:val="6FC860C0"/>
    <w:rsid w:val="6FD40F09"/>
    <w:rsid w:val="6FD66A2F"/>
    <w:rsid w:val="6FDD7DBD"/>
    <w:rsid w:val="6FDE7692"/>
    <w:rsid w:val="6FE253D4"/>
    <w:rsid w:val="6FEC0000"/>
    <w:rsid w:val="6FED5B27"/>
    <w:rsid w:val="6FF21C22"/>
    <w:rsid w:val="6FF457F8"/>
    <w:rsid w:val="6FF60E7F"/>
    <w:rsid w:val="6FF9096F"/>
    <w:rsid w:val="700044DF"/>
    <w:rsid w:val="70082960"/>
    <w:rsid w:val="700952D8"/>
    <w:rsid w:val="700C06A3"/>
    <w:rsid w:val="70111815"/>
    <w:rsid w:val="70182BA3"/>
    <w:rsid w:val="701A2DBF"/>
    <w:rsid w:val="701D5290"/>
    <w:rsid w:val="7020414E"/>
    <w:rsid w:val="70227EC6"/>
    <w:rsid w:val="70271038"/>
    <w:rsid w:val="70335C2F"/>
    <w:rsid w:val="70357BF9"/>
    <w:rsid w:val="70383246"/>
    <w:rsid w:val="703D41C8"/>
    <w:rsid w:val="703D6AAE"/>
    <w:rsid w:val="70512559"/>
    <w:rsid w:val="70590C59"/>
    <w:rsid w:val="70591800"/>
    <w:rsid w:val="705A7660"/>
    <w:rsid w:val="707009DB"/>
    <w:rsid w:val="70716758"/>
    <w:rsid w:val="70853FB1"/>
    <w:rsid w:val="70912956"/>
    <w:rsid w:val="70926DFA"/>
    <w:rsid w:val="70932B72"/>
    <w:rsid w:val="70974410"/>
    <w:rsid w:val="709B5583"/>
    <w:rsid w:val="709C73FC"/>
    <w:rsid w:val="709D12FB"/>
    <w:rsid w:val="70A1528F"/>
    <w:rsid w:val="70A55614"/>
    <w:rsid w:val="70AA2FF4"/>
    <w:rsid w:val="70AC7790"/>
    <w:rsid w:val="70B0102E"/>
    <w:rsid w:val="70B14DA6"/>
    <w:rsid w:val="70BA1EAD"/>
    <w:rsid w:val="70C04ABD"/>
    <w:rsid w:val="70C23EF6"/>
    <w:rsid w:val="70CB230C"/>
    <w:rsid w:val="70D56CE6"/>
    <w:rsid w:val="70DF2FE4"/>
    <w:rsid w:val="70E35C37"/>
    <w:rsid w:val="70E645B8"/>
    <w:rsid w:val="70E909E4"/>
    <w:rsid w:val="70EC5DDE"/>
    <w:rsid w:val="70F52EE5"/>
    <w:rsid w:val="70FA674D"/>
    <w:rsid w:val="71066EA0"/>
    <w:rsid w:val="7113780F"/>
    <w:rsid w:val="71213AE5"/>
    <w:rsid w:val="712832BA"/>
    <w:rsid w:val="712D267F"/>
    <w:rsid w:val="713A123F"/>
    <w:rsid w:val="713C0B14"/>
    <w:rsid w:val="713C6D66"/>
    <w:rsid w:val="71422590"/>
    <w:rsid w:val="714B69B4"/>
    <w:rsid w:val="715440AF"/>
    <w:rsid w:val="71551BD5"/>
    <w:rsid w:val="71597917"/>
    <w:rsid w:val="715A543E"/>
    <w:rsid w:val="715C7408"/>
    <w:rsid w:val="7169742F"/>
    <w:rsid w:val="716D33C3"/>
    <w:rsid w:val="717604C9"/>
    <w:rsid w:val="717B5AE0"/>
    <w:rsid w:val="717C53B4"/>
    <w:rsid w:val="718304F0"/>
    <w:rsid w:val="71881FAB"/>
    <w:rsid w:val="7189187F"/>
    <w:rsid w:val="718D75C1"/>
    <w:rsid w:val="719032A5"/>
    <w:rsid w:val="71922E29"/>
    <w:rsid w:val="719853E6"/>
    <w:rsid w:val="719B7F30"/>
    <w:rsid w:val="71A010A2"/>
    <w:rsid w:val="71A464A3"/>
    <w:rsid w:val="71AA0173"/>
    <w:rsid w:val="71AA3CCF"/>
    <w:rsid w:val="71B0505E"/>
    <w:rsid w:val="71B20DD6"/>
    <w:rsid w:val="71C64881"/>
    <w:rsid w:val="71C805F9"/>
    <w:rsid w:val="71CD7296"/>
    <w:rsid w:val="71D15700"/>
    <w:rsid w:val="71D21478"/>
    <w:rsid w:val="71DB20DB"/>
    <w:rsid w:val="71E323B9"/>
    <w:rsid w:val="71E573FD"/>
    <w:rsid w:val="71E663A1"/>
    <w:rsid w:val="71EC42E8"/>
    <w:rsid w:val="71F413EE"/>
    <w:rsid w:val="71F66F14"/>
    <w:rsid w:val="72031631"/>
    <w:rsid w:val="72062ED0"/>
    <w:rsid w:val="72081E4F"/>
    <w:rsid w:val="720A29C0"/>
    <w:rsid w:val="72111FA0"/>
    <w:rsid w:val="72113D4E"/>
    <w:rsid w:val="72181581"/>
    <w:rsid w:val="72192C03"/>
    <w:rsid w:val="721949DC"/>
    <w:rsid w:val="721C0443"/>
    <w:rsid w:val="722F72D2"/>
    <w:rsid w:val="72323CC5"/>
    <w:rsid w:val="723637B5"/>
    <w:rsid w:val="723F4D5F"/>
    <w:rsid w:val="724E4FA2"/>
    <w:rsid w:val="725F0F5E"/>
    <w:rsid w:val="726011AC"/>
    <w:rsid w:val="72616B76"/>
    <w:rsid w:val="726227FC"/>
    <w:rsid w:val="7265409A"/>
    <w:rsid w:val="726A7902"/>
    <w:rsid w:val="727367B7"/>
    <w:rsid w:val="7275252F"/>
    <w:rsid w:val="72773EFF"/>
    <w:rsid w:val="7278201F"/>
    <w:rsid w:val="727D3192"/>
    <w:rsid w:val="727D5888"/>
    <w:rsid w:val="728564EA"/>
    <w:rsid w:val="72895FDA"/>
    <w:rsid w:val="728F1117"/>
    <w:rsid w:val="72933BE0"/>
    <w:rsid w:val="7298446F"/>
    <w:rsid w:val="729A3D44"/>
    <w:rsid w:val="729B5D0E"/>
    <w:rsid w:val="729D3834"/>
    <w:rsid w:val="72A478AE"/>
    <w:rsid w:val="72A66B8C"/>
    <w:rsid w:val="72AC7F1B"/>
    <w:rsid w:val="72B172DF"/>
    <w:rsid w:val="72B62B48"/>
    <w:rsid w:val="72BD7A32"/>
    <w:rsid w:val="72BF7C4E"/>
    <w:rsid w:val="72C74D55"/>
    <w:rsid w:val="72C76B03"/>
    <w:rsid w:val="72C963D7"/>
    <w:rsid w:val="72CC4119"/>
    <w:rsid w:val="72CE7E91"/>
    <w:rsid w:val="72D336FA"/>
    <w:rsid w:val="72DA0DF4"/>
    <w:rsid w:val="72DF3E4C"/>
    <w:rsid w:val="72E476B5"/>
    <w:rsid w:val="72EE72CB"/>
    <w:rsid w:val="72F0605A"/>
    <w:rsid w:val="72F07B01"/>
    <w:rsid w:val="730613D9"/>
    <w:rsid w:val="731004AA"/>
    <w:rsid w:val="731743ED"/>
    <w:rsid w:val="731A30D6"/>
    <w:rsid w:val="731A65C2"/>
    <w:rsid w:val="731C6E4F"/>
    <w:rsid w:val="731F06ED"/>
    <w:rsid w:val="73243F55"/>
    <w:rsid w:val="733A6CBD"/>
    <w:rsid w:val="733F2B3D"/>
    <w:rsid w:val="733F6699"/>
    <w:rsid w:val="7346211D"/>
    <w:rsid w:val="73467A28"/>
    <w:rsid w:val="734819F2"/>
    <w:rsid w:val="734E4B2E"/>
    <w:rsid w:val="73506AF8"/>
    <w:rsid w:val="73522870"/>
    <w:rsid w:val="73530396"/>
    <w:rsid w:val="7359002B"/>
    <w:rsid w:val="735E7467"/>
    <w:rsid w:val="73634A7D"/>
    <w:rsid w:val="736425A4"/>
    <w:rsid w:val="73661E78"/>
    <w:rsid w:val="73681026"/>
    <w:rsid w:val="736F63C6"/>
    <w:rsid w:val="73722F12"/>
    <w:rsid w:val="73752023"/>
    <w:rsid w:val="73774085"/>
    <w:rsid w:val="737C169B"/>
    <w:rsid w:val="73844DAE"/>
    <w:rsid w:val="73886292"/>
    <w:rsid w:val="73914A88"/>
    <w:rsid w:val="7399224D"/>
    <w:rsid w:val="73993FFB"/>
    <w:rsid w:val="739C3AEB"/>
    <w:rsid w:val="73B40E35"/>
    <w:rsid w:val="73B9644B"/>
    <w:rsid w:val="73BE1CB4"/>
    <w:rsid w:val="73C31078"/>
    <w:rsid w:val="73C3376E"/>
    <w:rsid w:val="73C92407"/>
    <w:rsid w:val="73CF3EC1"/>
    <w:rsid w:val="73D31D47"/>
    <w:rsid w:val="73D414D7"/>
    <w:rsid w:val="73D42CB1"/>
    <w:rsid w:val="73D634A1"/>
    <w:rsid w:val="73D70FC8"/>
    <w:rsid w:val="73DC213A"/>
    <w:rsid w:val="73DE2356"/>
    <w:rsid w:val="73E334C8"/>
    <w:rsid w:val="73E43BD8"/>
    <w:rsid w:val="73F30CF2"/>
    <w:rsid w:val="73FB4CB6"/>
    <w:rsid w:val="73FF13C6"/>
    <w:rsid w:val="740022CC"/>
    <w:rsid w:val="74082F2F"/>
    <w:rsid w:val="740B0FCF"/>
    <w:rsid w:val="741144D9"/>
    <w:rsid w:val="741713C4"/>
    <w:rsid w:val="741B2C62"/>
    <w:rsid w:val="741E09A4"/>
    <w:rsid w:val="741E2752"/>
    <w:rsid w:val="74273CFD"/>
    <w:rsid w:val="742B7ED2"/>
    <w:rsid w:val="7430549D"/>
    <w:rsid w:val="74363F40"/>
    <w:rsid w:val="7443040B"/>
    <w:rsid w:val="74477EFB"/>
    <w:rsid w:val="744A3547"/>
    <w:rsid w:val="744A79EB"/>
    <w:rsid w:val="745368A0"/>
    <w:rsid w:val="74537263"/>
    <w:rsid w:val="74546174"/>
    <w:rsid w:val="74566390"/>
    <w:rsid w:val="74575C64"/>
    <w:rsid w:val="74600FBD"/>
    <w:rsid w:val="74602D6B"/>
    <w:rsid w:val="74607CB9"/>
    <w:rsid w:val="746C7962"/>
    <w:rsid w:val="74784559"/>
    <w:rsid w:val="747B7BA5"/>
    <w:rsid w:val="747D56CB"/>
    <w:rsid w:val="74827185"/>
    <w:rsid w:val="748527D2"/>
    <w:rsid w:val="749173C8"/>
    <w:rsid w:val="74982505"/>
    <w:rsid w:val="749B0247"/>
    <w:rsid w:val="749D668F"/>
    <w:rsid w:val="749E5641"/>
    <w:rsid w:val="749F7D37"/>
    <w:rsid w:val="74A569D0"/>
    <w:rsid w:val="74A72748"/>
    <w:rsid w:val="74AE2E8F"/>
    <w:rsid w:val="74B1359D"/>
    <w:rsid w:val="74B35591"/>
    <w:rsid w:val="74B44E65"/>
    <w:rsid w:val="74B9247B"/>
    <w:rsid w:val="74C07CAE"/>
    <w:rsid w:val="74C923AE"/>
    <w:rsid w:val="74CE5F27"/>
    <w:rsid w:val="74D07EF1"/>
    <w:rsid w:val="74D743C1"/>
    <w:rsid w:val="74D81140"/>
    <w:rsid w:val="74DA717C"/>
    <w:rsid w:val="74DF0134"/>
    <w:rsid w:val="74E67714"/>
    <w:rsid w:val="74EB6AD9"/>
    <w:rsid w:val="74F13183"/>
    <w:rsid w:val="74F3598D"/>
    <w:rsid w:val="74F41164"/>
    <w:rsid w:val="74F82FA3"/>
    <w:rsid w:val="74F900F2"/>
    <w:rsid w:val="74FD05BA"/>
    <w:rsid w:val="75011D61"/>
    <w:rsid w:val="75045DEC"/>
    <w:rsid w:val="750951B1"/>
    <w:rsid w:val="750B0F29"/>
    <w:rsid w:val="750C4CA1"/>
    <w:rsid w:val="750D14C0"/>
    <w:rsid w:val="75175B20"/>
    <w:rsid w:val="751A73BE"/>
    <w:rsid w:val="7521074C"/>
    <w:rsid w:val="7524023C"/>
    <w:rsid w:val="752D02FB"/>
    <w:rsid w:val="752E3AD7"/>
    <w:rsid w:val="75315CE9"/>
    <w:rsid w:val="7533222E"/>
    <w:rsid w:val="753653FA"/>
    <w:rsid w:val="753A6D9B"/>
    <w:rsid w:val="75461F61"/>
    <w:rsid w:val="754D1541"/>
    <w:rsid w:val="755653B5"/>
    <w:rsid w:val="755A5A0C"/>
    <w:rsid w:val="756248C1"/>
    <w:rsid w:val="75654BD9"/>
    <w:rsid w:val="757F1917"/>
    <w:rsid w:val="75864A53"/>
    <w:rsid w:val="759727BC"/>
    <w:rsid w:val="759A04FF"/>
    <w:rsid w:val="759C1D5F"/>
    <w:rsid w:val="759C7DD3"/>
    <w:rsid w:val="75A650F5"/>
    <w:rsid w:val="75A924F0"/>
    <w:rsid w:val="75AB44BA"/>
    <w:rsid w:val="75AE7B06"/>
    <w:rsid w:val="75AF3FAA"/>
    <w:rsid w:val="75B07D22"/>
    <w:rsid w:val="75B90985"/>
    <w:rsid w:val="75BA051F"/>
    <w:rsid w:val="75BC0475"/>
    <w:rsid w:val="75BE243F"/>
    <w:rsid w:val="75BE41ED"/>
    <w:rsid w:val="75C8506C"/>
    <w:rsid w:val="75C86E1A"/>
    <w:rsid w:val="75CA0DE4"/>
    <w:rsid w:val="75D03F20"/>
    <w:rsid w:val="75DA6B4D"/>
    <w:rsid w:val="75DF5F11"/>
    <w:rsid w:val="75E55C1E"/>
    <w:rsid w:val="75E672A0"/>
    <w:rsid w:val="75F419BD"/>
    <w:rsid w:val="75F714AD"/>
    <w:rsid w:val="75F96FD3"/>
    <w:rsid w:val="75FE283B"/>
    <w:rsid w:val="760360A4"/>
    <w:rsid w:val="760A11E0"/>
    <w:rsid w:val="760D6F22"/>
    <w:rsid w:val="761107C1"/>
    <w:rsid w:val="761262E7"/>
    <w:rsid w:val="76173B26"/>
    <w:rsid w:val="7625601A"/>
    <w:rsid w:val="76277FE4"/>
    <w:rsid w:val="762A1FEB"/>
    <w:rsid w:val="762B1157"/>
    <w:rsid w:val="762F6E99"/>
    <w:rsid w:val="764741E2"/>
    <w:rsid w:val="764F12E9"/>
    <w:rsid w:val="76516E0F"/>
    <w:rsid w:val="7657350F"/>
    <w:rsid w:val="76740D50"/>
    <w:rsid w:val="76766876"/>
    <w:rsid w:val="76780840"/>
    <w:rsid w:val="76783CD8"/>
    <w:rsid w:val="76790114"/>
    <w:rsid w:val="76805946"/>
    <w:rsid w:val="768371E5"/>
    <w:rsid w:val="76854D0B"/>
    <w:rsid w:val="76966F18"/>
    <w:rsid w:val="76991958"/>
    <w:rsid w:val="769B452E"/>
    <w:rsid w:val="769E5CA3"/>
    <w:rsid w:val="76A25AB4"/>
    <w:rsid w:val="76A2766B"/>
    <w:rsid w:val="76A5715B"/>
    <w:rsid w:val="76AC04E9"/>
    <w:rsid w:val="76B31878"/>
    <w:rsid w:val="76B63116"/>
    <w:rsid w:val="76BB072D"/>
    <w:rsid w:val="76C07AF1"/>
    <w:rsid w:val="76C92E49"/>
    <w:rsid w:val="76CA0970"/>
    <w:rsid w:val="76CC293A"/>
    <w:rsid w:val="76CF41D8"/>
    <w:rsid w:val="76D11CFE"/>
    <w:rsid w:val="76D37824"/>
    <w:rsid w:val="76D57A40"/>
    <w:rsid w:val="76E47C83"/>
    <w:rsid w:val="76EC08E6"/>
    <w:rsid w:val="76F23521"/>
    <w:rsid w:val="76F37EC6"/>
    <w:rsid w:val="76F459ED"/>
    <w:rsid w:val="76F65C09"/>
    <w:rsid w:val="76F854DD"/>
    <w:rsid w:val="76F87153"/>
    <w:rsid w:val="77000835"/>
    <w:rsid w:val="77020109"/>
    <w:rsid w:val="770245AD"/>
    <w:rsid w:val="7702635B"/>
    <w:rsid w:val="77040325"/>
    <w:rsid w:val="770B3462"/>
    <w:rsid w:val="770C2D36"/>
    <w:rsid w:val="770E0AD4"/>
    <w:rsid w:val="770E6AAE"/>
    <w:rsid w:val="771542E1"/>
    <w:rsid w:val="771B741D"/>
    <w:rsid w:val="77204A34"/>
    <w:rsid w:val="7731534E"/>
    <w:rsid w:val="77356731"/>
    <w:rsid w:val="773A3D47"/>
    <w:rsid w:val="773D55E5"/>
    <w:rsid w:val="77416E84"/>
    <w:rsid w:val="774B1AB0"/>
    <w:rsid w:val="77512E3F"/>
    <w:rsid w:val="775C1F10"/>
    <w:rsid w:val="775E0C1F"/>
    <w:rsid w:val="775E5C88"/>
    <w:rsid w:val="775F555C"/>
    <w:rsid w:val="77613082"/>
    <w:rsid w:val="7762504C"/>
    <w:rsid w:val="77627235"/>
    <w:rsid w:val="77652D5E"/>
    <w:rsid w:val="77737259"/>
    <w:rsid w:val="777A4144"/>
    <w:rsid w:val="777F79AC"/>
    <w:rsid w:val="77843214"/>
    <w:rsid w:val="77846D70"/>
    <w:rsid w:val="77866F8C"/>
    <w:rsid w:val="778827EE"/>
    <w:rsid w:val="778E4093"/>
    <w:rsid w:val="77996CC0"/>
    <w:rsid w:val="77A17922"/>
    <w:rsid w:val="77A86F03"/>
    <w:rsid w:val="77AD276B"/>
    <w:rsid w:val="77AE203F"/>
    <w:rsid w:val="77B21B30"/>
    <w:rsid w:val="77B238DE"/>
    <w:rsid w:val="77C27899"/>
    <w:rsid w:val="77C67389"/>
    <w:rsid w:val="77CB499F"/>
    <w:rsid w:val="77CD764F"/>
    <w:rsid w:val="77CE623E"/>
    <w:rsid w:val="77DC095A"/>
    <w:rsid w:val="77E12415"/>
    <w:rsid w:val="77E15F71"/>
    <w:rsid w:val="77E43CB3"/>
    <w:rsid w:val="77E51F05"/>
    <w:rsid w:val="77E872FF"/>
    <w:rsid w:val="77EF68E0"/>
    <w:rsid w:val="77F02658"/>
    <w:rsid w:val="77F27C88"/>
    <w:rsid w:val="77F35CA4"/>
    <w:rsid w:val="77FA34D6"/>
    <w:rsid w:val="780103C1"/>
    <w:rsid w:val="78055092"/>
    <w:rsid w:val="780D320A"/>
    <w:rsid w:val="780D6D66"/>
    <w:rsid w:val="78112CFA"/>
    <w:rsid w:val="78126A72"/>
    <w:rsid w:val="781C51FB"/>
    <w:rsid w:val="78224195"/>
    <w:rsid w:val="78252301"/>
    <w:rsid w:val="78342545"/>
    <w:rsid w:val="783B7D77"/>
    <w:rsid w:val="784604CA"/>
    <w:rsid w:val="78465F5D"/>
    <w:rsid w:val="784B5AE0"/>
    <w:rsid w:val="785030F6"/>
    <w:rsid w:val="78570929"/>
    <w:rsid w:val="78615304"/>
    <w:rsid w:val="786672FA"/>
    <w:rsid w:val="786A41B8"/>
    <w:rsid w:val="786D1EFA"/>
    <w:rsid w:val="78730464"/>
    <w:rsid w:val="78743289"/>
    <w:rsid w:val="78757AE0"/>
    <w:rsid w:val="787D038F"/>
    <w:rsid w:val="787D213D"/>
    <w:rsid w:val="787E5EB6"/>
    <w:rsid w:val="78811502"/>
    <w:rsid w:val="78847E85"/>
    <w:rsid w:val="78850FF2"/>
    <w:rsid w:val="788A03B6"/>
    <w:rsid w:val="78914FA6"/>
    <w:rsid w:val="789C2C49"/>
    <w:rsid w:val="78B33DB1"/>
    <w:rsid w:val="78B939F0"/>
    <w:rsid w:val="78BD1A3A"/>
    <w:rsid w:val="78C7160B"/>
    <w:rsid w:val="78CF4963"/>
    <w:rsid w:val="78D6184E"/>
    <w:rsid w:val="78D77483"/>
    <w:rsid w:val="78DD0E2E"/>
    <w:rsid w:val="78E8332F"/>
    <w:rsid w:val="78F30652"/>
    <w:rsid w:val="78F477F3"/>
    <w:rsid w:val="78F74CF4"/>
    <w:rsid w:val="78F817C4"/>
    <w:rsid w:val="78F9553C"/>
    <w:rsid w:val="78FC3F76"/>
    <w:rsid w:val="79022643"/>
    <w:rsid w:val="790D4644"/>
    <w:rsid w:val="791954AD"/>
    <w:rsid w:val="791F31F5"/>
    <w:rsid w:val="79202AC9"/>
    <w:rsid w:val="79272CBF"/>
    <w:rsid w:val="79295E21"/>
    <w:rsid w:val="792C3B64"/>
    <w:rsid w:val="792C76C0"/>
    <w:rsid w:val="7931117A"/>
    <w:rsid w:val="79314CD6"/>
    <w:rsid w:val="79317684"/>
    <w:rsid w:val="79346574"/>
    <w:rsid w:val="79352A18"/>
    <w:rsid w:val="79360969"/>
    <w:rsid w:val="79393B8B"/>
    <w:rsid w:val="794146B9"/>
    <w:rsid w:val="79425135"/>
    <w:rsid w:val="79444A09"/>
    <w:rsid w:val="794D6E3B"/>
    <w:rsid w:val="795F7A95"/>
    <w:rsid w:val="79607369"/>
    <w:rsid w:val="79690419"/>
    <w:rsid w:val="79703A50"/>
    <w:rsid w:val="79733540"/>
    <w:rsid w:val="7984574E"/>
    <w:rsid w:val="798B2638"/>
    <w:rsid w:val="79985F6B"/>
    <w:rsid w:val="799E680F"/>
    <w:rsid w:val="79A13C0A"/>
    <w:rsid w:val="79AB6836"/>
    <w:rsid w:val="79B37DE1"/>
    <w:rsid w:val="79B43E96"/>
    <w:rsid w:val="79B67668"/>
    <w:rsid w:val="79B7342D"/>
    <w:rsid w:val="79BE0C60"/>
    <w:rsid w:val="79D00C18"/>
    <w:rsid w:val="79DC7338"/>
    <w:rsid w:val="79E44DF8"/>
    <w:rsid w:val="79EB30D7"/>
    <w:rsid w:val="79ED32F3"/>
    <w:rsid w:val="79F226B7"/>
    <w:rsid w:val="79F503F9"/>
    <w:rsid w:val="79F71A7C"/>
    <w:rsid w:val="79F91C98"/>
    <w:rsid w:val="7A081EDB"/>
    <w:rsid w:val="7A0A5C53"/>
    <w:rsid w:val="7A100D8F"/>
    <w:rsid w:val="7A1227E1"/>
    <w:rsid w:val="7A163075"/>
    <w:rsid w:val="7A177DD8"/>
    <w:rsid w:val="7A1E16FE"/>
    <w:rsid w:val="7A236D15"/>
    <w:rsid w:val="7A262C7B"/>
    <w:rsid w:val="7A293DDD"/>
    <w:rsid w:val="7A2D1941"/>
    <w:rsid w:val="7A3251AA"/>
    <w:rsid w:val="7A3525A4"/>
    <w:rsid w:val="7A3E76AA"/>
    <w:rsid w:val="7A401675"/>
    <w:rsid w:val="7A460C55"/>
    <w:rsid w:val="7A4647B1"/>
    <w:rsid w:val="7A480529"/>
    <w:rsid w:val="7A4B1DC7"/>
    <w:rsid w:val="7A4C5587"/>
    <w:rsid w:val="7A4D3D91"/>
    <w:rsid w:val="7A603AC5"/>
    <w:rsid w:val="7A6335B5"/>
    <w:rsid w:val="7A6D4269"/>
    <w:rsid w:val="7A715CD2"/>
    <w:rsid w:val="7A7255A6"/>
    <w:rsid w:val="7A777060"/>
    <w:rsid w:val="7A8157E9"/>
    <w:rsid w:val="7A85352B"/>
    <w:rsid w:val="7A862E00"/>
    <w:rsid w:val="7A8B22E0"/>
    <w:rsid w:val="7A8C4955"/>
    <w:rsid w:val="7A8D418E"/>
    <w:rsid w:val="7A902B49"/>
    <w:rsid w:val="7A996FD7"/>
    <w:rsid w:val="7A9B2D4F"/>
    <w:rsid w:val="7AB43E11"/>
    <w:rsid w:val="7AB45BBF"/>
    <w:rsid w:val="7AB83901"/>
    <w:rsid w:val="7AB931D5"/>
    <w:rsid w:val="7ABE2599"/>
    <w:rsid w:val="7AD26045"/>
    <w:rsid w:val="7AD42370"/>
    <w:rsid w:val="7ADB139D"/>
    <w:rsid w:val="7ADF7905"/>
    <w:rsid w:val="7AE30252"/>
    <w:rsid w:val="7AE364A4"/>
    <w:rsid w:val="7AE67FCE"/>
    <w:rsid w:val="7AF91823"/>
    <w:rsid w:val="7AFB559C"/>
    <w:rsid w:val="7AFD1314"/>
    <w:rsid w:val="7AFD7566"/>
    <w:rsid w:val="7AFFDD96"/>
    <w:rsid w:val="7B012644"/>
    <w:rsid w:val="7B027597"/>
    <w:rsid w:val="7B034450"/>
    <w:rsid w:val="7B0A164A"/>
    <w:rsid w:val="7B18614D"/>
    <w:rsid w:val="7B191EC6"/>
    <w:rsid w:val="7B205002"/>
    <w:rsid w:val="7B2C7682"/>
    <w:rsid w:val="7B38059E"/>
    <w:rsid w:val="7B42141C"/>
    <w:rsid w:val="7B4231CA"/>
    <w:rsid w:val="7B452CBB"/>
    <w:rsid w:val="7B494559"/>
    <w:rsid w:val="7B4A6771"/>
    <w:rsid w:val="7B4B6523"/>
    <w:rsid w:val="7B534D6C"/>
    <w:rsid w:val="7B5D1DB2"/>
    <w:rsid w:val="7B713956"/>
    <w:rsid w:val="7B784E3E"/>
    <w:rsid w:val="7B811F45"/>
    <w:rsid w:val="7B89704B"/>
    <w:rsid w:val="7B95154C"/>
    <w:rsid w:val="7B9559F0"/>
    <w:rsid w:val="7B9D2AF7"/>
    <w:rsid w:val="7BA0756B"/>
    <w:rsid w:val="7BA14395"/>
    <w:rsid w:val="7BA479E1"/>
    <w:rsid w:val="7BA619AB"/>
    <w:rsid w:val="7BA9149B"/>
    <w:rsid w:val="7BAE0860"/>
    <w:rsid w:val="7BBA0FB3"/>
    <w:rsid w:val="7BBC32EB"/>
    <w:rsid w:val="7BBD6CF5"/>
    <w:rsid w:val="7BC10593"/>
    <w:rsid w:val="7BC462D5"/>
    <w:rsid w:val="7BCC6F38"/>
    <w:rsid w:val="7BD05638"/>
    <w:rsid w:val="7BD209F2"/>
    <w:rsid w:val="7BDD2EF3"/>
    <w:rsid w:val="7BE14055"/>
    <w:rsid w:val="7BE81FC4"/>
    <w:rsid w:val="7BEB5610"/>
    <w:rsid w:val="7BED75DA"/>
    <w:rsid w:val="7BEE3352"/>
    <w:rsid w:val="7BF2699E"/>
    <w:rsid w:val="7BFA3AA5"/>
    <w:rsid w:val="7BFE2E2A"/>
    <w:rsid w:val="7C016BE2"/>
    <w:rsid w:val="7C077F70"/>
    <w:rsid w:val="7C084414"/>
    <w:rsid w:val="7C1032C9"/>
    <w:rsid w:val="7C134B67"/>
    <w:rsid w:val="7C142DB9"/>
    <w:rsid w:val="7C1508DF"/>
    <w:rsid w:val="7C1728A9"/>
    <w:rsid w:val="7C1A01A6"/>
    <w:rsid w:val="7C1A2A5A"/>
    <w:rsid w:val="7C1A7CA3"/>
    <w:rsid w:val="7C1E59E5"/>
    <w:rsid w:val="7C1F350C"/>
    <w:rsid w:val="7C240B22"/>
    <w:rsid w:val="7C26489A"/>
    <w:rsid w:val="7C286095"/>
    <w:rsid w:val="7C2B3597"/>
    <w:rsid w:val="7C350F81"/>
    <w:rsid w:val="7C352D2F"/>
    <w:rsid w:val="7C3A6597"/>
    <w:rsid w:val="7C3F3BAE"/>
    <w:rsid w:val="7C4411C4"/>
    <w:rsid w:val="7C4C354E"/>
    <w:rsid w:val="7C4D0079"/>
    <w:rsid w:val="7C524001"/>
    <w:rsid w:val="7C5331B5"/>
    <w:rsid w:val="7C550D35"/>
    <w:rsid w:val="7C5533D1"/>
    <w:rsid w:val="7C5A08E1"/>
    <w:rsid w:val="7C5D4691"/>
    <w:rsid w:val="7C5F7DAC"/>
    <w:rsid w:val="7C613B24"/>
    <w:rsid w:val="7C66113B"/>
    <w:rsid w:val="7C662EC8"/>
    <w:rsid w:val="7C6F6241"/>
    <w:rsid w:val="7C6F7FEF"/>
    <w:rsid w:val="7C776695"/>
    <w:rsid w:val="7C7A4BE6"/>
    <w:rsid w:val="7C7C270C"/>
    <w:rsid w:val="7C8141C6"/>
    <w:rsid w:val="7C865339"/>
    <w:rsid w:val="7C8D4BFF"/>
    <w:rsid w:val="7C9C4B5C"/>
    <w:rsid w:val="7CA0464C"/>
    <w:rsid w:val="7CA35EEB"/>
    <w:rsid w:val="7CA81753"/>
    <w:rsid w:val="7CB974BC"/>
    <w:rsid w:val="7CCC5441"/>
    <w:rsid w:val="7CD24A22"/>
    <w:rsid w:val="7CD442F6"/>
    <w:rsid w:val="7CD479E4"/>
    <w:rsid w:val="7CD54786"/>
    <w:rsid w:val="7CD82038"/>
    <w:rsid w:val="7CDB7433"/>
    <w:rsid w:val="7CDD764F"/>
    <w:rsid w:val="7CDE5175"/>
    <w:rsid w:val="7CE16A13"/>
    <w:rsid w:val="7CE81B50"/>
    <w:rsid w:val="7CEA58C8"/>
    <w:rsid w:val="7CEB0AB6"/>
    <w:rsid w:val="7CF404F4"/>
    <w:rsid w:val="7CF44998"/>
    <w:rsid w:val="7CFC55FB"/>
    <w:rsid w:val="7D064084"/>
    <w:rsid w:val="7D0C1CE2"/>
    <w:rsid w:val="7D0F532E"/>
    <w:rsid w:val="7D11554A"/>
    <w:rsid w:val="7D162B61"/>
    <w:rsid w:val="7D24527D"/>
    <w:rsid w:val="7D2D1C58"/>
    <w:rsid w:val="7D2D3A06"/>
    <w:rsid w:val="7D3600BD"/>
    <w:rsid w:val="7D366731"/>
    <w:rsid w:val="7D3E5C13"/>
    <w:rsid w:val="7D423956"/>
    <w:rsid w:val="7D4A0A5C"/>
    <w:rsid w:val="7D4A73C8"/>
    <w:rsid w:val="7D513857"/>
    <w:rsid w:val="7D580A83"/>
    <w:rsid w:val="7D586CD5"/>
    <w:rsid w:val="7D5A2245"/>
    <w:rsid w:val="7D637428"/>
    <w:rsid w:val="7D731D61"/>
    <w:rsid w:val="7D796C4C"/>
    <w:rsid w:val="7D815E22"/>
    <w:rsid w:val="7D847ACA"/>
    <w:rsid w:val="7D8775BA"/>
    <w:rsid w:val="7D8C2E23"/>
    <w:rsid w:val="7D8C697F"/>
    <w:rsid w:val="7D8E070A"/>
    <w:rsid w:val="7D910439"/>
    <w:rsid w:val="7D951C0B"/>
    <w:rsid w:val="7D965A4F"/>
    <w:rsid w:val="7D9C12B8"/>
    <w:rsid w:val="7DAC79DD"/>
    <w:rsid w:val="7DAE3DE3"/>
    <w:rsid w:val="7DB14637"/>
    <w:rsid w:val="7DB46B1B"/>
    <w:rsid w:val="7DBB54B6"/>
    <w:rsid w:val="7DC4436B"/>
    <w:rsid w:val="7DCC6CD8"/>
    <w:rsid w:val="7DD108B5"/>
    <w:rsid w:val="7DD61169"/>
    <w:rsid w:val="7DD87E16"/>
    <w:rsid w:val="7DDA593C"/>
    <w:rsid w:val="7DE84A5B"/>
    <w:rsid w:val="7DEC38C1"/>
    <w:rsid w:val="7DEE3196"/>
    <w:rsid w:val="7DF31B1A"/>
    <w:rsid w:val="7DF34C50"/>
    <w:rsid w:val="7DF74740"/>
    <w:rsid w:val="7DFC3B04"/>
    <w:rsid w:val="7E0631F5"/>
    <w:rsid w:val="7E0B1F99"/>
    <w:rsid w:val="7E0E3838"/>
    <w:rsid w:val="7E105802"/>
    <w:rsid w:val="7E1150D6"/>
    <w:rsid w:val="7E1C1019"/>
    <w:rsid w:val="7E1F3C97"/>
    <w:rsid w:val="7E2D0162"/>
    <w:rsid w:val="7E2D1F10"/>
    <w:rsid w:val="7E3A6EB0"/>
    <w:rsid w:val="7E527BC8"/>
    <w:rsid w:val="7E5576B9"/>
    <w:rsid w:val="7E5C45A3"/>
    <w:rsid w:val="7E615FE8"/>
    <w:rsid w:val="7E663674"/>
    <w:rsid w:val="7E682F48"/>
    <w:rsid w:val="7E6E43A3"/>
    <w:rsid w:val="7E7062A0"/>
    <w:rsid w:val="7E723DC7"/>
    <w:rsid w:val="7E745D91"/>
    <w:rsid w:val="7E747B3F"/>
    <w:rsid w:val="7E7A2C7B"/>
    <w:rsid w:val="7E7F4735"/>
    <w:rsid w:val="7E924469"/>
    <w:rsid w:val="7E926217"/>
    <w:rsid w:val="7E9957F7"/>
    <w:rsid w:val="7E9C13E9"/>
    <w:rsid w:val="7E9E2E0E"/>
    <w:rsid w:val="7E9E4BBC"/>
    <w:rsid w:val="7EA61CC2"/>
    <w:rsid w:val="7EAB4580"/>
    <w:rsid w:val="7EB566D6"/>
    <w:rsid w:val="7EB75C7D"/>
    <w:rsid w:val="7EBA0984"/>
    <w:rsid w:val="7EC35CF6"/>
    <w:rsid w:val="7EC47165"/>
    <w:rsid w:val="7ECB1729"/>
    <w:rsid w:val="7ECD724F"/>
    <w:rsid w:val="7ED00AED"/>
    <w:rsid w:val="7ED14F91"/>
    <w:rsid w:val="7ED4682F"/>
    <w:rsid w:val="7ED71E7C"/>
    <w:rsid w:val="7ED93835"/>
    <w:rsid w:val="7EDA0885"/>
    <w:rsid w:val="7EDB7BBE"/>
    <w:rsid w:val="7EDC789A"/>
    <w:rsid w:val="7EDE320A"/>
    <w:rsid w:val="7EE051D4"/>
    <w:rsid w:val="7EE10F4C"/>
    <w:rsid w:val="7EE36A72"/>
    <w:rsid w:val="7EE822DB"/>
    <w:rsid w:val="7EED78F1"/>
    <w:rsid w:val="7EF26CB5"/>
    <w:rsid w:val="7EF46ED2"/>
    <w:rsid w:val="7EF944E8"/>
    <w:rsid w:val="7EFC18E2"/>
    <w:rsid w:val="7F08472B"/>
    <w:rsid w:val="7F0B7D77"/>
    <w:rsid w:val="7F1135E0"/>
    <w:rsid w:val="7F172A6E"/>
    <w:rsid w:val="7F1B445E"/>
    <w:rsid w:val="7F231565"/>
    <w:rsid w:val="7F2826D7"/>
    <w:rsid w:val="7F286B7B"/>
    <w:rsid w:val="7F361298"/>
    <w:rsid w:val="7F3A44F2"/>
    <w:rsid w:val="7F3D43D5"/>
    <w:rsid w:val="7F4C286A"/>
    <w:rsid w:val="7F4D0390"/>
    <w:rsid w:val="7F4F235A"/>
    <w:rsid w:val="7F533BF8"/>
    <w:rsid w:val="7F572FBC"/>
    <w:rsid w:val="7F58120E"/>
    <w:rsid w:val="7F5C05D3"/>
    <w:rsid w:val="7F651B7D"/>
    <w:rsid w:val="7F6568EF"/>
    <w:rsid w:val="7F733023"/>
    <w:rsid w:val="7F737DF6"/>
    <w:rsid w:val="7F820039"/>
    <w:rsid w:val="7F8813C8"/>
    <w:rsid w:val="7F8C0EB8"/>
    <w:rsid w:val="7F8C2C66"/>
    <w:rsid w:val="7F914720"/>
    <w:rsid w:val="7F961D37"/>
    <w:rsid w:val="7FA04963"/>
    <w:rsid w:val="7FA2692E"/>
    <w:rsid w:val="7FAC4D94"/>
    <w:rsid w:val="7FB126CD"/>
    <w:rsid w:val="7FB14DC3"/>
    <w:rsid w:val="7FB83A5B"/>
    <w:rsid w:val="7FBB354B"/>
    <w:rsid w:val="7FC71EF0"/>
    <w:rsid w:val="7FC80807"/>
    <w:rsid w:val="7FD30895"/>
    <w:rsid w:val="7FDD1714"/>
    <w:rsid w:val="7FE72592"/>
    <w:rsid w:val="7FEA0E52"/>
    <w:rsid w:val="7FEE3921"/>
    <w:rsid w:val="7FF16F6D"/>
    <w:rsid w:val="7FFA4074"/>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3"/>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ocked="1"/>
    <w:lsdException w:uiPriority="99" w:name="index 2" w:locked="1"/>
    <w:lsdException w:uiPriority="99" w:name="index 3" w:locked="1"/>
    <w:lsdException w:qFormat="1" w:unhideWhenUsed="0" w:uiPriority="0" w:semiHidden="0" w:name="index 4"/>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ocked="1"/>
    <w:lsdException w:qFormat="1" w:unhideWhenUsed="0" w:uiPriority="0" w:semiHidden="0" w:name="caption"/>
    <w:lsdException w:uiPriority="99" w:name="table of figures" w:locked="1"/>
    <w:lsdException w:uiPriority="99" w:name="envelope address" w:locked="1"/>
    <w:lsdException w:qFormat="1" w:unhideWhenUsed="0" w:uiPriority="0" w:semiHidden="0" w:name="envelope return" w:locked="1"/>
    <w:lsdException w:qFormat="1" w:unhideWhenUsed="0" w:uiPriority="0" w:semiHidden="0" w:name="footnote reference"/>
    <w:lsdException w:qFormat="1" w:unhideWhenUsed="0" w:uiPriority="0" w:semiHidden="0" w:name="annotation reference"/>
    <w:lsdException w:uiPriority="99" w:name="line number" w:locked="1"/>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ocked="1"/>
    <w:lsdException w:uiPriority="99" w:name="macro" w:locked="1"/>
    <w:lsdException w:uiPriority="99" w:name="toa heading" w:locked="1"/>
    <w:lsdException w:uiPriority="99" w:name="List" w:locked="1"/>
    <w:lsdException w:qFormat="1" w:unhideWhenUsed="0" w:uiPriority="99" w:semiHidden="0" w:name="List Bullet"/>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qFormat="1" w:unhideWhenUsed="0" w:uiPriority="0" w:semiHidden="0" w:name="Signature" w:locked="1"/>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ocked="1"/>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ocked="1"/>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ocked="1"/>
    <w:lsdException w:qFormat="1" w:unhideWhenUsed="0" w:uiPriority="0"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qFormat="1" w:unhideWhenUsed="0" w:uiPriority="0" w:semiHidden="0" w:name="HTML Preformatted"/>
    <w:lsdException w:uiPriority="99" w:name="HTML Sample" w:locked="1"/>
    <w:lsdException w:uiPriority="99" w:name="HTML Typewriter" w:locked="1"/>
    <w:lsdException w:uiPriority="99" w:name="HTML Variable" w:locked="1"/>
    <w:lsdException w:qFormat="1" w:uiPriority="99" w:name="Normal Table"/>
    <w:lsdException w:qFormat="1" w:unhideWhenUsed="0" w:uiPriority="0" w:semiHidden="0"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0" w:name="Table Subtle 1"/>
    <w:lsdException w:uiPriority="99" w:name="Table Subtle 2" w:locked="1"/>
    <w:lsdException w:uiPriority="99" w:name="Table Web 1" w:locked="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99" w:name="Table Theme" w:locked="1"/>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spacing w:line="400" w:lineRule="exact"/>
      <w:ind w:firstLine="200" w:firstLineChars="20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03"/>
    <w:autoRedefine/>
    <w:qFormat/>
    <w:uiPriority w:val="0"/>
    <w:pPr>
      <w:keepNext/>
      <w:autoSpaceDE w:val="0"/>
      <w:autoSpaceDN w:val="0"/>
      <w:adjustRightInd w:val="0"/>
      <w:spacing w:before="240" w:after="60"/>
      <w:jc w:val="left"/>
      <w:outlineLvl w:val="0"/>
    </w:pPr>
    <w:rPr>
      <w:rFonts w:ascii="Arial" w:hAnsi="Arial" w:eastAsia="黑体"/>
      <w:b/>
      <w:kern w:val="28"/>
      <w:sz w:val="36"/>
      <w:szCs w:val="20"/>
    </w:rPr>
  </w:style>
  <w:style w:type="paragraph" w:styleId="2">
    <w:name w:val="heading 2"/>
    <w:basedOn w:val="1"/>
    <w:next w:val="1"/>
    <w:link w:val="394"/>
    <w:autoRedefine/>
    <w:qFormat/>
    <w:uiPriority w:val="9"/>
    <w:pPr>
      <w:keepNext/>
      <w:keepLines/>
      <w:spacing w:before="260" w:after="260" w:line="416" w:lineRule="auto"/>
      <w:outlineLvl w:val="1"/>
    </w:pPr>
    <w:rPr>
      <w:rFonts w:ascii="Arial" w:hAnsi="Arial" w:eastAsia="黑体"/>
      <w:b/>
      <w:sz w:val="32"/>
      <w:szCs w:val="20"/>
    </w:rPr>
  </w:style>
  <w:style w:type="paragraph" w:styleId="4">
    <w:name w:val="heading 3"/>
    <w:basedOn w:val="1"/>
    <w:next w:val="1"/>
    <w:link w:val="101"/>
    <w:autoRedefine/>
    <w:qFormat/>
    <w:uiPriority w:val="0"/>
    <w:pPr>
      <w:keepNext/>
      <w:keepLines/>
      <w:spacing w:before="260" w:after="260" w:line="416" w:lineRule="auto"/>
      <w:outlineLvl w:val="2"/>
    </w:pPr>
    <w:rPr>
      <w:b/>
      <w:kern w:val="0"/>
      <w:sz w:val="32"/>
      <w:szCs w:val="20"/>
    </w:rPr>
  </w:style>
  <w:style w:type="paragraph" w:styleId="5">
    <w:name w:val="heading 4"/>
    <w:basedOn w:val="1"/>
    <w:next w:val="1"/>
    <w:link w:val="122"/>
    <w:autoRedefine/>
    <w:qFormat/>
    <w:uiPriority w:val="0"/>
    <w:pPr>
      <w:keepNext/>
      <w:keepLines/>
      <w:spacing w:line="360" w:lineRule="auto"/>
      <w:outlineLvl w:val="3"/>
    </w:pPr>
    <w:rPr>
      <w:rFonts w:ascii="Arial" w:hAnsi="Arial"/>
      <w:b/>
      <w:bCs/>
      <w:szCs w:val="28"/>
    </w:rPr>
  </w:style>
  <w:style w:type="paragraph" w:styleId="6">
    <w:name w:val="heading 5"/>
    <w:basedOn w:val="1"/>
    <w:next w:val="1"/>
    <w:link w:val="123"/>
    <w:autoRedefine/>
    <w:qFormat/>
    <w:uiPriority w:val="0"/>
    <w:pPr>
      <w:keepNext/>
      <w:keepLines/>
      <w:spacing w:before="280" w:after="290" w:line="376" w:lineRule="auto"/>
      <w:outlineLvl w:val="4"/>
    </w:pPr>
    <w:rPr>
      <w:b/>
      <w:bCs/>
      <w:sz w:val="28"/>
      <w:szCs w:val="28"/>
    </w:rPr>
  </w:style>
  <w:style w:type="paragraph" w:styleId="7">
    <w:name w:val="heading 6"/>
    <w:basedOn w:val="1"/>
    <w:next w:val="1"/>
    <w:link w:val="67"/>
    <w:autoRedefine/>
    <w:qFormat/>
    <w:uiPriority w:val="0"/>
    <w:pPr>
      <w:keepNext/>
      <w:keepLines/>
      <w:spacing w:before="240" w:after="64" w:line="317" w:lineRule="auto"/>
      <w:outlineLvl w:val="5"/>
    </w:pPr>
    <w:rPr>
      <w:rFonts w:ascii="Cambria" w:hAnsi="Cambria"/>
      <w:b/>
      <w:bCs/>
      <w:sz w:val="24"/>
    </w:rPr>
  </w:style>
  <w:style w:type="paragraph" w:styleId="8">
    <w:name w:val="heading 7"/>
    <w:basedOn w:val="1"/>
    <w:next w:val="1"/>
    <w:link w:val="68"/>
    <w:autoRedefine/>
    <w:qFormat/>
    <w:uiPriority w:val="0"/>
    <w:pPr>
      <w:keepNext/>
      <w:keepLines/>
      <w:spacing w:before="240" w:after="64" w:line="317" w:lineRule="auto"/>
      <w:outlineLvl w:val="6"/>
    </w:pPr>
    <w:rPr>
      <w:rFonts w:ascii="Calibri" w:hAnsi="Calibri"/>
      <w:b/>
      <w:bCs/>
      <w:sz w:val="24"/>
    </w:rPr>
  </w:style>
  <w:style w:type="paragraph" w:styleId="9">
    <w:name w:val="heading 8"/>
    <w:basedOn w:val="1"/>
    <w:next w:val="1"/>
    <w:link w:val="69"/>
    <w:autoRedefine/>
    <w:qFormat/>
    <w:uiPriority w:val="0"/>
    <w:pPr>
      <w:keepNext/>
      <w:keepLines/>
      <w:spacing w:before="240" w:after="64" w:line="317" w:lineRule="auto"/>
      <w:outlineLvl w:val="7"/>
    </w:pPr>
    <w:rPr>
      <w:rFonts w:ascii="Cambria" w:hAnsi="Cambria"/>
      <w:sz w:val="24"/>
    </w:rPr>
  </w:style>
  <w:style w:type="paragraph" w:styleId="10">
    <w:name w:val="heading 9"/>
    <w:basedOn w:val="1"/>
    <w:next w:val="1"/>
    <w:link w:val="70"/>
    <w:autoRedefine/>
    <w:qFormat/>
    <w:uiPriority w:val="0"/>
    <w:pPr>
      <w:keepNext/>
      <w:keepLines/>
      <w:spacing w:before="240" w:after="64" w:line="317" w:lineRule="auto"/>
      <w:outlineLvl w:val="8"/>
    </w:pPr>
    <w:rPr>
      <w:rFonts w:ascii="Cambria" w:hAnsi="Cambria"/>
      <w:szCs w:val="21"/>
    </w:rPr>
  </w:style>
  <w:style w:type="character" w:default="1" w:styleId="51">
    <w:name w:val="Default Paragraph Font"/>
    <w:autoRedefine/>
    <w:semiHidden/>
    <w:unhideWhenUsed/>
    <w:qFormat/>
    <w:uiPriority w:val="1"/>
  </w:style>
  <w:style w:type="table" w:default="1" w:styleId="49">
    <w:name w:val="Normal Table"/>
    <w:autoRedefin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11">
    <w:name w:val="toc 7"/>
    <w:basedOn w:val="1"/>
    <w:next w:val="1"/>
    <w:autoRedefine/>
    <w:qFormat/>
    <w:uiPriority w:val="39"/>
    <w:pPr>
      <w:ind w:left="1260"/>
      <w:jc w:val="left"/>
    </w:pPr>
    <w:rPr>
      <w:rFonts w:asciiTheme="minorHAnsi" w:hAnsiTheme="minorHAnsi" w:cstheme="minorHAnsi"/>
      <w:sz w:val="18"/>
      <w:szCs w:val="18"/>
    </w:rPr>
  </w:style>
  <w:style w:type="paragraph" w:styleId="12">
    <w:name w:val="Normal Indent"/>
    <w:basedOn w:val="1"/>
    <w:link w:val="113"/>
    <w:autoRedefine/>
    <w:qFormat/>
    <w:uiPriority w:val="0"/>
    <w:pPr>
      <w:ind w:firstLine="420"/>
    </w:pPr>
    <w:rPr>
      <w:rFonts w:ascii="宋体"/>
      <w:sz w:val="30"/>
      <w:szCs w:val="20"/>
    </w:rPr>
  </w:style>
  <w:style w:type="paragraph" w:styleId="13">
    <w:name w:val="caption"/>
    <w:basedOn w:val="1"/>
    <w:next w:val="1"/>
    <w:autoRedefine/>
    <w:qFormat/>
    <w:uiPriority w:val="0"/>
    <w:rPr>
      <w:rFonts w:ascii="Cambria" w:hAnsi="Cambria" w:eastAsia="黑体"/>
      <w:sz w:val="20"/>
      <w:szCs w:val="20"/>
    </w:rPr>
  </w:style>
  <w:style w:type="paragraph" w:styleId="14">
    <w:name w:val="List Bullet"/>
    <w:basedOn w:val="1"/>
    <w:autoRedefine/>
    <w:qFormat/>
    <w:uiPriority w:val="99"/>
    <w:pPr>
      <w:numPr>
        <w:ilvl w:val="0"/>
        <w:numId w:val="1"/>
      </w:numPr>
    </w:pPr>
  </w:style>
  <w:style w:type="paragraph" w:styleId="15">
    <w:name w:val="Document Map"/>
    <w:basedOn w:val="1"/>
    <w:link w:val="158"/>
    <w:autoRedefine/>
    <w:qFormat/>
    <w:uiPriority w:val="0"/>
    <w:pPr>
      <w:shd w:val="clear" w:color="auto" w:fill="000080"/>
    </w:pPr>
    <w:rPr>
      <w:sz w:val="24"/>
      <w:szCs w:val="20"/>
      <w:shd w:val="clear" w:color="auto" w:fill="000080"/>
    </w:rPr>
  </w:style>
  <w:style w:type="paragraph" w:styleId="16">
    <w:name w:val="annotation text"/>
    <w:basedOn w:val="1"/>
    <w:link w:val="110"/>
    <w:autoRedefine/>
    <w:qFormat/>
    <w:uiPriority w:val="0"/>
    <w:pPr>
      <w:jc w:val="left"/>
    </w:pPr>
  </w:style>
  <w:style w:type="paragraph" w:styleId="17">
    <w:name w:val="Body Text 3"/>
    <w:basedOn w:val="1"/>
    <w:link w:val="73"/>
    <w:autoRedefine/>
    <w:qFormat/>
    <w:uiPriority w:val="0"/>
    <w:pPr>
      <w:spacing w:after="120"/>
    </w:pPr>
    <w:rPr>
      <w:kern w:val="0"/>
      <w:sz w:val="16"/>
      <w:szCs w:val="16"/>
    </w:rPr>
  </w:style>
  <w:style w:type="paragraph" w:styleId="18">
    <w:name w:val="Body Text"/>
    <w:basedOn w:val="1"/>
    <w:next w:val="19"/>
    <w:link w:val="74"/>
    <w:autoRedefine/>
    <w:qFormat/>
    <w:uiPriority w:val="0"/>
    <w:pPr>
      <w:spacing w:after="120"/>
    </w:pPr>
  </w:style>
  <w:style w:type="paragraph" w:styleId="19">
    <w:name w:val="Body Text First Indent"/>
    <w:basedOn w:val="18"/>
    <w:link w:val="90"/>
    <w:autoRedefine/>
    <w:qFormat/>
    <w:uiPriority w:val="0"/>
    <w:pPr>
      <w:adjustRightInd w:val="0"/>
      <w:spacing w:after="60" w:line="360" w:lineRule="atLeast"/>
      <w:ind w:left="72" w:leftChars="30" w:right="30" w:rightChars="30" w:firstLine="420" w:firstLineChars="100"/>
      <w:jc w:val="center"/>
      <w:textAlignment w:val="baseline"/>
    </w:pPr>
    <w:rPr>
      <w:sz w:val="28"/>
    </w:rPr>
  </w:style>
  <w:style w:type="paragraph" w:styleId="20">
    <w:name w:val="Body Text Indent"/>
    <w:basedOn w:val="1"/>
    <w:next w:val="21"/>
    <w:link w:val="326"/>
    <w:autoRedefine/>
    <w:qFormat/>
    <w:uiPriority w:val="0"/>
    <w:pPr>
      <w:spacing w:after="120"/>
      <w:ind w:left="420" w:leftChars="200"/>
    </w:pPr>
  </w:style>
  <w:style w:type="paragraph" w:styleId="21">
    <w:name w:val="envelope return"/>
    <w:basedOn w:val="1"/>
    <w:autoRedefine/>
    <w:qFormat/>
    <w:locked/>
    <w:uiPriority w:val="0"/>
    <w:pPr>
      <w:widowControl/>
      <w:numPr>
        <w:ilvl w:val="0"/>
        <w:numId w:val="2"/>
      </w:numPr>
      <w:snapToGrid w:val="0"/>
      <w:spacing w:before="100" w:beforeAutospacing="1" w:after="100" w:afterAutospacing="1" w:line="360" w:lineRule="auto"/>
      <w:ind w:left="0" w:firstLine="480"/>
      <w:jc w:val="left"/>
    </w:pPr>
    <w:rPr>
      <w:rFonts w:ascii="Cambria" w:hAnsi="Cambria"/>
      <w:kern w:val="11"/>
      <w:sz w:val="24"/>
    </w:rPr>
  </w:style>
  <w:style w:type="paragraph" w:styleId="22">
    <w:name w:val="index 4"/>
    <w:basedOn w:val="1"/>
    <w:next w:val="1"/>
    <w:autoRedefine/>
    <w:qFormat/>
    <w:uiPriority w:val="0"/>
    <w:pPr>
      <w:ind w:left="600" w:leftChars="600"/>
    </w:pPr>
  </w:style>
  <w:style w:type="paragraph" w:styleId="23">
    <w:name w:val="toc 5"/>
    <w:basedOn w:val="1"/>
    <w:next w:val="1"/>
    <w:autoRedefine/>
    <w:qFormat/>
    <w:uiPriority w:val="39"/>
    <w:pPr>
      <w:ind w:left="840"/>
      <w:jc w:val="left"/>
    </w:pPr>
    <w:rPr>
      <w:rFonts w:asciiTheme="minorHAnsi" w:hAnsiTheme="minorHAnsi" w:cstheme="minorHAnsi"/>
      <w:sz w:val="18"/>
      <w:szCs w:val="18"/>
    </w:rPr>
  </w:style>
  <w:style w:type="paragraph" w:styleId="24">
    <w:name w:val="toc 3"/>
    <w:basedOn w:val="25"/>
    <w:next w:val="25"/>
    <w:autoRedefine/>
    <w:qFormat/>
    <w:uiPriority w:val="39"/>
    <w:pPr>
      <w:ind w:left="420"/>
      <w:jc w:val="left"/>
    </w:pPr>
    <w:rPr>
      <w:rFonts w:asciiTheme="minorHAnsi" w:hAnsiTheme="minorHAnsi" w:cstheme="minorHAnsi"/>
      <w:i/>
      <w:iCs/>
      <w:sz w:val="20"/>
      <w:szCs w:val="20"/>
    </w:rPr>
  </w:style>
  <w:style w:type="paragraph" w:customStyle="1" w:styleId="25">
    <w:name w:val="正文_0"/>
    <w:autoRedefine/>
    <w:qFormat/>
    <w:uiPriority w:val="0"/>
    <w:pPr>
      <w:widowControl w:val="0"/>
      <w:spacing w:line="400" w:lineRule="exact"/>
      <w:ind w:firstLine="200" w:firstLineChars="200"/>
      <w:jc w:val="both"/>
    </w:pPr>
    <w:rPr>
      <w:rFonts w:ascii="Calibri" w:hAnsi="Calibri" w:eastAsia="宋体" w:cs="Times New Roman"/>
      <w:kern w:val="2"/>
      <w:sz w:val="21"/>
      <w:szCs w:val="22"/>
      <w:lang w:val="en-US" w:eastAsia="zh-CN" w:bidi="ar-SA"/>
    </w:rPr>
  </w:style>
  <w:style w:type="paragraph" w:styleId="26">
    <w:name w:val="Plain Text"/>
    <w:basedOn w:val="1"/>
    <w:link w:val="100"/>
    <w:autoRedefine/>
    <w:qFormat/>
    <w:uiPriority w:val="0"/>
    <w:rPr>
      <w:rFonts w:ascii="宋体" w:hAnsi="Courier New"/>
      <w:kern w:val="0"/>
      <w:sz w:val="20"/>
      <w:szCs w:val="20"/>
    </w:rPr>
  </w:style>
  <w:style w:type="paragraph" w:styleId="27">
    <w:name w:val="toc 8"/>
    <w:basedOn w:val="1"/>
    <w:next w:val="1"/>
    <w:autoRedefine/>
    <w:qFormat/>
    <w:uiPriority w:val="39"/>
    <w:pPr>
      <w:ind w:left="1470"/>
      <w:jc w:val="left"/>
    </w:pPr>
    <w:rPr>
      <w:rFonts w:asciiTheme="minorHAnsi" w:hAnsiTheme="minorHAnsi" w:cstheme="minorHAnsi"/>
      <w:sz w:val="18"/>
      <w:szCs w:val="18"/>
    </w:rPr>
  </w:style>
  <w:style w:type="paragraph" w:styleId="28">
    <w:name w:val="Date"/>
    <w:basedOn w:val="1"/>
    <w:next w:val="1"/>
    <w:link w:val="118"/>
    <w:autoRedefine/>
    <w:qFormat/>
    <w:uiPriority w:val="0"/>
    <w:pPr>
      <w:ind w:left="100" w:leftChars="2500"/>
    </w:pPr>
    <w:rPr>
      <w:sz w:val="24"/>
      <w:szCs w:val="20"/>
    </w:rPr>
  </w:style>
  <w:style w:type="paragraph" w:styleId="29">
    <w:name w:val="Body Text Indent 2"/>
    <w:basedOn w:val="1"/>
    <w:link w:val="174"/>
    <w:autoRedefine/>
    <w:qFormat/>
    <w:uiPriority w:val="0"/>
    <w:pPr>
      <w:spacing w:after="120" w:line="480" w:lineRule="auto"/>
      <w:ind w:left="420" w:leftChars="200"/>
    </w:pPr>
    <w:rPr>
      <w:sz w:val="24"/>
      <w:szCs w:val="20"/>
    </w:rPr>
  </w:style>
  <w:style w:type="paragraph" w:styleId="30">
    <w:name w:val="endnote text"/>
    <w:basedOn w:val="1"/>
    <w:link w:val="79"/>
    <w:autoRedefine/>
    <w:qFormat/>
    <w:uiPriority w:val="0"/>
    <w:pPr>
      <w:snapToGrid w:val="0"/>
      <w:jc w:val="left"/>
    </w:pPr>
    <w:rPr>
      <w:b/>
    </w:rPr>
  </w:style>
  <w:style w:type="paragraph" w:styleId="31">
    <w:name w:val="Balloon Text"/>
    <w:basedOn w:val="1"/>
    <w:link w:val="108"/>
    <w:autoRedefine/>
    <w:qFormat/>
    <w:uiPriority w:val="0"/>
    <w:rPr>
      <w:sz w:val="18"/>
      <w:szCs w:val="18"/>
    </w:rPr>
  </w:style>
  <w:style w:type="paragraph" w:styleId="32">
    <w:name w:val="footer"/>
    <w:basedOn w:val="1"/>
    <w:link w:val="93"/>
    <w:autoRedefine/>
    <w:qFormat/>
    <w:uiPriority w:val="99"/>
    <w:pPr>
      <w:tabs>
        <w:tab w:val="center" w:pos="4153"/>
        <w:tab w:val="right" w:pos="8306"/>
      </w:tabs>
      <w:snapToGrid w:val="0"/>
      <w:jc w:val="left"/>
    </w:pPr>
    <w:rPr>
      <w:sz w:val="18"/>
      <w:szCs w:val="18"/>
    </w:rPr>
  </w:style>
  <w:style w:type="paragraph" w:styleId="33">
    <w:name w:val="header"/>
    <w:basedOn w:val="1"/>
    <w:link w:val="92"/>
    <w:autoRedefine/>
    <w:qFormat/>
    <w:uiPriority w:val="0"/>
    <w:pPr>
      <w:pBdr>
        <w:bottom w:val="single" w:color="auto" w:sz="6" w:space="1"/>
      </w:pBdr>
      <w:tabs>
        <w:tab w:val="center" w:pos="4153"/>
        <w:tab w:val="right" w:pos="8306"/>
      </w:tabs>
      <w:snapToGrid w:val="0"/>
      <w:jc w:val="center"/>
    </w:pPr>
    <w:rPr>
      <w:sz w:val="18"/>
      <w:szCs w:val="18"/>
    </w:rPr>
  </w:style>
  <w:style w:type="paragraph" w:styleId="34">
    <w:name w:val="Signature"/>
    <w:basedOn w:val="18"/>
    <w:qFormat/>
    <w:locked/>
    <w:uiPriority w:val="0"/>
    <w:pPr>
      <w:keepNext/>
      <w:keepLines/>
      <w:widowControl/>
      <w:snapToGrid/>
      <w:spacing w:before="660" w:line="240" w:lineRule="atLeast"/>
    </w:pPr>
    <w:rPr>
      <w:rFonts w:ascii="Garamond" w:hAnsi="Garamond"/>
      <w:spacing w:val="-5"/>
      <w:kern w:val="0"/>
      <w:sz w:val="24"/>
    </w:rPr>
  </w:style>
  <w:style w:type="paragraph" w:styleId="35">
    <w:name w:val="toc 1"/>
    <w:basedOn w:val="1"/>
    <w:next w:val="1"/>
    <w:autoRedefine/>
    <w:qFormat/>
    <w:uiPriority w:val="39"/>
    <w:pPr>
      <w:spacing w:before="120" w:after="120"/>
      <w:jc w:val="left"/>
    </w:pPr>
    <w:rPr>
      <w:rFonts w:asciiTheme="minorHAnsi" w:hAnsiTheme="minorHAnsi" w:cstheme="minorHAnsi"/>
      <w:b/>
      <w:bCs/>
      <w:caps/>
      <w:sz w:val="20"/>
      <w:szCs w:val="20"/>
    </w:rPr>
  </w:style>
  <w:style w:type="paragraph" w:styleId="36">
    <w:name w:val="toc 4"/>
    <w:basedOn w:val="25"/>
    <w:next w:val="25"/>
    <w:autoRedefine/>
    <w:qFormat/>
    <w:uiPriority w:val="39"/>
    <w:pPr>
      <w:ind w:left="630"/>
      <w:jc w:val="left"/>
    </w:pPr>
    <w:rPr>
      <w:rFonts w:asciiTheme="minorHAnsi" w:hAnsiTheme="minorHAnsi" w:cstheme="minorHAnsi"/>
      <w:sz w:val="18"/>
      <w:szCs w:val="18"/>
    </w:rPr>
  </w:style>
  <w:style w:type="paragraph" w:styleId="37">
    <w:name w:val="Subtitle"/>
    <w:basedOn w:val="1"/>
    <w:next w:val="1"/>
    <w:link w:val="83"/>
    <w:autoRedefine/>
    <w:qFormat/>
    <w:uiPriority w:val="0"/>
    <w:pPr>
      <w:spacing w:before="240" w:after="60" w:line="312" w:lineRule="auto"/>
      <w:jc w:val="center"/>
      <w:outlineLvl w:val="1"/>
    </w:pPr>
    <w:rPr>
      <w:rFonts w:ascii="Cambria" w:hAnsi="Cambria"/>
      <w:b/>
      <w:bCs/>
      <w:kern w:val="28"/>
      <w:sz w:val="32"/>
      <w:szCs w:val="32"/>
    </w:rPr>
  </w:style>
  <w:style w:type="paragraph" w:styleId="38">
    <w:name w:val="footnote text"/>
    <w:basedOn w:val="1"/>
    <w:link w:val="253"/>
    <w:autoRedefine/>
    <w:qFormat/>
    <w:uiPriority w:val="0"/>
    <w:pPr>
      <w:adjustRightInd w:val="0"/>
      <w:spacing w:line="312" w:lineRule="atLeast"/>
      <w:jc w:val="left"/>
      <w:textAlignment w:val="baseline"/>
    </w:pPr>
    <w:rPr>
      <w:kern w:val="0"/>
      <w:sz w:val="18"/>
      <w:szCs w:val="20"/>
    </w:rPr>
  </w:style>
  <w:style w:type="paragraph" w:styleId="39">
    <w:name w:val="toc 6"/>
    <w:basedOn w:val="1"/>
    <w:next w:val="1"/>
    <w:autoRedefine/>
    <w:qFormat/>
    <w:uiPriority w:val="39"/>
    <w:pPr>
      <w:ind w:left="1050"/>
      <w:jc w:val="left"/>
    </w:pPr>
    <w:rPr>
      <w:rFonts w:asciiTheme="minorHAnsi" w:hAnsiTheme="minorHAnsi" w:cstheme="minorHAnsi"/>
      <w:sz w:val="18"/>
      <w:szCs w:val="18"/>
    </w:rPr>
  </w:style>
  <w:style w:type="paragraph" w:styleId="40">
    <w:name w:val="Body Text Indent 3"/>
    <w:basedOn w:val="1"/>
    <w:link w:val="85"/>
    <w:autoRedefine/>
    <w:qFormat/>
    <w:uiPriority w:val="0"/>
    <w:pPr>
      <w:tabs>
        <w:tab w:val="left" w:pos="1155"/>
      </w:tabs>
      <w:spacing w:line="480" w:lineRule="exact"/>
      <w:ind w:firstLine="420" w:firstLineChars="150"/>
    </w:pPr>
    <w:rPr>
      <w:kern w:val="0"/>
      <w:sz w:val="28"/>
    </w:rPr>
  </w:style>
  <w:style w:type="paragraph" w:styleId="41">
    <w:name w:val="toc 2"/>
    <w:basedOn w:val="1"/>
    <w:next w:val="1"/>
    <w:autoRedefine/>
    <w:qFormat/>
    <w:uiPriority w:val="39"/>
    <w:pPr>
      <w:ind w:left="210"/>
      <w:jc w:val="left"/>
    </w:pPr>
    <w:rPr>
      <w:rFonts w:asciiTheme="minorHAnsi" w:hAnsiTheme="minorHAnsi" w:cstheme="minorHAnsi"/>
      <w:smallCaps/>
      <w:sz w:val="20"/>
      <w:szCs w:val="20"/>
    </w:rPr>
  </w:style>
  <w:style w:type="paragraph" w:styleId="42">
    <w:name w:val="toc 9"/>
    <w:basedOn w:val="1"/>
    <w:next w:val="1"/>
    <w:autoRedefine/>
    <w:qFormat/>
    <w:uiPriority w:val="39"/>
    <w:pPr>
      <w:ind w:left="1680"/>
      <w:jc w:val="left"/>
    </w:pPr>
    <w:rPr>
      <w:rFonts w:asciiTheme="minorHAnsi" w:hAnsiTheme="minorHAnsi" w:cstheme="minorHAnsi"/>
      <w:sz w:val="18"/>
      <w:szCs w:val="18"/>
    </w:rPr>
  </w:style>
  <w:style w:type="paragraph" w:styleId="43">
    <w:name w:val="Body Text 2"/>
    <w:basedOn w:val="1"/>
    <w:link w:val="86"/>
    <w:autoRedefine/>
    <w:qFormat/>
    <w:uiPriority w:val="0"/>
    <w:pPr>
      <w:spacing w:after="120" w:line="480" w:lineRule="auto"/>
    </w:pPr>
    <w:rPr>
      <w:sz w:val="24"/>
      <w:szCs w:val="20"/>
    </w:rPr>
  </w:style>
  <w:style w:type="paragraph" w:styleId="44">
    <w:name w:val="HTML Preformatted"/>
    <w:basedOn w:val="1"/>
    <w:link w:val="87"/>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45">
    <w:name w:val="Normal (Web)"/>
    <w:basedOn w:val="1"/>
    <w:link w:val="98"/>
    <w:autoRedefine/>
    <w:qFormat/>
    <w:uiPriority w:val="0"/>
    <w:pPr>
      <w:widowControl/>
      <w:spacing w:before="100" w:beforeAutospacing="1" w:after="100" w:afterAutospacing="1"/>
      <w:jc w:val="left"/>
    </w:pPr>
    <w:rPr>
      <w:kern w:val="0"/>
      <w:sz w:val="24"/>
      <w:szCs w:val="20"/>
    </w:rPr>
  </w:style>
  <w:style w:type="paragraph" w:styleId="46">
    <w:name w:val="Title"/>
    <w:basedOn w:val="1"/>
    <w:next w:val="1"/>
    <w:link w:val="231"/>
    <w:autoRedefine/>
    <w:qFormat/>
    <w:uiPriority w:val="0"/>
    <w:pPr>
      <w:spacing w:before="240" w:after="60"/>
      <w:jc w:val="center"/>
      <w:outlineLvl w:val="0"/>
    </w:pPr>
    <w:rPr>
      <w:rFonts w:ascii="Cambria" w:hAnsi="Cambria"/>
      <w:b/>
      <w:sz w:val="32"/>
      <w:szCs w:val="20"/>
    </w:rPr>
  </w:style>
  <w:style w:type="paragraph" w:styleId="47">
    <w:name w:val="annotation subject"/>
    <w:basedOn w:val="16"/>
    <w:next w:val="16"/>
    <w:link w:val="111"/>
    <w:autoRedefine/>
    <w:qFormat/>
    <w:uiPriority w:val="0"/>
    <w:rPr>
      <w:b/>
      <w:bCs/>
    </w:rPr>
  </w:style>
  <w:style w:type="paragraph" w:styleId="48">
    <w:name w:val="Body Text First Indent 2"/>
    <w:basedOn w:val="20"/>
    <w:link w:val="91"/>
    <w:autoRedefine/>
    <w:qFormat/>
    <w:uiPriority w:val="0"/>
    <w:pPr>
      <w:spacing w:before="240" w:after="0" w:line="360" w:lineRule="auto"/>
      <w:ind w:left="0" w:leftChars="0" w:firstLine="420"/>
    </w:pPr>
  </w:style>
  <w:style w:type="table" w:styleId="50">
    <w:name w:val="Table Grid"/>
    <w:basedOn w:val="49"/>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2">
    <w:name w:val="Strong"/>
    <w:basedOn w:val="51"/>
    <w:autoRedefine/>
    <w:qFormat/>
    <w:uiPriority w:val="0"/>
    <w:rPr>
      <w:rFonts w:ascii="Times New Roman" w:hAnsi="Times New Roman" w:eastAsia="宋体" w:cs="Times New Roman"/>
      <w:b/>
    </w:rPr>
  </w:style>
  <w:style w:type="character" w:styleId="53">
    <w:name w:val="endnote reference"/>
    <w:autoRedefine/>
    <w:qFormat/>
    <w:uiPriority w:val="0"/>
    <w:rPr>
      <w:rFonts w:ascii="Times New Roman" w:hAnsi="Times New Roman" w:eastAsia="宋体" w:cs="Times New Roman"/>
      <w:vertAlign w:val="superscript"/>
    </w:rPr>
  </w:style>
  <w:style w:type="character" w:styleId="54">
    <w:name w:val="page number"/>
    <w:basedOn w:val="51"/>
    <w:autoRedefine/>
    <w:qFormat/>
    <w:uiPriority w:val="0"/>
    <w:rPr>
      <w:rFonts w:ascii="Times New Roman" w:hAnsi="Times New Roman" w:eastAsia="宋体" w:cs="Times New Roman"/>
    </w:rPr>
  </w:style>
  <w:style w:type="character" w:styleId="55">
    <w:name w:val="FollowedHyperlink"/>
    <w:autoRedefine/>
    <w:qFormat/>
    <w:uiPriority w:val="99"/>
    <w:rPr>
      <w:rFonts w:ascii="Times New Roman" w:hAnsi="Times New Roman" w:eastAsia="宋体" w:cs="Times New Roman"/>
      <w:color w:val="DD8905"/>
      <w:u w:val="none"/>
    </w:rPr>
  </w:style>
  <w:style w:type="character" w:styleId="56">
    <w:name w:val="Emphasis"/>
    <w:autoRedefine/>
    <w:qFormat/>
    <w:uiPriority w:val="0"/>
    <w:rPr>
      <w:rFonts w:ascii="Times New Roman" w:hAnsi="Times New Roman" w:eastAsia="宋体" w:cs="Times New Roman"/>
      <w:i/>
    </w:rPr>
  </w:style>
  <w:style w:type="character" w:styleId="57">
    <w:name w:val="Hyperlink"/>
    <w:autoRedefine/>
    <w:qFormat/>
    <w:uiPriority w:val="99"/>
    <w:rPr>
      <w:rFonts w:ascii="Times New Roman" w:hAnsi="Times New Roman" w:eastAsia="宋体" w:cs="Times New Roman"/>
      <w:color w:val="000000"/>
      <w:u w:val="none"/>
    </w:rPr>
  </w:style>
  <w:style w:type="character" w:styleId="58">
    <w:name w:val="annotation reference"/>
    <w:basedOn w:val="51"/>
    <w:autoRedefine/>
    <w:qFormat/>
    <w:uiPriority w:val="0"/>
    <w:rPr>
      <w:rFonts w:cs="Times New Roman"/>
      <w:sz w:val="21"/>
      <w:szCs w:val="21"/>
    </w:rPr>
  </w:style>
  <w:style w:type="character" w:styleId="59">
    <w:name w:val="footnote reference"/>
    <w:autoRedefine/>
    <w:qFormat/>
    <w:uiPriority w:val="0"/>
    <w:rPr>
      <w:rFonts w:ascii="Times New Roman" w:hAnsi="Times New Roman" w:eastAsia="宋体" w:cs="Times New Roman"/>
      <w:vertAlign w:val="superscript"/>
    </w:rPr>
  </w:style>
  <w:style w:type="paragraph" w:customStyle="1" w:styleId="60">
    <w:name w:val="首行缩进"/>
    <w:basedOn w:val="1"/>
    <w:autoRedefine/>
    <w:qFormat/>
    <w:uiPriority w:val="0"/>
    <w:pPr>
      <w:spacing w:line="360" w:lineRule="auto"/>
      <w:ind w:firstLine="480" w:firstLineChars="200"/>
    </w:pPr>
    <w:rPr>
      <w:rFonts w:ascii="宋体" w:hAnsi="宋体" w:cs="宋体"/>
      <w:kern w:val="0"/>
      <w:sz w:val="24"/>
    </w:rPr>
  </w:style>
  <w:style w:type="paragraph" w:customStyle="1" w:styleId="61">
    <w:name w:val="Default"/>
    <w:autoRedefine/>
    <w:qFormat/>
    <w:uiPriority w:val="0"/>
    <w:pPr>
      <w:widowControl w:val="0"/>
      <w:autoSpaceDE w:val="0"/>
      <w:autoSpaceDN w:val="0"/>
      <w:adjustRightInd w:val="0"/>
      <w:spacing w:line="400" w:lineRule="exact"/>
      <w:ind w:firstLine="200" w:firstLineChars="200"/>
    </w:pPr>
    <w:rPr>
      <w:rFonts w:ascii="Times New Roman" w:hAnsi="Times New Roman" w:eastAsia="宋体" w:cs="Calibri"/>
      <w:color w:val="000000"/>
      <w:sz w:val="24"/>
      <w:szCs w:val="24"/>
      <w:lang w:val="en-US" w:eastAsia="zh-CN" w:bidi="ar-SA"/>
    </w:rPr>
  </w:style>
  <w:style w:type="character" w:customStyle="1" w:styleId="62">
    <w:name w:val="Heading 1 Char"/>
    <w:autoRedefine/>
    <w:qFormat/>
    <w:locked/>
    <w:uiPriority w:val="0"/>
    <w:rPr>
      <w:rFonts w:ascii="Times New Roman" w:hAnsi="Times New Roman" w:eastAsia="宋体" w:cs="Times New Roman"/>
      <w:b/>
      <w:kern w:val="44"/>
      <w:sz w:val="44"/>
      <w:lang w:val="en-US" w:eastAsia="zh-CN"/>
    </w:rPr>
  </w:style>
  <w:style w:type="character" w:customStyle="1" w:styleId="63">
    <w:name w:val="Heading 2 Char"/>
    <w:autoRedefine/>
    <w:qFormat/>
    <w:locked/>
    <w:uiPriority w:val="0"/>
    <w:rPr>
      <w:rFonts w:ascii="Arial" w:hAnsi="Arial" w:eastAsia="黑体" w:cs="Times New Roman"/>
      <w:b/>
      <w:kern w:val="2"/>
      <w:sz w:val="32"/>
      <w:lang w:val="en-US" w:eastAsia="zh-CN"/>
    </w:rPr>
  </w:style>
  <w:style w:type="character" w:customStyle="1" w:styleId="64">
    <w:name w:val="Heading 3 Char"/>
    <w:autoRedefine/>
    <w:qFormat/>
    <w:locked/>
    <w:uiPriority w:val="0"/>
    <w:rPr>
      <w:rFonts w:ascii="Times New Roman" w:hAnsi="Times New Roman" w:eastAsia="宋体" w:cs="Times New Roman"/>
      <w:b/>
      <w:kern w:val="2"/>
      <w:sz w:val="32"/>
    </w:rPr>
  </w:style>
  <w:style w:type="character" w:customStyle="1" w:styleId="65">
    <w:name w:val="Heading 4 Char"/>
    <w:autoRedefine/>
    <w:qFormat/>
    <w:locked/>
    <w:uiPriority w:val="0"/>
    <w:rPr>
      <w:rFonts w:ascii="Arial" w:hAnsi="Arial" w:eastAsia="宋体" w:cs="Times New Roman"/>
      <w:b/>
      <w:kern w:val="2"/>
      <w:sz w:val="28"/>
      <w:lang w:val="en-US" w:eastAsia="zh-CN"/>
    </w:rPr>
  </w:style>
  <w:style w:type="character" w:customStyle="1" w:styleId="66">
    <w:name w:val="Heading 5 Char"/>
    <w:autoRedefine/>
    <w:qFormat/>
    <w:locked/>
    <w:uiPriority w:val="0"/>
    <w:rPr>
      <w:rFonts w:ascii="Times New Roman" w:hAnsi="Times New Roman" w:eastAsia="宋体" w:cs="Times New Roman"/>
      <w:b/>
      <w:kern w:val="2"/>
      <w:sz w:val="28"/>
      <w:lang w:val="en-US" w:eastAsia="zh-CN"/>
    </w:rPr>
  </w:style>
  <w:style w:type="character" w:customStyle="1" w:styleId="67">
    <w:name w:val="标题 6 Char"/>
    <w:link w:val="7"/>
    <w:autoRedefine/>
    <w:qFormat/>
    <w:locked/>
    <w:uiPriority w:val="0"/>
    <w:rPr>
      <w:rFonts w:ascii="Cambria" w:hAnsi="Cambria" w:cs="Times New Roman"/>
      <w:b/>
      <w:bCs/>
      <w:kern w:val="2"/>
      <w:sz w:val="24"/>
      <w:szCs w:val="24"/>
    </w:rPr>
  </w:style>
  <w:style w:type="character" w:customStyle="1" w:styleId="68">
    <w:name w:val="标题 7 Char"/>
    <w:link w:val="8"/>
    <w:autoRedefine/>
    <w:qFormat/>
    <w:locked/>
    <w:uiPriority w:val="0"/>
    <w:rPr>
      <w:rFonts w:ascii="Calibri" w:hAnsi="Calibri" w:cs="Times New Roman"/>
      <w:b/>
      <w:bCs/>
      <w:kern w:val="2"/>
      <w:sz w:val="24"/>
      <w:szCs w:val="24"/>
    </w:rPr>
  </w:style>
  <w:style w:type="character" w:customStyle="1" w:styleId="69">
    <w:name w:val="标题 8 Char"/>
    <w:link w:val="9"/>
    <w:autoRedefine/>
    <w:qFormat/>
    <w:locked/>
    <w:uiPriority w:val="0"/>
    <w:rPr>
      <w:rFonts w:ascii="Cambria" w:hAnsi="Cambria" w:cs="Times New Roman"/>
      <w:kern w:val="2"/>
      <w:sz w:val="24"/>
      <w:szCs w:val="24"/>
    </w:rPr>
  </w:style>
  <w:style w:type="character" w:customStyle="1" w:styleId="70">
    <w:name w:val="标题 9 Char"/>
    <w:link w:val="10"/>
    <w:autoRedefine/>
    <w:qFormat/>
    <w:locked/>
    <w:uiPriority w:val="0"/>
    <w:rPr>
      <w:rFonts w:ascii="Cambria" w:hAnsi="Cambria" w:cs="Times New Roman"/>
      <w:kern w:val="2"/>
      <w:sz w:val="21"/>
      <w:szCs w:val="21"/>
    </w:rPr>
  </w:style>
  <w:style w:type="character" w:customStyle="1" w:styleId="71">
    <w:name w:val="Document Map Char"/>
    <w:autoRedefine/>
    <w:qFormat/>
    <w:locked/>
    <w:uiPriority w:val="0"/>
    <w:rPr>
      <w:rFonts w:ascii="Times New Roman" w:hAnsi="Times New Roman" w:eastAsia="宋体" w:cs="Times New Roman"/>
      <w:kern w:val="2"/>
      <w:sz w:val="24"/>
      <w:lang w:val="en-US" w:eastAsia="zh-CN"/>
    </w:rPr>
  </w:style>
  <w:style w:type="character" w:customStyle="1" w:styleId="72">
    <w:name w:val="Comment Text Char"/>
    <w:autoRedefine/>
    <w:qFormat/>
    <w:locked/>
    <w:uiPriority w:val="0"/>
    <w:rPr>
      <w:rFonts w:ascii="Times New Roman" w:hAnsi="Times New Roman" w:eastAsia="宋体" w:cs="Times New Roman"/>
      <w:sz w:val="24"/>
    </w:rPr>
  </w:style>
  <w:style w:type="character" w:customStyle="1" w:styleId="73">
    <w:name w:val="正文文本 3 Char"/>
    <w:link w:val="17"/>
    <w:autoRedefine/>
    <w:qFormat/>
    <w:locked/>
    <w:uiPriority w:val="0"/>
    <w:rPr>
      <w:rFonts w:cs="Times New Roman"/>
      <w:sz w:val="16"/>
    </w:rPr>
  </w:style>
  <w:style w:type="character" w:customStyle="1" w:styleId="74">
    <w:name w:val="正文文本 Char"/>
    <w:link w:val="18"/>
    <w:autoRedefine/>
    <w:qFormat/>
    <w:locked/>
    <w:uiPriority w:val="0"/>
    <w:rPr>
      <w:rFonts w:cs="Times New Roman"/>
      <w:kern w:val="2"/>
      <w:sz w:val="24"/>
      <w:szCs w:val="24"/>
    </w:rPr>
  </w:style>
  <w:style w:type="character" w:customStyle="1" w:styleId="75">
    <w:name w:val="Body Text Indent Char"/>
    <w:autoRedefine/>
    <w:qFormat/>
    <w:locked/>
    <w:uiPriority w:val="0"/>
    <w:rPr>
      <w:rFonts w:ascii="宋体" w:hAnsi="宋体" w:eastAsia="宋体" w:cs="Times New Roman"/>
      <w:kern w:val="2"/>
      <w:sz w:val="21"/>
      <w:lang w:val="en-US" w:eastAsia="zh-CN"/>
    </w:rPr>
  </w:style>
  <w:style w:type="character" w:customStyle="1" w:styleId="76">
    <w:name w:val="Plain Text Char"/>
    <w:autoRedefine/>
    <w:qFormat/>
    <w:locked/>
    <w:uiPriority w:val="0"/>
    <w:rPr>
      <w:rFonts w:ascii="宋体" w:hAnsi="Courier New" w:eastAsia="宋体" w:cs="Times New Roman"/>
      <w:sz w:val="24"/>
    </w:rPr>
  </w:style>
  <w:style w:type="character" w:customStyle="1" w:styleId="77">
    <w:name w:val="Date Char"/>
    <w:autoRedefine/>
    <w:qFormat/>
    <w:locked/>
    <w:uiPriority w:val="0"/>
    <w:rPr>
      <w:rFonts w:ascii="Times New Roman" w:hAnsi="Times New Roman" w:eastAsia="宋体" w:cs="Times New Roman"/>
      <w:kern w:val="2"/>
      <w:sz w:val="24"/>
      <w:lang w:val="en-US" w:eastAsia="zh-CN"/>
    </w:rPr>
  </w:style>
  <w:style w:type="character" w:customStyle="1" w:styleId="78">
    <w:name w:val="Body Text Indent 2 Char"/>
    <w:autoRedefine/>
    <w:qFormat/>
    <w:locked/>
    <w:uiPriority w:val="0"/>
    <w:rPr>
      <w:rFonts w:ascii="Times New Roman" w:hAnsi="Times New Roman" w:eastAsia="宋体" w:cs="Times New Roman"/>
      <w:kern w:val="2"/>
      <w:sz w:val="24"/>
      <w:lang w:val="en-US" w:eastAsia="zh-CN"/>
    </w:rPr>
  </w:style>
  <w:style w:type="character" w:customStyle="1" w:styleId="79">
    <w:name w:val="尾注文本 Char1"/>
    <w:link w:val="30"/>
    <w:autoRedefine/>
    <w:qFormat/>
    <w:locked/>
    <w:uiPriority w:val="0"/>
    <w:rPr>
      <w:rFonts w:cs="Times New Roman"/>
      <w:b/>
      <w:kern w:val="2"/>
      <w:sz w:val="24"/>
    </w:rPr>
  </w:style>
  <w:style w:type="character" w:customStyle="1" w:styleId="80">
    <w:name w:val="Balloon Text Char"/>
    <w:autoRedefine/>
    <w:qFormat/>
    <w:locked/>
    <w:uiPriority w:val="0"/>
    <w:rPr>
      <w:rFonts w:ascii="Times New Roman" w:hAnsi="Times New Roman" w:eastAsia="宋体" w:cs="Times New Roman"/>
      <w:sz w:val="18"/>
    </w:rPr>
  </w:style>
  <w:style w:type="character" w:customStyle="1" w:styleId="81">
    <w:name w:val="Footer Char"/>
    <w:autoRedefine/>
    <w:qFormat/>
    <w:locked/>
    <w:uiPriority w:val="0"/>
    <w:rPr>
      <w:rFonts w:ascii="Times New Roman" w:hAnsi="Times New Roman" w:eastAsia="宋体" w:cs="Times New Roman"/>
      <w:kern w:val="2"/>
      <w:sz w:val="18"/>
      <w:lang w:val="en-US" w:eastAsia="zh-CN"/>
    </w:rPr>
  </w:style>
  <w:style w:type="character" w:customStyle="1" w:styleId="82">
    <w:name w:val="Header Char"/>
    <w:autoRedefine/>
    <w:qFormat/>
    <w:locked/>
    <w:uiPriority w:val="0"/>
    <w:rPr>
      <w:rFonts w:ascii="Times New Roman" w:hAnsi="Times New Roman" w:eastAsia="宋体" w:cs="Times New Roman"/>
      <w:kern w:val="2"/>
      <w:sz w:val="18"/>
      <w:lang w:val="en-US" w:eastAsia="zh-CN"/>
    </w:rPr>
  </w:style>
  <w:style w:type="character" w:customStyle="1" w:styleId="83">
    <w:name w:val="副标题 Char"/>
    <w:link w:val="37"/>
    <w:autoRedefine/>
    <w:qFormat/>
    <w:locked/>
    <w:uiPriority w:val="0"/>
    <w:rPr>
      <w:rFonts w:ascii="Cambria" w:hAnsi="Cambria" w:cs="Times New Roman"/>
      <w:b/>
      <w:kern w:val="28"/>
      <w:sz w:val="32"/>
    </w:rPr>
  </w:style>
  <w:style w:type="character" w:customStyle="1" w:styleId="84">
    <w:name w:val="Footnote Text Char"/>
    <w:autoRedefine/>
    <w:qFormat/>
    <w:locked/>
    <w:uiPriority w:val="0"/>
    <w:rPr>
      <w:rFonts w:ascii="Times New Roman" w:hAnsi="Times New Roman" w:eastAsia="宋体" w:cs="Times New Roman"/>
      <w:sz w:val="18"/>
      <w:lang w:val="en-US" w:eastAsia="zh-CN"/>
    </w:rPr>
  </w:style>
  <w:style w:type="character" w:customStyle="1" w:styleId="85">
    <w:name w:val="正文文本缩进 3 Char"/>
    <w:link w:val="40"/>
    <w:autoRedefine/>
    <w:qFormat/>
    <w:locked/>
    <w:uiPriority w:val="0"/>
    <w:rPr>
      <w:rFonts w:cs="Times New Roman"/>
      <w:sz w:val="24"/>
    </w:rPr>
  </w:style>
  <w:style w:type="character" w:customStyle="1" w:styleId="86">
    <w:name w:val="正文文本 2 Char"/>
    <w:link w:val="43"/>
    <w:autoRedefine/>
    <w:qFormat/>
    <w:locked/>
    <w:uiPriority w:val="0"/>
    <w:rPr>
      <w:rFonts w:cs="Times New Roman"/>
      <w:kern w:val="2"/>
      <w:sz w:val="24"/>
    </w:rPr>
  </w:style>
  <w:style w:type="character" w:customStyle="1" w:styleId="87">
    <w:name w:val="HTML 预设格式 Char"/>
    <w:link w:val="44"/>
    <w:autoRedefine/>
    <w:qFormat/>
    <w:locked/>
    <w:uiPriority w:val="0"/>
    <w:rPr>
      <w:rFonts w:ascii="宋体" w:eastAsia="宋体" w:cs="Times New Roman"/>
      <w:sz w:val="24"/>
    </w:rPr>
  </w:style>
  <w:style w:type="character" w:customStyle="1" w:styleId="88">
    <w:name w:val="Title Char"/>
    <w:autoRedefine/>
    <w:qFormat/>
    <w:locked/>
    <w:uiPriority w:val="0"/>
    <w:rPr>
      <w:rFonts w:ascii="Cambria" w:hAnsi="Cambria" w:eastAsia="宋体" w:cs="Times New Roman"/>
      <w:b/>
      <w:sz w:val="32"/>
    </w:rPr>
  </w:style>
  <w:style w:type="character" w:customStyle="1" w:styleId="89">
    <w:name w:val="Comment Subject Char"/>
    <w:autoRedefine/>
    <w:qFormat/>
    <w:locked/>
    <w:uiPriority w:val="0"/>
    <w:rPr>
      <w:rFonts w:ascii="Times New Roman" w:hAnsi="Times New Roman" w:eastAsia="宋体" w:cs="Times New Roman"/>
      <w:b/>
      <w:sz w:val="24"/>
    </w:rPr>
  </w:style>
  <w:style w:type="character" w:customStyle="1" w:styleId="90">
    <w:name w:val="正文首行缩进 Char"/>
    <w:link w:val="19"/>
    <w:autoRedefine/>
    <w:qFormat/>
    <w:locked/>
    <w:uiPriority w:val="0"/>
    <w:rPr>
      <w:rFonts w:cs="Times New Roman"/>
      <w:kern w:val="2"/>
      <w:sz w:val="24"/>
      <w:szCs w:val="24"/>
    </w:rPr>
  </w:style>
  <w:style w:type="character" w:customStyle="1" w:styleId="91">
    <w:name w:val="正文首行缩进 2 Char"/>
    <w:link w:val="48"/>
    <w:autoRedefine/>
    <w:qFormat/>
    <w:locked/>
    <w:uiPriority w:val="0"/>
    <w:rPr>
      <w:rFonts w:ascii="宋体" w:hAnsi="宋体" w:eastAsia="宋体" w:cs="Times New Roman"/>
      <w:kern w:val="2"/>
      <w:sz w:val="24"/>
      <w:lang w:val="en-US" w:eastAsia="zh-CN"/>
    </w:rPr>
  </w:style>
  <w:style w:type="character" w:customStyle="1" w:styleId="92">
    <w:name w:val="页眉 Char"/>
    <w:link w:val="33"/>
    <w:autoRedefine/>
    <w:qFormat/>
    <w:locked/>
    <w:uiPriority w:val="0"/>
    <w:rPr>
      <w:rFonts w:cs="Times New Roman"/>
      <w:sz w:val="18"/>
      <w:szCs w:val="18"/>
    </w:rPr>
  </w:style>
  <w:style w:type="character" w:customStyle="1" w:styleId="93">
    <w:name w:val="页脚 Char"/>
    <w:link w:val="32"/>
    <w:autoRedefine/>
    <w:qFormat/>
    <w:locked/>
    <w:uiPriority w:val="99"/>
    <w:rPr>
      <w:rFonts w:cs="Times New Roman"/>
      <w:sz w:val="18"/>
      <w:szCs w:val="18"/>
    </w:rPr>
  </w:style>
  <w:style w:type="character" w:customStyle="1" w:styleId="94">
    <w:name w:val="标题 1 Char"/>
    <w:link w:val="3"/>
    <w:autoRedefine/>
    <w:qFormat/>
    <w:uiPriority w:val="0"/>
    <w:rPr>
      <w:rFonts w:ascii="Times New Roman" w:hAnsi="Times New Roman" w:eastAsia="宋体" w:cs="Times New Roman"/>
      <w:b/>
      <w:bCs/>
      <w:kern w:val="44"/>
      <w:sz w:val="44"/>
      <w:szCs w:val="44"/>
    </w:rPr>
  </w:style>
  <w:style w:type="character" w:customStyle="1" w:styleId="95">
    <w:name w:val="标题 2 Char"/>
    <w:autoRedefine/>
    <w:qFormat/>
    <w:uiPriority w:val="9"/>
    <w:rPr>
      <w:rFonts w:ascii="Calibri Light" w:hAnsi="Calibri Light" w:eastAsia="宋体" w:cs="Times New Roman"/>
      <w:b/>
      <w:bCs/>
      <w:sz w:val="32"/>
      <w:szCs w:val="32"/>
    </w:rPr>
  </w:style>
  <w:style w:type="character" w:customStyle="1" w:styleId="96">
    <w:name w:val="标题 3 Char"/>
    <w:autoRedefine/>
    <w:qFormat/>
    <w:uiPriority w:val="0"/>
    <w:rPr>
      <w:rFonts w:ascii="Times New Roman" w:hAnsi="Times New Roman" w:eastAsia="宋体" w:cs="Times New Roman"/>
      <w:b/>
      <w:bCs/>
      <w:sz w:val="32"/>
      <w:szCs w:val="32"/>
    </w:rPr>
  </w:style>
  <w:style w:type="character" w:customStyle="1" w:styleId="97">
    <w:name w:val="页眉 Char1"/>
    <w:autoRedefine/>
    <w:qFormat/>
    <w:uiPriority w:val="0"/>
    <w:rPr>
      <w:rFonts w:ascii="Times New Roman" w:hAnsi="Times New Roman" w:eastAsia="宋体"/>
      <w:sz w:val="18"/>
      <w:lang w:val="en-US" w:eastAsia="zh-CN"/>
    </w:rPr>
  </w:style>
  <w:style w:type="character" w:customStyle="1" w:styleId="98">
    <w:name w:val="普通(网站) Char"/>
    <w:link w:val="45"/>
    <w:autoRedefine/>
    <w:qFormat/>
    <w:locked/>
    <w:uiPriority w:val="99"/>
    <w:rPr>
      <w:rFonts w:ascii="Times New Roman" w:hAnsi="Times New Roman" w:eastAsia="宋体"/>
      <w:sz w:val="24"/>
    </w:rPr>
  </w:style>
  <w:style w:type="character" w:customStyle="1" w:styleId="99">
    <w:name w:val="ca-3"/>
    <w:autoRedefine/>
    <w:qFormat/>
    <w:uiPriority w:val="99"/>
    <w:rPr>
      <w:rFonts w:ascii="Times New Roman" w:hAnsi="Times New Roman" w:eastAsia="宋体"/>
    </w:rPr>
  </w:style>
  <w:style w:type="character" w:customStyle="1" w:styleId="100">
    <w:name w:val="纯文本 Char5"/>
    <w:link w:val="26"/>
    <w:autoRedefine/>
    <w:qFormat/>
    <w:locked/>
    <w:uiPriority w:val="99"/>
    <w:rPr>
      <w:rFonts w:ascii="宋体" w:hAnsi="Courier New" w:eastAsia="宋体"/>
    </w:rPr>
  </w:style>
  <w:style w:type="character" w:customStyle="1" w:styleId="101">
    <w:name w:val="标题 3 Char2"/>
    <w:link w:val="4"/>
    <w:autoRedefine/>
    <w:qFormat/>
    <w:locked/>
    <w:uiPriority w:val="99"/>
    <w:rPr>
      <w:rFonts w:ascii="Times New Roman" w:hAnsi="Times New Roman" w:eastAsia="宋体"/>
      <w:b/>
      <w:sz w:val="32"/>
    </w:rPr>
  </w:style>
  <w:style w:type="character" w:customStyle="1" w:styleId="102">
    <w:name w:val="页脚 Char1"/>
    <w:autoRedefine/>
    <w:qFormat/>
    <w:uiPriority w:val="0"/>
    <w:rPr>
      <w:rFonts w:ascii="Times New Roman" w:hAnsi="Times New Roman" w:eastAsia="宋体"/>
      <w:kern w:val="2"/>
      <w:sz w:val="18"/>
      <w:lang w:val="en-US" w:eastAsia="zh-CN"/>
    </w:rPr>
  </w:style>
  <w:style w:type="character" w:customStyle="1" w:styleId="103">
    <w:name w:val="标题 1 Char2"/>
    <w:link w:val="3"/>
    <w:autoRedefine/>
    <w:qFormat/>
    <w:locked/>
    <w:uiPriority w:val="99"/>
    <w:rPr>
      <w:rFonts w:ascii="Arial" w:hAnsi="Arial" w:eastAsia="黑体"/>
      <w:b/>
      <w:kern w:val="28"/>
      <w:sz w:val="36"/>
    </w:rPr>
  </w:style>
  <w:style w:type="character" w:customStyle="1" w:styleId="104">
    <w:name w:val="标题 2 Char2"/>
    <w:link w:val="2"/>
    <w:autoRedefine/>
    <w:qFormat/>
    <w:locked/>
    <w:uiPriority w:val="99"/>
    <w:rPr>
      <w:rFonts w:ascii="Arial" w:hAnsi="Arial" w:eastAsia="黑体"/>
      <w:b/>
      <w:kern w:val="2"/>
      <w:sz w:val="32"/>
    </w:rPr>
  </w:style>
  <w:style w:type="paragraph" w:customStyle="1" w:styleId="105">
    <w:name w:val="wg表头（仿宋_GB2312 小四 加粗 居中）"/>
    <w:basedOn w:val="1"/>
    <w:autoRedefine/>
    <w:qFormat/>
    <w:uiPriority w:val="99"/>
    <w:pPr>
      <w:jc w:val="center"/>
    </w:pPr>
    <w:rPr>
      <w:rFonts w:ascii="仿宋_GB2312" w:hAnsi="宋体" w:eastAsia="仿宋_GB2312" w:cs="宋体"/>
      <w:b/>
      <w:bCs/>
      <w:sz w:val="24"/>
      <w:szCs w:val="20"/>
    </w:rPr>
  </w:style>
  <w:style w:type="character" w:customStyle="1" w:styleId="106">
    <w:name w:val="纯文本 Char"/>
    <w:autoRedefine/>
    <w:qFormat/>
    <w:uiPriority w:val="0"/>
    <w:rPr>
      <w:rFonts w:ascii="宋体" w:hAnsi="Courier New" w:eastAsia="宋体" w:cs="Courier New"/>
      <w:sz w:val="21"/>
      <w:szCs w:val="21"/>
    </w:rPr>
  </w:style>
  <w:style w:type="paragraph" w:styleId="107">
    <w:name w:val="List Paragraph"/>
    <w:basedOn w:val="1"/>
    <w:link w:val="116"/>
    <w:autoRedefine/>
    <w:qFormat/>
    <w:uiPriority w:val="0"/>
    <w:pPr>
      <w:ind w:firstLine="420"/>
    </w:pPr>
    <w:rPr>
      <w:sz w:val="24"/>
      <w:szCs w:val="20"/>
    </w:rPr>
  </w:style>
  <w:style w:type="character" w:customStyle="1" w:styleId="108">
    <w:name w:val="批注框文本 Char"/>
    <w:link w:val="31"/>
    <w:autoRedefine/>
    <w:qFormat/>
    <w:locked/>
    <w:uiPriority w:val="0"/>
    <w:rPr>
      <w:rFonts w:ascii="Times New Roman" w:hAnsi="Times New Roman" w:eastAsia="宋体" w:cs="Times New Roman"/>
      <w:kern w:val="2"/>
      <w:sz w:val="18"/>
      <w:szCs w:val="18"/>
    </w:rPr>
  </w:style>
  <w:style w:type="paragraph" w:customStyle="1" w:styleId="109">
    <w:name w:val="_Style 50"/>
    <w:basedOn w:val="1"/>
    <w:autoRedefine/>
    <w:qFormat/>
    <w:uiPriority w:val="99"/>
    <w:pPr>
      <w:widowControl/>
      <w:spacing w:after="160" w:line="240" w:lineRule="exact"/>
      <w:jc w:val="left"/>
    </w:pPr>
    <w:rPr>
      <w:kern w:val="0"/>
      <w:sz w:val="22"/>
      <w:szCs w:val="22"/>
      <w:lang w:eastAsia="en-US"/>
    </w:rPr>
  </w:style>
  <w:style w:type="character" w:customStyle="1" w:styleId="110">
    <w:name w:val="批注文字 Char2"/>
    <w:link w:val="16"/>
    <w:autoRedefine/>
    <w:qFormat/>
    <w:locked/>
    <w:uiPriority w:val="0"/>
    <w:rPr>
      <w:rFonts w:cs="Times New Roman"/>
      <w:kern w:val="2"/>
      <w:sz w:val="24"/>
      <w:szCs w:val="24"/>
    </w:rPr>
  </w:style>
  <w:style w:type="character" w:customStyle="1" w:styleId="111">
    <w:name w:val="批注主题 Char"/>
    <w:link w:val="47"/>
    <w:autoRedefine/>
    <w:qFormat/>
    <w:locked/>
    <w:uiPriority w:val="0"/>
    <w:rPr>
      <w:rFonts w:cs="Times New Roman"/>
      <w:b/>
      <w:bCs/>
      <w:kern w:val="2"/>
      <w:sz w:val="24"/>
      <w:szCs w:val="24"/>
    </w:rPr>
  </w:style>
  <w:style w:type="character" w:customStyle="1" w:styleId="112">
    <w:name w:val="标题 3 Char1"/>
    <w:autoRedefine/>
    <w:qFormat/>
    <w:uiPriority w:val="0"/>
    <w:rPr>
      <w:rFonts w:ascii="Times New Roman" w:hAnsi="Times New Roman" w:eastAsia="宋体"/>
      <w:b/>
      <w:kern w:val="2"/>
      <w:sz w:val="32"/>
      <w:lang w:val="en-US" w:eastAsia="zh-CN"/>
    </w:rPr>
  </w:style>
  <w:style w:type="character" w:customStyle="1" w:styleId="113">
    <w:name w:val="正文缩进 Char"/>
    <w:link w:val="12"/>
    <w:autoRedefine/>
    <w:qFormat/>
    <w:locked/>
    <w:uiPriority w:val="0"/>
    <w:rPr>
      <w:rFonts w:ascii="宋体" w:eastAsia="宋体"/>
      <w:kern w:val="2"/>
      <w:sz w:val="30"/>
    </w:rPr>
  </w:style>
  <w:style w:type="character" w:customStyle="1" w:styleId="114">
    <w:name w:val="正文1"/>
    <w:autoRedefine/>
    <w:qFormat/>
    <w:uiPriority w:val="99"/>
    <w:rPr>
      <w:rFonts w:ascii="Arial" w:hAnsi="Arial" w:eastAsia="宋体"/>
      <w:b/>
      <w:kern w:val="2"/>
      <w:sz w:val="32"/>
      <w:lang w:val="en-US" w:eastAsia="zh-CN"/>
    </w:rPr>
  </w:style>
  <w:style w:type="paragraph" w:customStyle="1" w:styleId="115">
    <w:name w:val="纯文本1"/>
    <w:basedOn w:val="1"/>
    <w:autoRedefine/>
    <w:qFormat/>
    <w:uiPriority w:val="99"/>
    <w:pPr>
      <w:adjustRightInd w:val="0"/>
      <w:textAlignment w:val="baseline"/>
    </w:pPr>
    <w:rPr>
      <w:rFonts w:ascii="宋体" w:hAnsi="Courier New" w:eastAsia="楷体_GB2312"/>
      <w:sz w:val="26"/>
      <w:szCs w:val="20"/>
    </w:rPr>
  </w:style>
  <w:style w:type="character" w:customStyle="1" w:styleId="116">
    <w:name w:val="列出段落 Char"/>
    <w:link w:val="107"/>
    <w:autoRedefine/>
    <w:qFormat/>
    <w:locked/>
    <w:uiPriority w:val="99"/>
    <w:rPr>
      <w:kern w:val="2"/>
      <w:sz w:val="24"/>
    </w:rPr>
  </w:style>
  <w:style w:type="paragraph" w:customStyle="1" w:styleId="117">
    <w:name w:val="3"/>
    <w:basedOn w:val="1"/>
    <w:next w:val="107"/>
    <w:autoRedefine/>
    <w:qFormat/>
    <w:uiPriority w:val="99"/>
    <w:pPr>
      <w:spacing w:line="480" w:lineRule="auto"/>
    </w:pPr>
    <w:rPr>
      <w:sz w:val="28"/>
      <w:szCs w:val="22"/>
    </w:rPr>
  </w:style>
  <w:style w:type="character" w:customStyle="1" w:styleId="118">
    <w:name w:val="日期 Char"/>
    <w:link w:val="28"/>
    <w:autoRedefine/>
    <w:qFormat/>
    <w:locked/>
    <w:uiPriority w:val="0"/>
    <w:rPr>
      <w:kern w:val="2"/>
      <w:sz w:val="24"/>
    </w:rPr>
  </w:style>
  <w:style w:type="character" w:customStyle="1" w:styleId="119">
    <w:name w:val="日期 字符"/>
    <w:autoRedefine/>
    <w:qFormat/>
    <w:uiPriority w:val="99"/>
    <w:rPr>
      <w:rFonts w:cs="Times New Roman"/>
      <w:kern w:val="2"/>
      <w:sz w:val="24"/>
      <w:szCs w:val="24"/>
    </w:rPr>
  </w:style>
  <w:style w:type="character" w:customStyle="1" w:styleId="120">
    <w:name w:val="批注文字 Char3"/>
    <w:autoRedefine/>
    <w:qFormat/>
    <w:uiPriority w:val="0"/>
    <w:rPr>
      <w:rFonts w:ascii="Times New Roman" w:hAnsi="Times New Roman" w:eastAsia="宋体"/>
      <w:kern w:val="2"/>
      <w:sz w:val="24"/>
      <w:lang w:val="en-US" w:eastAsia="zh-CN"/>
    </w:rPr>
  </w:style>
  <w:style w:type="paragraph" w:customStyle="1" w:styleId="121">
    <w:name w:val="修订1"/>
    <w:autoRedefine/>
    <w:hidden/>
    <w:qFormat/>
    <w:uiPriority w:val="99"/>
    <w:pPr>
      <w:spacing w:line="400" w:lineRule="exact"/>
      <w:ind w:firstLine="200" w:firstLineChars="200"/>
    </w:pPr>
    <w:rPr>
      <w:rFonts w:ascii="Times New Roman" w:hAnsi="Times New Roman" w:eastAsia="宋体" w:cs="Times New Roman"/>
      <w:kern w:val="2"/>
      <w:sz w:val="21"/>
      <w:szCs w:val="24"/>
      <w:lang w:val="en-US" w:eastAsia="zh-CN" w:bidi="ar-SA"/>
    </w:rPr>
  </w:style>
  <w:style w:type="character" w:customStyle="1" w:styleId="122">
    <w:name w:val="标题 4 Char"/>
    <w:link w:val="5"/>
    <w:autoRedefine/>
    <w:qFormat/>
    <w:locked/>
    <w:uiPriority w:val="0"/>
    <w:rPr>
      <w:rFonts w:ascii="Arial" w:hAnsi="Arial" w:cs="Times New Roman"/>
      <w:b/>
      <w:bCs/>
      <w:kern w:val="2"/>
      <w:sz w:val="28"/>
      <w:szCs w:val="28"/>
    </w:rPr>
  </w:style>
  <w:style w:type="character" w:customStyle="1" w:styleId="123">
    <w:name w:val="标题 5 Char"/>
    <w:link w:val="6"/>
    <w:autoRedefine/>
    <w:qFormat/>
    <w:locked/>
    <w:uiPriority w:val="0"/>
    <w:rPr>
      <w:rFonts w:cs="Times New Roman"/>
      <w:b/>
      <w:bCs/>
      <w:kern w:val="2"/>
      <w:sz w:val="28"/>
      <w:szCs w:val="28"/>
    </w:rPr>
  </w:style>
  <w:style w:type="character" w:customStyle="1" w:styleId="124">
    <w:name w:val="Char Char5"/>
    <w:autoRedefine/>
    <w:qFormat/>
    <w:uiPriority w:val="0"/>
    <w:rPr>
      <w:rFonts w:ascii="Cambria" w:hAnsi="Cambria" w:eastAsia="宋体"/>
      <w:b/>
      <w:kern w:val="2"/>
      <w:sz w:val="32"/>
      <w:lang w:val="en-US" w:eastAsia="zh-CN"/>
    </w:rPr>
  </w:style>
  <w:style w:type="character" w:customStyle="1" w:styleId="125">
    <w:name w:val="Char Char8"/>
    <w:autoRedefine/>
    <w:qFormat/>
    <w:uiPriority w:val="0"/>
    <w:rPr>
      <w:rFonts w:ascii="宋体" w:hAnsi="宋体" w:eastAsia="宋体"/>
      <w:kern w:val="2"/>
      <w:sz w:val="24"/>
      <w:lang w:val="en-US" w:eastAsia="zh-CN"/>
    </w:rPr>
  </w:style>
  <w:style w:type="character" w:customStyle="1" w:styleId="126">
    <w:name w:val="正文首缩两字 Char Char"/>
    <w:autoRedefine/>
    <w:qFormat/>
    <w:uiPriority w:val="0"/>
    <w:rPr>
      <w:rFonts w:ascii="Verdana" w:hAnsi="Verdana" w:eastAsia="宋体"/>
      <w:kern w:val="2"/>
      <w:sz w:val="24"/>
    </w:rPr>
  </w:style>
  <w:style w:type="character" w:customStyle="1" w:styleId="127">
    <w:name w:val="正文首行缩进 Char1"/>
    <w:autoRedefine/>
    <w:qFormat/>
    <w:uiPriority w:val="0"/>
    <w:rPr>
      <w:rFonts w:ascii="Times New Roman" w:hAnsi="Times New Roman" w:eastAsia="宋体"/>
      <w:kern w:val="2"/>
      <w:sz w:val="24"/>
      <w:lang w:val="en-US" w:eastAsia="zh-CN"/>
    </w:rPr>
  </w:style>
  <w:style w:type="character" w:customStyle="1" w:styleId="128">
    <w:name w:val="Intense Quote Char"/>
    <w:autoRedefine/>
    <w:qFormat/>
    <w:uiPriority w:val="0"/>
    <w:rPr>
      <w:rFonts w:ascii="Times New Roman" w:hAnsi="Times New Roman" w:eastAsia="宋体"/>
      <w:b/>
      <w:i/>
      <w:color w:val="4F81BD"/>
      <w:kern w:val="2"/>
      <w:sz w:val="24"/>
    </w:rPr>
  </w:style>
  <w:style w:type="character" w:customStyle="1" w:styleId="129">
    <w:name w:val="纯文本 Char1"/>
    <w:autoRedefine/>
    <w:qFormat/>
    <w:uiPriority w:val="0"/>
    <w:rPr>
      <w:rFonts w:ascii="宋体" w:hAnsi="Courier New" w:eastAsia="宋体"/>
      <w:sz w:val="21"/>
    </w:rPr>
  </w:style>
  <w:style w:type="character" w:customStyle="1" w:styleId="130">
    <w:name w:val="Char Char25"/>
    <w:autoRedefine/>
    <w:qFormat/>
    <w:uiPriority w:val="0"/>
    <w:rPr>
      <w:rFonts w:ascii="宋体" w:hAnsi="宋体" w:eastAsia="宋体"/>
      <w:b/>
      <w:kern w:val="2"/>
      <w:sz w:val="32"/>
    </w:rPr>
  </w:style>
  <w:style w:type="character" w:customStyle="1" w:styleId="131">
    <w:name w:val="日期 Char Char"/>
    <w:autoRedefine/>
    <w:qFormat/>
    <w:uiPriority w:val="0"/>
    <w:rPr>
      <w:rFonts w:ascii="仿宋_GB2312" w:hAnsi="Times New Roman" w:eastAsia="仿宋_GB2312"/>
      <w:kern w:val="2"/>
      <w:sz w:val="24"/>
      <w:lang w:val="en-US" w:eastAsia="zh-CN"/>
    </w:rPr>
  </w:style>
  <w:style w:type="character" w:customStyle="1" w:styleId="132">
    <w:name w:val="普通文字 Char Char1"/>
    <w:autoRedefine/>
    <w:qFormat/>
    <w:uiPriority w:val="0"/>
    <w:rPr>
      <w:rFonts w:ascii="宋体" w:hAnsi="Courier New" w:eastAsia="宋体"/>
      <w:kern w:val="2"/>
      <w:sz w:val="21"/>
      <w:lang w:val="en-US" w:eastAsia="zh-CN"/>
    </w:rPr>
  </w:style>
  <w:style w:type="character" w:customStyle="1" w:styleId="133">
    <w:name w:val="Char Char181"/>
    <w:autoRedefine/>
    <w:qFormat/>
    <w:uiPriority w:val="0"/>
    <w:rPr>
      <w:rFonts w:ascii="Times New Roman" w:hAnsi="Times New Roman" w:eastAsia="宋体"/>
      <w:b/>
      <w:kern w:val="44"/>
      <w:sz w:val="44"/>
    </w:rPr>
  </w:style>
  <w:style w:type="character" w:customStyle="1" w:styleId="134">
    <w:name w:val="ꌢ 2 Char"/>
    <w:autoRedefine/>
    <w:qFormat/>
    <w:uiPriority w:val="0"/>
    <w:rPr>
      <w:rFonts w:ascii="Arial" w:hAnsi="Arial" w:eastAsia="宋体"/>
      <w:b/>
    </w:rPr>
  </w:style>
  <w:style w:type="character" w:customStyle="1" w:styleId="135">
    <w:name w:val="普通文字 Char Char"/>
    <w:autoRedefine/>
    <w:qFormat/>
    <w:uiPriority w:val="0"/>
    <w:rPr>
      <w:rFonts w:ascii="宋体" w:hAnsi="Courier New" w:eastAsia="宋体"/>
      <w:kern w:val="2"/>
      <w:sz w:val="21"/>
      <w:lang w:val="en-US" w:eastAsia="zh-CN"/>
    </w:rPr>
  </w:style>
  <w:style w:type="character" w:customStyle="1" w:styleId="136">
    <w:name w:val="标题 8 Char Char"/>
    <w:autoRedefine/>
    <w:qFormat/>
    <w:uiPriority w:val="0"/>
    <w:rPr>
      <w:rFonts w:ascii="Cambria" w:hAnsi="Cambria" w:eastAsia="宋体"/>
      <w:kern w:val="2"/>
      <w:sz w:val="24"/>
    </w:rPr>
  </w:style>
  <w:style w:type="character" w:customStyle="1" w:styleId="137">
    <w:name w:val="脚注文本 Char1"/>
    <w:autoRedefine/>
    <w:qFormat/>
    <w:uiPriority w:val="99"/>
    <w:rPr>
      <w:rFonts w:ascii="Times New Roman" w:hAnsi="Times New Roman" w:eastAsia="宋体"/>
      <w:sz w:val="18"/>
    </w:rPr>
  </w:style>
  <w:style w:type="character" w:customStyle="1" w:styleId="138">
    <w:name w:val="Char Char6"/>
    <w:autoRedefine/>
    <w:qFormat/>
    <w:uiPriority w:val="0"/>
    <w:rPr>
      <w:rFonts w:ascii="Times New Roman" w:hAnsi="Times New Roman" w:eastAsia="宋体"/>
      <w:b/>
      <w:kern w:val="44"/>
      <w:sz w:val="44"/>
      <w:lang w:val="en-US" w:eastAsia="zh-CN"/>
    </w:rPr>
  </w:style>
  <w:style w:type="character" w:customStyle="1" w:styleId="139">
    <w:name w:val="Char Char9"/>
    <w:autoRedefine/>
    <w:qFormat/>
    <w:uiPriority w:val="0"/>
    <w:rPr>
      <w:rFonts w:ascii="Times New Roman" w:hAnsi="Times New Roman" w:eastAsia="宋体"/>
      <w:b/>
      <w:kern w:val="44"/>
      <w:sz w:val="44"/>
      <w:lang w:val="en-US" w:eastAsia="zh-CN"/>
    </w:rPr>
  </w:style>
  <w:style w:type="character" w:customStyle="1" w:styleId="140">
    <w:name w:val="Quote Char1"/>
    <w:autoRedefine/>
    <w:qFormat/>
    <w:locked/>
    <w:uiPriority w:val="99"/>
    <w:rPr>
      <w:i/>
      <w:color w:val="000000"/>
    </w:rPr>
  </w:style>
  <w:style w:type="paragraph" w:styleId="141">
    <w:name w:val="Quote"/>
    <w:basedOn w:val="1"/>
    <w:next w:val="1"/>
    <w:link w:val="142"/>
    <w:autoRedefine/>
    <w:qFormat/>
    <w:uiPriority w:val="0"/>
    <w:rPr>
      <w:i/>
      <w:color w:val="000000"/>
      <w:kern w:val="0"/>
      <w:sz w:val="20"/>
      <w:szCs w:val="20"/>
    </w:rPr>
  </w:style>
  <w:style w:type="character" w:customStyle="1" w:styleId="142">
    <w:name w:val="引用 Char"/>
    <w:link w:val="141"/>
    <w:autoRedefine/>
    <w:qFormat/>
    <w:locked/>
    <w:uiPriority w:val="0"/>
    <w:rPr>
      <w:rFonts w:ascii="Times New Roman" w:hAnsi="Times New Roman" w:eastAsia="宋体" w:cs="Times New Roman"/>
      <w:i/>
      <w:color w:val="000000"/>
      <w:kern w:val="2"/>
      <w:sz w:val="24"/>
    </w:rPr>
  </w:style>
  <w:style w:type="character" w:customStyle="1" w:styleId="143">
    <w:name w:val="16"/>
    <w:basedOn w:val="51"/>
    <w:autoRedefine/>
    <w:qFormat/>
    <w:uiPriority w:val="0"/>
    <w:rPr>
      <w:rFonts w:ascii="Times New Roman" w:hAnsi="Times New Roman" w:eastAsia="宋体"/>
      <w:i/>
    </w:rPr>
  </w:style>
  <w:style w:type="character" w:customStyle="1" w:styleId="144">
    <w:name w:val="引用 Char2"/>
    <w:autoRedefine/>
    <w:qFormat/>
    <w:uiPriority w:val="0"/>
    <w:rPr>
      <w:rFonts w:ascii="Times New Roman" w:hAnsi="Times New Roman" w:eastAsia="宋体"/>
      <w:i/>
      <w:color w:val="000000"/>
      <w:kern w:val="2"/>
      <w:sz w:val="24"/>
    </w:rPr>
  </w:style>
  <w:style w:type="character" w:customStyle="1" w:styleId="145">
    <w:name w:val="z-窗体顶端 Char"/>
    <w:autoRedefine/>
    <w:qFormat/>
    <w:uiPriority w:val="0"/>
    <w:rPr>
      <w:rFonts w:ascii="Arial" w:hAnsi="Arial" w:eastAsia="宋体"/>
      <w:vanish/>
      <w:sz w:val="16"/>
    </w:rPr>
  </w:style>
  <w:style w:type="character" w:customStyle="1" w:styleId="146">
    <w:name w:val="Char Char31"/>
    <w:autoRedefine/>
    <w:qFormat/>
    <w:uiPriority w:val="0"/>
    <w:rPr>
      <w:rFonts w:ascii="宋体" w:hAnsi="宋体" w:eastAsia="宋体"/>
      <w:kern w:val="2"/>
      <w:sz w:val="24"/>
      <w:lang w:val="en-US" w:eastAsia="zh-CN"/>
    </w:rPr>
  </w:style>
  <w:style w:type="character" w:customStyle="1" w:styleId="147">
    <w:name w:val="批注文字 Char Char"/>
    <w:autoRedefine/>
    <w:qFormat/>
    <w:uiPriority w:val="0"/>
    <w:rPr>
      <w:rFonts w:ascii="宋体" w:hAnsi="Times New Roman" w:eastAsia="宋体"/>
      <w:sz w:val="20"/>
    </w:rPr>
  </w:style>
  <w:style w:type="character" w:customStyle="1" w:styleId="148">
    <w:name w:val="批注主题 字符1"/>
    <w:autoRedefine/>
    <w:qFormat/>
    <w:uiPriority w:val="99"/>
    <w:rPr>
      <w:rFonts w:ascii="Times New Roman" w:hAnsi="Times New Roman" w:eastAsia="宋体"/>
      <w:b/>
      <w:kern w:val="2"/>
      <w:sz w:val="24"/>
    </w:rPr>
  </w:style>
  <w:style w:type="character" w:customStyle="1" w:styleId="149">
    <w:name w:val="明显引用 Char1"/>
    <w:autoRedefine/>
    <w:qFormat/>
    <w:uiPriority w:val="30"/>
    <w:rPr>
      <w:rFonts w:ascii="Times New Roman" w:hAnsi="Times New Roman" w:eastAsia="宋体"/>
      <w:b/>
      <w:i/>
      <w:color w:val="4F81BD"/>
      <w:sz w:val="24"/>
    </w:rPr>
  </w:style>
  <w:style w:type="character" w:customStyle="1" w:styleId="150">
    <w:name w:val="书籍标题1"/>
    <w:autoRedefine/>
    <w:qFormat/>
    <w:uiPriority w:val="0"/>
    <w:rPr>
      <w:rFonts w:ascii="Times New Roman" w:hAnsi="Times New Roman" w:eastAsia="宋体"/>
      <w:b/>
      <w:smallCaps/>
      <w:spacing w:val="5"/>
    </w:rPr>
  </w:style>
  <w:style w:type="character" w:customStyle="1" w:styleId="151">
    <w:name w:val="标题 1 Char1"/>
    <w:autoRedefine/>
    <w:qFormat/>
    <w:uiPriority w:val="0"/>
    <w:rPr>
      <w:rFonts w:ascii="Calibri" w:hAnsi="Calibri" w:eastAsia="宋体"/>
      <w:b/>
      <w:kern w:val="44"/>
      <w:sz w:val="20"/>
    </w:rPr>
  </w:style>
  <w:style w:type="character" w:customStyle="1" w:styleId="152">
    <w:name w:val="日期 Char2"/>
    <w:autoRedefine/>
    <w:qFormat/>
    <w:uiPriority w:val="0"/>
    <w:rPr>
      <w:rFonts w:ascii="Times New Roman" w:hAnsi="Times New Roman" w:eastAsia="宋体"/>
      <w:kern w:val="2"/>
      <w:sz w:val="24"/>
    </w:rPr>
  </w:style>
  <w:style w:type="character" w:customStyle="1" w:styleId="153">
    <w:name w:val="纯文本 Char4"/>
    <w:autoRedefine/>
    <w:qFormat/>
    <w:uiPriority w:val="0"/>
    <w:rPr>
      <w:rFonts w:ascii="宋体" w:hAnsi="Courier New" w:eastAsia="宋体"/>
      <w:kern w:val="2"/>
      <w:sz w:val="21"/>
      <w:lang w:val="en-US" w:eastAsia="zh-CN"/>
    </w:rPr>
  </w:style>
  <w:style w:type="character" w:customStyle="1" w:styleId="154">
    <w:name w:val="不明显参考1"/>
    <w:autoRedefine/>
    <w:qFormat/>
    <w:uiPriority w:val="0"/>
    <w:rPr>
      <w:rFonts w:ascii="Times New Roman" w:hAnsi="Times New Roman" w:eastAsia="宋体"/>
      <w:smallCaps/>
      <w:color w:val="C0504D"/>
      <w:u w:val="single"/>
    </w:rPr>
  </w:style>
  <w:style w:type="character" w:customStyle="1" w:styleId="155">
    <w:name w:val="Char Char7"/>
    <w:autoRedefine/>
    <w:qFormat/>
    <w:uiPriority w:val="0"/>
    <w:rPr>
      <w:rFonts w:ascii="Cambria" w:hAnsi="Cambria"/>
      <w:b/>
      <w:kern w:val="28"/>
      <w:sz w:val="32"/>
    </w:rPr>
  </w:style>
  <w:style w:type="character" w:customStyle="1" w:styleId="156">
    <w:name w:val="文档结构图 Char2"/>
    <w:autoRedefine/>
    <w:qFormat/>
    <w:uiPriority w:val="99"/>
    <w:rPr>
      <w:rFonts w:ascii="Microsoft YaHei UI" w:hAnsi="Times New Roman" w:eastAsia="Microsoft YaHei UI"/>
      <w:sz w:val="18"/>
    </w:rPr>
  </w:style>
  <w:style w:type="character" w:customStyle="1" w:styleId="157">
    <w:name w:val="不明显强调1"/>
    <w:autoRedefine/>
    <w:qFormat/>
    <w:uiPriority w:val="0"/>
    <w:rPr>
      <w:rFonts w:ascii="Times New Roman" w:hAnsi="Times New Roman" w:eastAsia="宋体"/>
      <w:i/>
      <w:color w:val="808080"/>
    </w:rPr>
  </w:style>
  <w:style w:type="character" w:customStyle="1" w:styleId="158">
    <w:name w:val="文档结构图 Char"/>
    <w:link w:val="15"/>
    <w:autoRedefine/>
    <w:qFormat/>
    <w:locked/>
    <w:uiPriority w:val="0"/>
    <w:rPr>
      <w:kern w:val="2"/>
      <w:sz w:val="24"/>
      <w:shd w:val="clear" w:color="auto" w:fill="000080"/>
    </w:rPr>
  </w:style>
  <w:style w:type="character" w:customStyle="1" w:styleId="159">
    <w:name w:val="批注主题 Char Char"/>
    <w:autoRedefine/>
    <w:qFormat/>
    <w:uiPriority w:val="0"/>
    <w:rPr>
      <w:rFonts w:ascii="宋体" w:hAnsi="宋体" w:eastAsia="宋体"/>
      <w:b/>
      <w:kern w:val="2"/>
      <w:sz w:val="24"/>
    </w:rPr>
  </w:style>
  <w:style w:type="character" w:customStyle="1" w:styleId="160">
    <w:name w:val="书籍标题2"/>
    <w:autoRedefine/>
    <w:qFormat/>
    <w:uiPriority w:val="99"/>
    <w:rPr>
      <w:rFonts w:ascii="Times New Roman" w:hAnsi="Times New Roman" w:eastAsia="宋体"/>
      <w:b/>
      <w:smallCaps/>
      <w:spacing w:val="5"/>
    </w:rPr>
  </w:style>
  <w:style w:type="character" w:customStyle="1" w:styleId="161">
    <w:name w:val="尾注文本 Char"/>
    <w:autoRedefine/>
    <w:qFormat/>
    <w:uiPriority w:val="0"/>
    <w:rPr>
      <w:rFonts w:ascii="Times New Roman" w:hAnsi="Times New Roman" w:eastAsia="宋体"/>
      <w:kern w:val="2"/>
      <w:sz w:val="24"/>
    </w:rPr>
  </w:style>
  <w:style w:type="character" w:customStyle="1" w:styleId="162">
    <w:name w:val="正文文本缩进 2 Char2"/>
    <w:autoRedefine/>
    <w:qFormat/>
    <w:uiPriority w:val="0"/>
    <w:rPr>
      <w:rFonts w:ascii="Times New Roman" w:hAnsi="Times New Roman" w:eastAsia="宋体"/>
      <w:kern w:val="2"/>
      <w:sz w:val="24"/>
    </w:rPr>
  </w:style>
  <w:style w:type="character" w:customStyle="1" w:styleId="163">
    <w:name w:val="Char Char1"/>
    <w:autoRedefine/>
    <w:qFormat/>
    <w:uiPriority w:val="0"/>
    <w:rPr>
      <w:rFonts w:ascii="宋体" w:hAnsi="Courier New" w:eastAsia="宋体"/>
      <w:kern w:val="2"/>
      <w:sz w:val="21"/>
      <w:lang w:val="en-US" w:eastAsia="zh-CN"/>
    </w:rPr>
  </w:style>
  <w:style w:type="character" w:customStyle="1" w:styleId="164">
    <w:name w:val="引用 Char1"/>
    <w:autoRedefine/>
    <w:qFormat/>
    <w:uiPriority w:val="29"/>
    <w:rPr>
      <w:rFonts w:ascii="Times New Roman" w:hAnsi="Times New Roman" w:eastAsia="宋体"/>
      <w:i/>
      <w:color w:val="000000"/>
      <w:sz w:val="24"/>
    </w:rPr>
  </w:style>
  <w:style w:type="character" w:customStyle="1" w:styleId="165">
    <w:name w:val="小四 段落 宋体 Char1"/>
    <w:autoRedefine/>
    <w:qFormat/>
    <w:uiPriority w:val="0"/>
    <w:rPr>
      <w:rFonts w:ascii="宋体" w:hAnsi="宋体" w:eastAsia="宋体"/>
      <w:kern w:val="2"/>
      <w:sz w:val="24"/>
    </w:rPr>
  </w:style>
  <w:style w:type="character" w:customStyle="1" w:styleId="166">
    <w:name w:val="明显参考1"/>
    <w:autoRedefine/>
    <w:qFormat/>
    <w:uiPriority w:val="0"/>
    <w:rPr>
      <w:rFonts w:ascii="Times New Roman" w:hAnsi="Times New Roman" w:eastAsia="宋体"/>
      <w:b/>
      <w:smallCaps/>
      <w:color w:val="C0504D"/>
      <w:spacing w:val="5"/>
      <w:u w:val="single"/>
    </w:rPr>
  </w:style>
  <w:style w:type="character" w:customStyle="1" w:styleId="167">
    <w:name w:val="标题4 Char Char"/>
    <w:link w:val="168"/>
    <w:autoRedefine/>
    <w:qFormat/>
    <w:locked/>
    <w:uiPriority w:val="0"/>
    <w:rPr>
      <w:rFonts w:ascii="Arial" w:hAnsi="Arial"/>
      <w:b/>
      <w:sz w:val="32"/>
    </w:rPr>
  </w:style>
  <w:style w:type="paragraph" w:customStyle="1" w:styleId="168">
    <w:name w:val="标题4"/>
    <w:basedOn w:val="2"/>
    <w:next w:val="22"/>
    <w:link w:val="167"/>
    <w:autoRedefine/>
    <w:qFormat/>
    <w:uiPriority w:val="0"/>
    <w:pPr>
      <w:spacing w:before="60" w:after="60" w:line="413" w:lineRule="auto"/>
    </w:pPr>
    <w:rPr>
      <w:rFonts w:eastAsia="宋体"/>
      <w:bCs/>
      <w:kern w:val="0"/>
    </w:rPr>
  </w:style>
  <w:style w:type="character" w:customStyle="1" w:styleId="169">
    <w:name w:val="批注主题 Char2"/>
    <w:autoRedefine/>
    <w:qFormat/>
    <w:uiPriority w:val="0"/>
    <w:rPr>
      <w:rFonts w:ascii="Cambria" w:hAnsi="Cambria" w:eastAsia="宋体"/>
      <w:b/>
      <w:kern w:val="2"/>
      <w:sz w:val="24"/>
      <w:lang w:val="en-US" w:eastAsia="zh-CN"/>
    </w:rPr>
  </w:style>
  <w:style w:type="character" w:customStyle="1" w:styleId="170">
    <w:name w:val="Char Char17"/>
    <w:autoRedefine/>
    <w:qFormat/>
    <w:uiPriority w:val="0"/>
    <w:rPr>
      <w:rFonts w:ascii="Cambria" w:hAnsi="Cambria" w:eastAsia="宋体"/>
      <w:kern w:val="2"/>
      <w:sz w:val="24"/>
    </w:rPr>
  </w:style>
  <w:style w:type="character" w:customStyle="1" w:styleId="171">
    <w:name w:val="正文文本缩进 3 Char1"/>
    <w:autoRedefine/>
    <w:qFormat/>
    <w:uiPriority w:val="0"/>
    <w:rPr>
      <w:rFonts w:ascii="Times New Roman" w:hAnsi="Times New Roman" w:eastAsia="宋体"/>
      <w:kern w:val="2"/>
      <w:sz w:val="16"/>
    </w:rPr>
  </w:style>
  <w:style w:type="character" w:customStyle="1" w:styleId="172">
    <w:name w:val="批注框文本 字符1"/>
    <w:autoRedefine/>
    <w:qFormat/>
    <w:uiPriority w:val="99"/>
    <w:rPr>
      <w:rFonts w:ascii="Times New Roman" w:hAnsi="Times New Roman" w:eastAsia="宋体"/>
      <w:kern w:val="2"/>
      <w:sz w:val="18"/>
    </w:rPr>
  </w:style>
  <w:style w:type="character" w:customStyle="1" w:styleId="173">
    <w:name w:val="Char Char27"/>
    <w:autoRedefine/>
    <w:qFormat/>
    <w:uiPriority w:val="0"/>
    <w:rPr>
      <w:rFonts w:ascii="Times New Roman" w:hAnsi="Times New Roman" w:eastAsia="宋体"/>
      <w:b/>
      <w:kern w:val="44"/>
      <w:sz w:val="44"/>
    </w:rPr>
  </w:style>
  <w:style w:type="character" w:customStyle="1" w:styleId="174">
    <w:name w:val="正文文本缩进 2 Char"/>
    <w:link w:val="29"/>
    <w:autoRedefine/>
    <w:qFormat/>
    <w:locked/>
    <w:uiPriority w:val="0"/>
    <w:rPr>
      <w:kern w:val="2"/>
      <w:sz w:val="24"/>
    </w:rPr>
  </w:style>
  <w:style w:type="character" w:customStyle="1" w:styleId="175">
    <w:name w:val="正文文本缩进 Char Char"/>
    <w:autoRedefine/>
    <w:qFormat/>
    <w:uiPriority w:val="0"/>
    <w:rPr>
      <w:rFonts w:ascii="宋体" w:hAnsi="宋体" w:eastAsia="宋体"/>
      <w:kern w:val="2"/>
      <w:sz w:val="24"/>
      <w:lang w:val="en-US" w:eastAsia="zh-CN"/>
    </w:rPr>
  </w:style>
  <w:style w:type="character" w:customStyle="1" w:styleId="176">
    <w:name w:val="正文文本缩进 字符"/>
    <w:autoRedefine/>
    <w:qFormat/>
    <w:uiPriority w:val="99"/>
    <w:rPr>
      <w:rFonts w:ascii="宋体" w:hAnsi="宋体" w:eastAsia="宋体"/>
      <w:kern w:val="2"/>
      <w:sz w:val="21"/>
    </w:rPr>
  </w:style>
  <w:style w:type="character" w:customStyle="1" w:styleId="177">
    <w:name w:val="书籍标题11"/>
    <w:autoRedefine/>
    <w:qFormat/>
    <w:uiPriority w:val="0"/>
    <w:rPr>
      <w:rFonts w:ascii="Times New Roman" w:hAnsi="Times New Roman" w:eastAsia="宋体"/>
      <w:b/>
      <w:smallCaps/>
      <w:spacing w:val="5"/>
    </w:rPr>
  </w:style>
  <w:style w:type="character" w:customStyle="1" w:styleId="178">
    <w:name w:val="标题 1 Char Char"/>
    <w:autoRedefine/>
    <w:qFormat/>
    <w:uiPriority w:val="0"/>
    <w:rPr>
      <w:rFonts w:ascii="黑体" w:hAnsi="宋体" w:eastAsia="黑体"/>
      <w:sz w:val="52"/>
      <w:lang w:val="en-US" w:eastAsia="zh-CN"/>
    </w:rPr>
  </w:style>
  <w:style w:type="character" w:customStyle="1" w:styleId="179">
    <w:name w:val="msointensereference"/>
    <w:autoRedefine/>
    <w:qFormat/>
    <w:uiPriority w:val="0"/>
    <w:rPr>
      <w:rFonts w:ascii="Times New Roman" w:hAnsi="Times New Roman" w:eastAsia="宋体"/>
      <w:b/>
      <w:smallCaps/>
      <w:color w:val="C0504D"/>
      <w:spacing w:val="5"/>
      <w:u w:val="single"/>
    </w:rPr>
  </w:style>
  <w:style w:type="character" w:customStyle="1" w:styleId="180">
    <w:name w:val="IRMS (F) Char21"/>
    <w:autoRedefine/>
    <w:qFormat/>
    <w:uiPriority w:val="0"/>
    <w:rPr>
      <w:rFonts w:ascii="Times New Roman" w:hAnsi="Times New Roman" w:eastAsia="宋体"/>
      <w:kern w:val="2"/>
      <w:sz w:val="18"/>
    </w:rPr>
  </w:style>
  <w:style w:type="character" w:customStyle="1" w:styleId="181">
    <w:name w:val="表格标题_"/>
    <w:autoRedefine/>
    <w:qFormat/>
    <w:uiPriority w:val="0"/>
    <w:rPr>
      <w:rFonts w:ascii="宋体" w:hAnsi="宋体" w:eastAsia="宋体"/>
      <w:spacing w:val="30"/>
      <w:sz w:val="21"/>
      <w:shd w:val="clear" w:color="auto" w:fill="FFFFFF"/>
    </w:rPr>
  </w:style>
  <w:style w:type="character" w:customStyle="1" w:styleId="182">
    <w:name w:val="Char Char91"/>
    <w:autoRedefine/>
    <w:qFormat/>
    <w:uiPriority w:val="0"/>
    <w:rPr>
      <w:rFonts w:ascii="Times New Roman" w:hAnsi="Times New Roman" w:eastAsia="宋体"/>
      <w:b/>
      <w:kern w:val="44"/>
      <w:sz w:val="44"/>
      <w:lang w:val="en-US" w:eastAsia="zh-CN"/>
    </w:rPr>
  </w:style>
  <w:style w:type="character" w:customStyle="1" w:styleId="183">
    <w:name w:val="msobooktitle"/>
    <w:autoRedefine/>
    <w:qFormat/>
    <w:uiPriority w:val="0"/>
    <w:rPr>
      <w:rFonts w:ascii="Times New Roman" w:hAnsi="Times New Roman" w:eastAsia="宋体"/>
      <w:b/>
      <w:smallCaps/>
      <w:spacing w:val="5"/>
    </w:rPr>
  </w:style>
  <w:style w:type="character" w:customStyle="1" w:styleId="184">
    <w:name w:val="Plain Text Char1"/>
    <w:autoRedefine/>
    <w:qFormat/>
    <w:uiPriority w:val="0"/>
    <w:rPr>
      <w:rFonts w:ascii="宋体" w:hAnsi="Courier New" w:eastAsia="宋体"/>
      <w:sz w:val="21"/>
    </w:rPr>
  </w:style>
  <w:style w:type="character" w:customStyle="1" w:styleId="185">
    <w:name w:val="Char Char22"/>
    <w:autoRedefine/>
    <w:qFormat/>
    <w:uiPriority w:val="0"/>
    <w:rPr>
      <w:rFonts w:ascii="Times New Roman" w:hAnsi="Times New Roman" w:eastAsia="宋体"/>
      <w:b/>
      <w:kern w:val="44"/>
      <w:sz w:val="44"/>
    </w:rPr>
  </w:style>
  <w:style w:type="character" w:customStyle="1" w:styleId="186">
    <w:name w:val="正文文本 3 Char2"/>
    <w:autoRedefine/>
    <w:qFormat/>
    <w:uiPriority w:val="0"/>
    <w:rPr>
      <w:rFonts w:ascii="Times New Roman" w:hAnsi="Times New Roman" w:eastAsia="宋体"/>
      <w:kern w:val="2"/>
      <w:sz w:val="16"/>
    </w:rPr>
  </w:style>
  <w:style w:type="character" w:customStyle="1" w:styleId="187">
    <w:name w:val="Char Char14"/>
    <w:autoRedefine/>
    <w:qFormat/>
    <w:uiPriority w:val="0"/>
    <w:rPr>
      <w:rFonts w:ascii="宋体" w:hAnsi="宋体" w:eastAsia="宋体"/>
      <w:kern w:val="2"/>
      <w:sz w:val="24"/>
      <w:lang w:val="en-US" w:eastAsia="zh-CN"/>
    </w:rPr>
  </w:style>
  <w:style w:type="character" w:customStyle="1" w:styleId="188">
    <w:name w:val="z-窗体底端 Char"/>
    <w:autoRedefine/>
    <w:qFormat/>
    <w:uiPriority w:val="0"/>
    <w:rPr>
      <w:rFonts w:ascii="Arial" w:hAnsi="Arial" w:eastAsia="宋体"/>
      <w:vanish/>
      <w:sz w:val="16"/>
    </w:rPr>
  </w:style>
  <w:style w:type="character" w:customStyle="1" w:styleId="189">
    <w:name w:val="尾注文本 Char2"/>
    <w:autoRedefine/>
    <w:qFormat/>
    <w:uiPriority w:val="0"/>
    <w:rPr>
      <w:rFonts w:ascii="Times New Roman" w:hAnsi="Times New Roman" w:eastAsia="宋体"/>
      <w:kern w:val="2"/>
      <w:sz w:val="24"/>
    </w:rPr>
  </w:style>
  <w:style w:type="character" w:customStyle="1" w:styleId="190">
    <w:name w:val="bigfont"/>
    <w:autoRedefine/>
    <w:qFormat/>
    <w:uiPriority w:val="0"/>
    <w:rPr>
      <w:rFonts w:ascii="Times New Roman" w:hAnsi="Times New Roman" w:eastAsia="宋体"/>
    </w:rPr>
  </w:style>
  <w:style w:type="character" w:customStyle="1" w:styleId="191">
    <w:name w:val="页眉 Char Char"/>
    <w:autoRedefine/>
    <w:qFormat/>
    <w:uiPriority w:val="0"/>
    <w:rPr>
      <w:rFonts w:ascii="宋体" w:hAnsi="宋体" w:eastAsia="宋体"/>
      <w:kern w:val="2"/>
      <w:sz w:val="18"/>
      <w:lang w:val="en-US" w:eastAsia="zh-CN"/>
    </w:rPr>
  </w:style>
  <w:style w:type="character" w:customStyle="1" w:styleId="192">
    <w:name w:val="无间隔 Char Char"/>
    <w:autoRedefine/>
    <w:qFormat/>
    <w:uiPriority w:val="0"/>
    <w:rPr>
      <w:rFonts w:ascii="宋体" w:hAnsi="宋体" w:eastAsia="宋体"/>
      <w:kern w:val="2"/>
      <w:sz w:val="24"/>
      <w:lang w:val="en-US" w:eastAsia="zh-CN"/>
    </w:rPr>
  </w:style>
  <w:style w:type="character" w:customStyle="1" w:styleId="193">
    <w:name w:val="Normal - Small Char"/>
    <w:autoRedefine/>
    <w:qFormat/>
    <w:uiPriority w:val="0"/>
    <w:rPr>
      <w:rFonts w:ascii="Times New Roman" w:hAnsi="Times New Roman" w:eastAsia="宋体"/>
      <w:snapToGrid w:val="0"/>
      <w:sz w:val="22"/>
      <w:lang w:val="en-US" w:eastAsia="zh-TW"/>
    </w:rPr>
  </w:style>
  <w:style w:type="character" w:customStyle="1" w:styleId="194">
    <w:name w:val="IRMS (F) Char3"/>
    <w:autoRedefine/>
    <w:qFormat/>
    <w:uiPriority w:val="0"/>
    <w:rPr>
      <w:rFonts w:ascii="宋体" w:hAnsi="宋体" w:eastAsia="宋体"/>
      <w:snapToGrid w:val="0"/>
      <w:sz w:val="22"/>
      <w:lang w:val="en-US" w:eastAsia="zh-TW"/>
    </w:rPr>
  </w:style>
  <w:style w:type="character" w:customStyle="1" w:styleId="195">
    <w:name w:val="标题 7 Char Char"/>
    <w:autoRedefine/>
    <w:qFormat/>
    <w:uiPriority w:val="0"/>
    <w:rPr>
      <w:rFonts w:ascii="宋体" w:hAnsi="宋体" w:eastAsia="宋体"/>
      <w:b/>
      <w:kern w:val="2"/>
      <w:sz w:val="24"/>
    </w:rPr>
  </w:style>
  <w:style w:type="character" w:customStyle="1" w:styleId="196">
    <w:name w:val="Char Char20"/>
    <w:autoRedefine/>
    <w:qFormat/>
    <w:uiPriority w:val="0"/>
    <w:rPr>
      <w:rFonts w:ascii="Times New Roman" w:hAnsi="Times New Roman" w:eastAsia="宋体"/>
      <w:b/>
      <w:sz w:val="32"/>
    </w:rPr>
  </w:style>
  <w:style w:type="character" w:customStyle="1" w:styleId="197">
    <w:name w:val="不明显参考111"/>
    <w:autoRedefine/>
    <w:qFormat/>
    <w:uiPriority w:val="99"/>
    <w:rPr>
      <w:rFonts w:ascii="Times New Roman" w:hAnsi="Times New Roman" w:eastAsia="宋体"/>
      <w:smallCaps/>
      <w:color w:val="C0504D"/>
      <w:u w:val="single"/>
    </w:rPr>
  </w:style>
  <w:style w:type="character" w:customStyle="1" w:styleId="198">
    <w:name w:val="Char Char221"/>
    <w:autoRedefine/>
    <w:qFormat/>
    <w:uiPriority w:val="0"/>
    <w:rPr>
      <w:rFonts w:ascii="Times New Roman" w:hAnsi="Times New Roman" w:eastAsia="宋体"/>
      <w:kern w:val="2"/>
      <w:sz w:val="21"/>
    </w:rPr>
  </w:style>
  <w:style w:type="character" w:customStyle="1" w:styleId="199">
    <w:name w:val="Char Char32"/>
    <w:autoRedefine/>
    <w:qFormat/>
    <w:uiPriority w:val="0"/>
    <w:rPr>
      <w:rFonts w:ascii="Tahoma" w:hAnsi="Tahoma"/>
      <w:kern w:val="2"/>
      <w:sz w:val="24"/>
    </w:rPr>
  </w:style>
  <w:style w:type="character" w:customStyle="1" w:styleId="200">
    <w:name w:val="正文首行缩进 2 Char1"/>
    <w:autoRedefine/>
    <w:qFormat/>
    <w:uiPriority w:val="0"/>
    <w:rPr>
      <w:rFonts w:ascii="宋体" w:hAnsi="宋体" w:eastAsia="宋体"/>
      <w:kern w:val="2"/>
      <w:sz w:val="24"/>
    </w:rPr>
  </w:style>
  <w:style w:type="character" w:customStyle="1" w:styleId="201">
    <w:name w:val="Char Char11"/>
    <w:autoRedefine/>
    <w:qFormat/>
    <w:uiPriority w:val="0"/>
    <w:rPr>
      <w:rFonts w:ascii="Times New Roman" w:hAnsi="Times New Roman" w:eastAsia="宋体"/>
      <w:sz w:val="24"/>
    </w:rPr>
  </w:style>
  <w:style w:type="character" w:customStyle="1" w:styleId="202">
    <w:name w:val="正文文本 Char Char"/>
    <w:autoRedefine/>
    <w:qFormat/>
    <w:uiPriority w:val="0"/>
    <w:rPr>
      <w:rFonts w:ascii="宋体" w:hAnsi="宋体" w:eastAsia="宋体"/>
      <w:sz w:val="21"/>
      <w:lang w:val="en-US" w:eastAsia="zh-CN"/>
    </w:rPr>
  </w:style>
  <w:style w:type="character" w:customStyle="1" w:styleId="203">
    <w:name w:val="副标题 Char Char"/>
    <w:autoRedefine/>
    <w:qFormat/>
    <w:uiPriority w:val="0"/>
    <w:rPr>
      <w:rFonts w:ascii="Cambria" w:hAnsi="Cambria" w:eastAsia="宋体"/>
      <w:b/>
      <w:kern w:val="28"/>
      <w:sz w:val="32"/>
    </w:rPr>
  </w:style>
  <w:style w:type="character" w:customStyle="1" w:styleId="204">
    <w:name w:val="副标题 Char2"/>
    <w:autoRedefine/>
    <w:qFormat/>
    <w:uiPriority w:val="0"/>
    <w:rPr>
      <w:rFonts w:ascii="Cambria" w:hAnsi="Cambria"/>
      <w:b/>
      <w:kern w:val="28"/>
      <w:sz w:val="32"/>
    </w:rPr>
  </w:style>
  <w:style w:type="character" w:customStyle="1" w:styleId="205">
    <w:name w:val="Variable"/>
    <w:autoRedefine/>
    <w:qFormat/>
    <w:uiPriority w:val="0"/>
    <w:rPr>
      <w:rFonts w:ascii="Times New Roman" w:hAnsi="Times New Roman" w:eastAsia="宋体"/>
      <w:i/>
    </w:rPr>
  </w:style>
  <w:style w:type="character" w:customStyle="1" w:styleId="206">
    <w:name w:val="Quote Char Char"/>
    <w:autoRedefine/>
    <w:qFormat/>
    <w:uiPriority w:val="0"/>
    <w:rPr>
      <w:rFonts w:ascii="宋体" w:hAnsi="宋体" w:eastAsia="宋体"/>
      <w:i/>
      <w:color w:val="000000"/>
      <w:kern w:val="2"/>
      <w:sz w:val="24"/>
      <w:lang w:val="en-US" w:eastAsia="zh-CN"/>
    </w:rPr>
  </w:style>
  <w:style w:type="character" w:customStyle="1" w:styleId="207">
    <w:name w:val="正文文本 Char1"/>
    <w:autoRedefine/>
    <w:qFormat/>
    <w:uiPriority w:val="0"/>
    <w:rPr>
      <w:rFonts w:ascii="Times New Roman" w:hAnsi="Times New Roman" w:eastAsia="宋体"/>
      <w:kern w:val="2"/>
      <w:sz w:val="22"/>
    </w:rPr>
  </w:style>
  <w:style w:type="character" w:customStyle="1" w:styleId="208">
    <w:name w:val="纯文本 Char Char"/>
    <w:autoRedefine/>
    <w:qFormat/>
    <w:uiPriority w:val="0"/>
    <w:rPr>
      <w:rFonts w:ascii="宋体" w:hAnsi="Courier New" w:eastAsia="宋体"/>
      <w:kern w:val="2"/>
      <w:sz w:val="21"/>
      <w:lang w:val="en-US" w:eastAsia="zh-CN"/>
    </w:rPr>
  </w:style>
  <w:style w:type="character" w:customStyle="1" w:styleId="209">
    <w:name w:val="批注主题 Char3"/>
    <w:autoRedefine/>
    <w:qFormat/>
    <w:uiPriority w:val="0"/>
    <w:rPr>
      <w:rFonts w:ascii="Times New Roman" w:hAnsi="Times New Roman" w:eastAsia="宋体"/>
      <w:b/>
      <w:kern w:val="2"/>
      <w:sz w:val="24"/>
    </w:rPr>
  </w:style>
  <w:style w:type="character" w:customStyle="1" w:styleId="210">
    <w:name w:val="Char Char12"/>
    <w:autoRedefine/>
    <w:qFormat/>
    <w:uiPriority w:val="0"/>
    <w:rPr>
      <w:rFonts w:ascii="宋体" w:hAnsi="宋体" w:eastAsia="宋体"/>
      <w:sz w:val="24"/>
      <w:lang w:val="en-US" w:eastAsia="zh-CN"/>
    </w:rPr>
  </w:style>
  <w:style w:type="character" w:customStyle="1" w:styleId="211">
    <w:name w:val="Char Char10"/>
    <w:autoRedefine/>
    <w:qFormat/>
    <w:uiPriority w:val="0"/>
    <w:rPr>
      <w:rFonts w:ascii="Cambria" w:hAnsi="Cambria" w:eastAsia="宋体"/>
      <w:b/>
      <w:kern w:val="2"/>
      <w:sz w:val="32"/>
      <w:lang w:val="en-US" w:eastAsia="zh-CN"/>
    </w:rPr>
  </w:style>
  <w:style w:type="character" w:customStyle="1" w:styleId="212">
    <w:name w:val="副标题 Char1"/>
    <w:autoRedefine/>
    <w:qFormat/>
    <w:uiPriority w:val="11"/>
    <w:rPr>
      <w:rFonts w:ascii="Cambria" w:hAnsi="Cambria" w:eastAsia="宋体"/>
      <w:b/>
      <w:kern w:val="28"/>
      <w:sz w:val="32"/>
    </w:rPr>
  </w:style>
  <w:style w:type="character" w:customStyle="1" w:styleId="213">
    <w:name w:val="批注文字 Char1"/>
    <w:autoRedefine/>
    <w:qFormat/>
    <w:uiPriority w:val="0"/>
    <w:rPr>
      <w:rFonts w:ascii="Times New Roman" w:hAnsi="Times New Roman" w:eastAsia="宋体"/>
      <w:sz w:val="24"/>
    </w:rPr>
  </w:style>
  <w:style w:type="character" w:customStyle="1" w:styleId="214">
    <w:name w:val="纯文本 Char Char Char"/>
    <w:autoRedefine/>
    <w:qFormat/>
    <w:uiPriority w:val="0"/>
    <w:rPr>
      <w:rFonts w:ascii="宋体" w:hAnsi="Courier New" w:eastAsia="宋体"/>
      <w:kern w:val="2"/>
      <w:sz w:val="21"/>
      <w:lang w:val="en-US" w:eastAsia="zh-CN"/>
    </w:rPr>
  </w:style>
  <w:style w:type="character" w:customStyle="1" w:styleId="215">
    <w:name w:val="Char Char16"/>
    <w:autoRedefine/>
    <w:qFormat/>
    <w:uiPriority w:val="0"/>
    <w:rPr>
      <w:rFonts w:ascii="Cambria" w:hAnsi="Cambria" w:eastAsia="宋体"/>
      <w:kern w:val="2"/>
      <w:sz w:val="21"/>
    </w:rPr>
  </w:style>
  <w:style w:type="character" w:customStyle="1" w:styleId="216">
    <w:name w:val="Char Char18"/>
    <w:autoRedefine/>
    <w:qFormat/>
    <w:uiPriority w:val="0"/>
    <w:rPr>
      <w:rFonts w:ascii="Times New Roman" w:hAnsi="Times New Roman" w:eastAsia="宋体"/>
      <w:b/>
      <w:sz w:val="28"/>
    </w:rPr>
  </w:style>
  <w:style w:type="character" w:customStyle="1" w:styleId="217">
    <w:name w:val="Char Char13"/>
    <w:autoRedefine/>
    <w:qFormat/>
    <w:uiPriority w:val="0"/>
    <w:rPr>
      <w:rFonts w:ascii="Times New Roman" w:hAnsi="Times New Roman" w:eastAsia="宋体"/>
      <w:sz w:val="24"/>
    </w:rPr>
  </w:style>
  <w:style w:type="character" w:customStyle="1" w:styleId="218">
    <w:name w:val="明显引用 Char3"/>
    <w:autoRedefine/>
    <w:qFormat/>
    <w:uiPriority w:val="0"/>
    <w:rPr>
      <w:rFonts w:ascii="Times New Roman" w:hAnsi="Times New Roman" w:eastAsia="宋体"/>
      <w:b/>
      <w:i/>
      <w:color w:val="4F81BD"/>
      <w:kern w:val="2"/>
      <w:sz w:val="24"/>
    </w:rPr>
  </w:style>
  <w:style w:type="character" w:customStyle="1" w:styleId="219">
    <w:name w:val="日期 Char1"/>
    <w:autoRedefine/>
    <w:qFormat/>
    <w:uiPriority w:val="0"/>
    <w:rPr>
      <w:rFonts w:ascii="Times New Roman" w:hAnsi="Times New Roman" w:eastAsia="宋体"/>
      <w:sz w:val="24"/>
    </w:rPr>
  </w:style>
  <w:style w:type="character" w:customStyle="1" w:styleId="220">
    <w:name w:val="Char Char19"/>
    <w:autoRedefine/>
    <w:qFormat/>
    <w:uiPriority w:val="0"/>
    <w:rPr>
      <w:rFonts w:ascii="Arial" w:hAnsi="Arial" w:eastAsia="宋体"/>
      <w:b/>
      <w:sz w:val="28"/>
    </w:rPr>
  </w:style>
  <w:style w:type="character" w:customStyle="1" w:styleId="221">
    <w:name w:val="Char Char15"/>
    <w:autoRedefine/>
    <w:qFormat/>
    <w:uiPriority w:val="0"/>
    <w:rPr>
      <w:rFonts w:ascii="Times New Roman" w:hAnsi="Times New Roman" w:eastAsia="宋体"/>
      <w:kern w:val="2"/>
      <w:sz w:val="24"/>
    </w:rPr>
  </w:style>
  <w:style w:type="character" w:customStyle="1" w:styleId="222">
    <w:name w:val="标题 2 Char Char"/>
    <w:autoRedefine/>
    <w:qFormat/>
    <w:uiPriority w:val="0"/>
    <w:rPr>
      <w:rFonts w:ascii="Arial" w:hAnsi="Arial" w:eastAsia="黑体"/>
      <w:b/>
      <w:kern w:val="2"/>
      <w:sz w:val="32"/>
      <w:lang w:val="en-US" w:eastAsia="zh-CN"/>
    </w:rPr>
  </w:style>
  <w:style w:type="character" w:customStyle="1" w:styleId="223">
    <w:name w:val="正文文本缩进 2 Char1"/>
    <w:autoRedefine/>
    <w:qFormat/>
    <w:uiPriority w:val="0"/>
    <w:rPr>
      <w:rFonts w:ascii="Times New Roman" w:hAnsi="Times New Roman" w:eastAsia="宋体"/>
      <w:kern w:val="2"/>
      <w:sz w:val="21"/>
    </w:rPr>
  </w:style>
  <w:style w:type="character" w:customStyle="1" w:styleId="224">
    <w:name w:val="Char Char2"/>
    <w:autoRedefine/>
    <w:qFormat/>
    <w:uiPriority w:val="0"/>
    <w:rPr>
      <w:rFonts w:ascii="宋体" w:hAnsi="宋体" w:eastAsia="宋体"/>
      <w:b/>
      <w:kern w:val="2"/>
      <w:sz w:val="24"/>
      <w:lang w:val="en-US" w:eastAsia="zh-CN"/>
    </w:rPr>
  </w:style>
  <w:style w:type="character" w:customStyle="1" w:styleId="225">
    <w:name w:val="表正文 Char1"/>
    <w:autoRedefine/>
    <w:qFormat/>
    <w:uiPriority w:val="0"/>
    <w:rPr>
      <w:rFonts w:ascii="Times New Roman" w:hAnsi="Times New Roman" w:eastAsia="宋体"/>
      <w:kern w:val="2"/>
      <w:sz w:val="21"/>
    </w:rPr>
  </w:style>
  <w:style w:type="character" w:customStyle="1" w:styleId="226">
    <w:name w:val="Char Char Char"/>
    <w:autoRedefine/>
    <w:qFormat/>
    <w:uiPriority w:val="0"/>
    <w:rPr>
      <w:rFonts w:ascii="宋体" w:hAnsi="宋体" w:eastAsia="宋体"/>
      <w:kern w:val="2"/>
      <w:sz w:val="24"/>
      <w:lang w:val="en-US" w:eastAsia="zh-CN"/>
    </w:rPr>
  </w:style>
  <w:style w:type="character" w:customStyle="1" w:styleId="227">
    <w:name w:val="正文文本 + 间距 0 pt"/>
    <w:autoRedefine/>
    <w:qFormat/>
    <w:uiPriority w:val="0"/>
    <w:rPr>
      <w:rFonts w:ascii="宋体" w:hAnsi="宋体" w:eastAsia="宋体"/>
      <w:spacing w:val="10"/>
      <w:kern w:val="2"/>
      <w:sz w:val="24"/>
      <w:lang w:val="en-US" w:eastAsia="en-US"/>
    </w:rPr>
  </w:style>
  <w:style w:type="character" w:customStyle="1" w:styleId="228">
    <w:name w:val="Char Char23"/>
    <w:autoRedefine/>
    <w:qFormat/>
    <w:uiPriority w:val="0"/>
    <w:rPr>
      <w:rFonts w:ascii="Times New Roman" w:hAnsi="Times New Roman" w:eastAsia="宋体"/>
      <w:b/>
      <w:kern w:val="44"/>
      <w:sz w:val="44"/>
      <w:lang w:val="en-US" w:eastAsia="zh-CN"/>
    </w:rPr>
  </w:style>
  <w:style w:type="character" w:customStyle="1" w:styleId="229">
    <w:name w:val="标题 4 Char Char"/>
    <w:autoRedefine/>
    <w:qFormat/>
    <w:uiPriority w:val="0"/>
    <w:rPr>
      <w:rFonts w:ascii="Cambria" w:hAnsi="Cambria" w:eastAsia="宋体"/>
      <w:b/>
      <w:kern w:val="2"/>
      <w:sz w:val="28"/>
    </w:rPr>
  </w:style>
  <w:style w:type="character" w:customStyle="1" w:styleId="230">
    <w:name w:val="Comment Text Char1"/>
    <w:autoRedefine/>
    <w:qFormat/>
    <w:uiPriority w:val="0"/>
    <w:rPr>
      <w:rFonts w:ascii="Times New Roman" w:hAnsi="Times New Roman" w:eastAsia="宋体"/>
      <w:sz w:val="24"/>
    </w:rPr>
  </w:style>
  <w:style w:type="character" w:customStyle="1" w:styleId="231">
    <w:name w:val="标题 Char"/>
    <w:link w:val="46"/>
    <w:autoRedefine/>
    <w:qFormat/>
    <w:locked/>
    <w:uiPriority w:val="0"/>
    <w:rPr>
      <w:rFonts w:ascii="Cambria" w:hAnsi="Cambria"/>
      <w:b/>
      <w:kern w:val="2"/>
      <w:sz w:val="32"/>
    </w:rPr>
  </w:style>
  <w:style w:type="character" w:customStyle="1" w:styleId="232">
    <w:name w:val="样式 Char"/>
    <w:link w:val="233"/>
    <w:autoRedefine/>
    <w:qFormat/>
    <w:locked/>
    <w:uiPriority w:val="0"/>
    <w:rPr>
      <w:rFonts w:ascii="宋体" w:eastAsia="宋体"/>
      <w:sz w:val="24"/>
      <w:lang w:val="en-US" w:eastAsia="zh-CN"/>
    </w:rPr>
  </w:style>
  <w:style w:type="paragraph" w:customStyle="1" w:styleId="233">
    <w:name w:val="样式"/>
    <w:link w:val="232"/>
    <w:autoRedefine/>
    <w:qFormat/>
    <w:uiPriority w:val="0"/>
    <w:pPr>
      <w:widowControl w:val="0"/>
      <w:autoSpaceDE w:val="0"/>
      <w:autoSpaceDN w:val="0"/>
      <w:adjustRightInd w:val="0"/>
      <w:spacing w:line="400" w:lineRule="exact"/>
      <w:ind w:firstLine="200" w:firstLineChars="200"/>
    </w:pPr>
    <w:rPr>
      <w:rFonts w:ascii="宋体" w:hAnsi="宋体" w:eastAsia="宋体" w:cs="宋体"/>
      <w:sz w:val="24"/>
      <w:szCs w:val="24"/>
      <w:lang w:val="en-US" w:eastAsia="zh-CN" w:bidi="ar-SA"/>
    </w:rPr>
  </w:style>
  <w:style w:type="character" w:customStyle="1" w:styleId="234">
    <w:name w:val="超链接_0"/>
    <w:autoRedefine/>
    <w:qFormat/>
    <w:uiPriority w:val="99"/>
    <w:rPr>
      <w:rFonts w:ascii="Calibri" w:hAnsi="Calibri" w:eastAsia="宋体"/>
      <w:color w:val="0000FF"/>
      <w:u w:val="single"/>
    </w:rPr>
  </w:style>
  <w:style w:type="character" w:customStyle="1" w:styleId="235">
    <w:name w:val="Para head"/>
    <w:autoRedefine/>
    <w:qFormat/>
    <w:uiPriority w:val="0"/>
    <w:rPr>
      <w:rFonts w:ascii="Arial" w:hAnsi="Arial"/>
      <w:sz w:val="20"/>
    </w:rPr>
  </w:style>
  <w:style w:type="character" w:customStyle="1" w:styleId="236">
    <w:name w:val="Char Char"/>
    <w:link w:val="237"/>
    <w:autoRedefine/>
    <w:qFormat/>
    <w:locked/>
    <w:uiPriority w:val="0"/>
    <w:rPr>
      <w:kern w:val="2"/>
      <w:sz w:val="24"/>
    </w:rPr>
  </w:style>
  <w:style w:type="paragraph" w:customStyle="1" w:styleId="237">
    <w:name w:val="Char"/>
    <w:basedOn w:val="1"/>
    <w:link w:val="236"/>
    <w:autoRedefine/>
    <w:qFormat/>
    <w:uiPriority w:val="0"/>
    <w:pPr>
      <w:widowControl/>
      <w:spacing w:after="160" w:line="240" w:lineRule="exact"/>
      <w:jc w:val="left"/>
    </w:pPr>
    <w:rPr>
      <w:sz w:val="24"/>
      <w:szCs w:val="20"/>
    </w:rPr>
  </w:style>
  <w:style w:type="character" w:customStyle="1" w:styleId="238">
    <w:name w:val="标题 5 Char1"/>
    <w:autoRedefine/>
    <w:qFormat/>
    <w:uiPriority w:val="0"/>
    <w:rPr>
      <w:rFonts w:ascii="宋体" w:hAnsi="宋体" w:eastAsia="宋体"/>
      <w:b/>
      <w:kern w:val="2"/>
      <w:sz w:val="28"/>
      <w:lang w:val="en-US" w:eastAsia="zh-CN"/>
    </w:rPr>
  </w:style>
  <w:style w:type="character" w:customStyle="1" w:styleId="239">
    <w:name w:val="msointenseemphasis"/>
    <w:autoRedefine/>
    <w:qFormat/>
    <w:uiPriority w:val="0"/>
    <w:rPr>
      <w:rFonts w:ascii="Times New Roman" w:hAnsi="Times New Roman" w:eastAsia="宋体"/>
      <w:b/>
      <w:i/>
      <w:color w:val="4F81BD"/>
    </w:rPr>
  </w:style>
  <w:style w:type="character" w:customStyle="1" w:styleId="240">
    <w:name w:val="msosubtleemphasis"/>
    <w:autoRedefine/>
    <w:qFormat/>
    <w:uiPriority w:val="0"/>
    <w:rPr>
      <w:rFonts w:ascii="Times New Roman" w:hAnsi="Times New Roman" w:eastAsia="宋体"/>
      <w:i/>
      <w:color w:val="808080"/>
    </w:rPr>
  </w:style>
  <w:style w:type="character" w:customStyle="1" w:styleId="241">
    <w:name w:val="ҳŻ"/>
    <w:autoRedefine/>
    <w:qFormat/>
    <w:uiPriority w:val="0"/>
    <w:rPr>
      <w:rFonts w:ascii="宋体" w:hAnsi="宋体" w:eastAsia="宋体"/>
      <w:sz w:val="32"/>
    </w:rPr>
  </w:style>
  <w:style w:type="character" w:customStyle="1" w:styleId="242">
    <w:name w:val="明显参考11"/>
    <w:autoRedefine/>
    <w:qFormat/>
    <w:uiPriority w:val="0"/>
    <w:rPr>
      <w:rFonts w:ascii="Times New Roman" w:hAnsi="Times New Roman" w:eastAsia="宋体"/>
      <w:b/>
      <w:smallCaps/>
      <w:color w:val="C0504D"/>
      <w:spacing w:val="5"/>
      <w:u w:val="single"/>
    </w:rPr>
  </w:style>
  <w:style w:type="character" w:customStyle="1" w:styleId="243">
    <w:name w:val="标题 9 Char Char"/>
    <w:autoRedefine/>
    <w:qFormat/>
    <w:uiPriority w:val="0"/>
    <w:rPr>
      <w:rFonts w:ascii="Cambria" w:hAnsi="Cambria" w:eastAsia="宋体"/>
      <w:kern w:val="2"/>
      <w:sz w:val="21"/>
    </w:rPr>
  </w:style>
  <w:style w:type="character" w:customStyle="1" w:styleId="244">
    <w:name w:val="明显强调1"/>
    <w:autoRedefine/>
    <w:qFormat/>
    <w:uiPriority w:val="0"/>
    <w:rPr>
      <w:rFonts w:ascii="Times New Roman" w:hAnsi="Times New Roman" w:eastAsia="宋体"/>
      <w:b/>
      <w:i/>
      <w:color w:val="4F81BD"/>
    </w:rPr>
  </w:style>
  <w:style w:type="character" w:customStyle="1" w:styleId="245">
    <w:name w:val="正文文本 Char2"/>
    <w:autoRedefine/>
    <w:qFormat/>
    <w:uiPriority w:val="0"/>
    <w:rPr>
      <w:rFonts w:ascii="Times New Roman" w:hAnsi="Times New Roman" w:eastAsia="宋体"/>
      <w:kern w:val="2"/>
      <w:sz w:val="24"/>
    </w:rPr>
  </w:style>
  <w:style w:type="character" w:customStyle="1" w:styleId="246">
    <w:name w:val="Char Char81"/>
    <w:autoRedefine/>
    <w:qFormat/>
    <w:uiPriority w:val="0"/>
    <w:rPr>
      <w:rFonts w:ascii="Arial" w:hAnsi="Arial" w:eastAsia="黑体"/>
      <w:b/>
      <w:kern w:val="2"/>
      <w:sz w:val="32"/>
      <w:lang w:val="en-US" w:eastAsia="zh-CN"/>
    </w:rPr>
  </w:style>
  <w:style w:type="character" w:customStyle="1" w:styleId="247">
    <w:name w:val="正文文本缩进 Char1"/>
    <w:autoRedefine/>
    <w:qFormat/>
    <w:uiPriority w:val="0"/>
    <w:rPr>
      <w:rFonts w:ascii="Times New Roman" w:hAnsi="Times New Roman" w:eastAsia="宋体"/>
      <w:sz w:val="24"/>
    </w:rPr>
  </w:style>
  <w:style w:type="character" w:customStyle="1" w:styleId="248">
    <w:name w:val="bigfont1"/>
    <w:autoRedefine/>
    <w:qFormat/>
    <w:uiPriority w:val="0"/>
    <w:rPr>
      <w:rFonts w:eastAsia="宋体"/>
      <w:color w:val="000000"/>
      <w:sz w:val="24"/>
      <w:u w:val="none"/>
    </w:rPr>
  </w:style>
  <w:style w:type="character" w:customStyle="1" w:styleId="249">
    <w:name w:val="不明显强调11"/>
    <w:autoRedefine/>
    <w:qFormat/>
    <w:uiPriority w:val="0"/>
    <w:rPr>
      <w:rFonts w:ascii="Times New Roman" w:hAnsi="Times New Roman" w:eastAsia="宋体"/>
      <w:i/>
      <w:color w:val="808080"/>
    </w:rPr>
  </w:style>
  <w:style w:type="character" w:customStyle="1" w:styleId="250">
    <w:name w:val="Char Char21"/>
    <w:autoRedefine/>
    <w:qFormat/>
    <w:uiPriority w:val="0"/>
    <w:rPr>
      <w:rFonts w:ascii="Arial" w:hAnsi="Arial" w:eastAsia="黑体"/>
      <w:b/>
      <w:sz w:val="32"/>
    </w:rPr>
  </w:style>
  <w:style w:type="character" w:customStyle="1" w:styleId="251">
    <w:name w:val="Char Char71"/>
    <w:autoRedefine/>
    <w:qFormat/>
    <w:uiPriority w:val="0"/>
    <w:rPr>
      <w:rFonts w:ascii="Arial" w:hAnsi="Arial" w:eastAsia="黑体"/>
      <w:b/>
      <w:kern w:val="2"/>
      <w:sz w:val="32"/>
      <w:lang w:val="en-US" w:eastAsia="zh-CN"/>
    </w:rPr>
  </w:style>
  <w:style w:type="character" w:customStyle="1" w:styleId="252">
    <w:name w:val="标题 Char3"/>
    <w:autoRedefine/>
    <w:qFormat/>
    <w:uiPriority w:val="99"/>
    <w:rPr>
      <w:rFonts w:ascii="Calibri Light" w:hAnsi="Calibri Light" w:eastAsia="宋体"/>
      <w:b/>
      <w:sz w:val="32"/>
    </w:rPr>
  </w:style>
  <w:style w:type="character" w:customStyle="1" w:styleId="253">
    <w:name w:val="脚注文本 Char"/>
    <w:link w:val="38"/>
    <w:autoRedefine/>
    <w:qFormat/>
    <w:locked/>
    <w:uiPriority w:val="0"/>
    <w:rPr>
      <w:sz w:val="18"/>
    </w:rPr>
  </w:style>
  <w:style w:type="character" w:customStyle="1" w:styleId="254">
    <w:name w:val="纯文本 Char2"/>
    <w:autoRedefine/>
    <w:qFormat/>
    <w:uiPriority w:val="0"/>
    <w:rPr>
      <w:rFonts w:ascii="宋体" w:hAnsi="Courier New" w:eastAsia="宋体"/>
      <w:kern w:val="2"/>
      <w:sz w:val="21"/>
    </w:rPr>
  </w:style>
  <w:style w:type="character" w:customStyle="1" w:styleId="255">
    <w:name w:val="批注文字 字符1"/>
    <w:autoRedefine/>
    <w:qFormat/>
    <w:uiPriority w:val="99"/>
    <w:rPr>
      <w:rFonts w:ascii="Times New Roman" w:hAnsi="Times New Roman" w:eastAsia="宋体"/>
      <w:kern w:val="2"/>
      <w:sz w:val="24"/>
      <w:lang w:val="en-US" w:eastAsia="zh-CN"/>
    </w:rPr>
  </w:style>
  <w:style w:type="character" w:customStyle="1" w:styleId="256">
    <w:name w:val="引用 Char3"/>
    <w:autoRedefine/>
    <w:qFormat/>
    <w:uiPriority w:val="0"/>
    <w:rPr>
      <w:rFonts w:ascii="Times New Roman" w:hAnsi="Times New Roman" w:eastAsia="宋体"/>
      <w:i/>
      <w:color w:val="000000"/>
      <w:kern w:val="2"/>
      <w:sz w:val="24"/>
    </w:rPr>
  </w:style>
  <w:style w:type="character" w:customStyle="1" w:styleId="257">
    <w:name w:val="正文文本 字符"/>
    <w:autoRedefine/>
    <w:qFormat/>
    <w:uiPriority w:val="99"/>
    <w:rPr>
      <w:rFonts w:ascii="Times New Roman" w:hAnsi="Times New Roman" w:eastAsia="宋体"/>
      <w:kern w:val="2"/>
      <w:sz w:val="22"/>
      <w:lang w:val="en-US" w:eastAsia="zh-CN"/>
    </w:rPr>
  </w:style>
  <w:style w:type="character" w:customStyle="1" w:styleId="258">
    <w:name w:val="批注框文本 Char2"/>
    <w:autoRedefine/>
    <w:qFormat/>
    <w:uiPriority w:val="0"/>
    <w:rPr>
      <w:rFonts w:ascii="Times New Roman" w:hAnsi="Times New Roman" w:eastAsia="宋体"/>
      <w:kern w:val="2"/>
      <w:sz w:val="18"/>
    </w:rPr>
  </w:style>
  <w:style w:type="character" w:customStyle="1" w:styleId="259">
    <w:name w:val="question-title2"/>
    <w:autoRedefine/>
    <w:qFormat/>
    <w:uiPriority w:val="0"/>
    <w:rPr>
      <w:rFonts w:ascii="Times New Roman" w:hAnsi="Times New Roman" w:eastAsia="宋体" w:cs="Times New Roman"/>
    </w:rPr>
  </w:style>
  <w:style w:type="character" w:customStyle="1" w:styleId="260">
    <w:name w:val="bookmark"/>
    <w:autoRedefine/>
    <w:qFormat/>
    <w:uiPriority w:val="0"/>
    <w:rPr>
      <w:rFonts w:ascii="Times New Roman" w:hAnsi="Times New Roman" w:eastAsia="宋体" w:cs="Times New Roman"/>
    </w:rPr>
  </w:style>
  <w:style w:type="character" w:customStyle="1" w:styleId="261">
    <w:name w:val="无间隔 Char"/>
    <w:link w:val="262"/>
    <w:autoRedefine/>
    <w:qFormat/>
    <w:locked/>
    <w:uiPriority w:val="0"/>
    <w:rPr>
      <w:kern w:val="2"/>
      <w:sz w:val="24"/>
      <w:lang w:val="en-US" w:eastAsia="zh-CN"/>
    </w:rPr>
  </w:style>
  <w:style w:type="paragraph" w:styleId="262">
    <w:name w:val="No Spacing"/>
    <w:link w:val="261"/>
    <w:autoRedefine/>
    <w:qFormat/>
    <w:uiPriority w:val="0"/>
    <w:pPr>
      <w:widowControl w:val="0"/>
      <w:spacing w:line="400" w:lineRule="exact"/>
      <w:ind w:firstLine="200" w:firstLineChars="200"/>
      <w:jc w:val="both"/>
    </w:pPr>
    <w:rPr>
      <w:rFonts w:ascii="Times New Roman" w:hAnsi="Times New Roman" w:eastAsia="宋体" w:cs="Times New Roman"/>
      <w:kern w:val="2"/>
      <w:sz w:val="21"/>
      <w:szCs w:val="24"/>
      <w:lang w:val="en-US" w:eastAsia="zh-CN" w:bidi="ar-SA"/>
    </w:rPr>
  </w:style>
  <w:style w:type="character" w:customStyle="1" w:styleId="263">
    <w:name w:val="HTML 预设格式 Char1"/>
    <w:autoRedefine/>
    <w:qFormat/>
    <w:uiPriority w:val="0"/>
    <w:rPr>
      <w:rFonts w:ascii="Courier New" w:hAnsi="Courier New" w:eastAsia="宋体"/>
      <w:kern w:val="2"/>
    </w:rPr>
  </w:style>
  <w:style w:type="character" w:customStyle="1" w:styleId="264">
    <w:name w:val="Char Char4"/>
    <w:autoRedefine/>
    <w:qFormat/>
    <w:uiPriority w:val="0"/>
    <w:rPr>
      <w:rFonts w:ascii="Cambria" w:hAnsi="Cambria" w:eastAsia="宋体"/>
      <w:b/>
      <w:kern w:val="28"/>
      <w:sz w:val="32"/>
      <w:lang w:val="en-US" w:eastAsia="zh-CN"/>
    </w:rPr>
  </w:style>
  <w:style w:type="character" w:customStyle="1" w:styleId="265">
    <w:name w:val="明显强调2"/>
    <w:autoRedefine/>
    <w:qFormat/>
    <w:uiPriority w:val="99"/>
    <w:rPr>
      <w:rFonts w:ascii="Times New Roman" w:hAnsi="Times New Roman" w:eastAsia="宋体"/>
      <w:b/>
      <w:i/>
      <w:color w:val="4F81BD"/>
    </w:rPr>
  </w:style>
  <w:style w:type="character" w:customStyle="1" w:styleId="266">
    <w:name w:val="msosubtlereference"/>
    <w:autoRedefine/>
    <w:qFormat/>
    <w:uiPriority w:val="0"/>
    <w:rPr>
      <w:rFonts w:ascii="Times New Roman" w:hAnsi="Times New Roman" w:eastAsia="宋体"/>
      <w:smallCaps/>
      <w:color w:val="C0504D"/>
      <w:u w:val="single"/>
    </w:rPr>
  </w:style>
  <w:style w:type="character" w:customStyle="1" w:styleId="267">
    <w:name w:val="正文文本 2 Char1"/>
    <w:autoRedefine/>
    <w:qFormat/>
    <w:uiPriority w:val="0"/>
    <w:rPr>
      <w:rFonts w:ascii="Times New Roman" w:hAnsi="Times New Roman" w:eastAsia="宋体"/>
      <w:kern w:val="2"/>
      <w:sz w:val="24"/>
    </w:rPr>
  </w:style>
  <w:style w:type="character" w:customStyle="1" w:styleId="268">
    <w:name w:val="Intense Quote Char1"/>
    <w:autoRedefine/>
    <w:qFormat/>
    <w:locked/>
    <w:uiPriority w:val="99"/>
    <w:rPr>
      <w:b/>
      <w:i/>
      <w:color w:val="4F81BD"/>
    </w:rPr>
  </w:style>
  <w:style w:type="paragraph" w:styleId="269">
    <w:name w:val="Intense Quote"/>
    <w:basedOn w:val="1"/>
    <w:next w:val="1"/>
    <w:link w:val="270"/>
    <w:autoRedefine/>
    <w:qFormat/>
    <w:uiPriority w:val="0"/>
    <w:pPr>
      <w:pBdr>
        <w:bottom w:val="single" w:color="4F81BD" w:sz="4" w:space="4"/>
      </w:pBdr>
      <w:spacing w:before="200" w:after="280"/>
      <w:ind w:left="936" w:right="936"/>
    </w:pPr>
    <w:rPr>
      <w:b/>
      <w:i/>
      <w:color w:val="4F81BD"/>
      <w:kern w:val="0"/>
      <w:sz w:val="20"/>
      <w:szCs w:val="20"/>
    </w:rPr>
  </w:style>
  <w:style w:type="character" w:customStyle="1" w:styleId="270">
    <w:name w:val="明显引用 Char"/>
    <w:link w:val="269"/>
    <w:autoRedefine/>
    <w:qFormat/>
    <w:locked/>
    <w:uiPriority w:val="0"/>
    <w:rPr>
      <w:rFonts w:cs="Times New Roman"/>
      <w:b/>
      <w:bCs/>
      <w:i/>
      <w:iCs/>
      <w:color w:val="4F81BD"/>
      <w:sz w:val="24"/>
      <w:szCs w:val="24"/>
    </w:rPr>
  </w:style>
  <w:style w:type="character" w:customStyle="1" w:styleId="271">
    <w:name w:val="正文文本缩进 3 Char2"/>
    <w:autoRedefine/>
    <w:qFormat/>
    <w:uiPriority w:val="0"/>
    <w:rPr>
      <w:rFonts w:ascii="Times New Roman" w:hAnsi="Times New Roman" w:eastAsia="宋体"/>
      <w:kern w:val="2"/>
      <w:sz w:val="16"/>
    </w:rPr>
  </w:style>
  <w:style w:type="character" w:customStyle="1" w:styleId="272">
    <w:name w:val="不明显强调12"/>
    <w:autoRedefine/>
    <w:qFormat/>
    <w:uiPriority w:val="99"/>
    <w:rPr>
      <w:rFonts w:ascii="Times New Roman" w:hAnsi="Times New Roman" w:eastAsia="宋体"/>
      <w:i/>
      <w:color w:val="808080"/>
    </w:rPr>
  </w:style>
  <w:style w:type="character" w:customStyle="1" w:styleId="273">
    <w:name w:val="标题5 Char Char"/>
    <w:link w:val="274"/>
    <w:autoRedefine/>
    <w:qFormat/>
    <w:locked/>
    <w:uiPriority w:val="0"/>
    <w:rPr>
      <w:rFonts w:ascii="Arial" w:hAnsi="Arial"/>
      <w:b/>
      <w:sz w:val="32"/>
    </w:rPr>
  </w:style>
  <w:style w:type="paragraph" w:customStyle="1" w:styleId="274">
    <w:name w:val="标题5"/>
    <w:basedOn w:val="4"/>
    <w:link w:val="273"/>
    <w:autoRedefine/>
    <w:qFormat/>
    <w:uiPriority w:val="0"/>
    <w:pPr>
      <w:spacing w:line="413" w:lineRule="auto"/>
    </w:pPr>
    <w:rPr>
      <w:rFonts w:ascii="Arial" w:hAnsi="Arial"/>
      <w:bCs/>
    </w:rPr>
  </w:style>
  <w:style w:type="character" w:customStyle="1" w:styleId="275">
    <w:name w:val="font161"/>
    <w:autoRedefine/>
    <w:qFormat/>
    <w:uiPriority w:val="0"/>
    <w:rPr>
      <w:rFonts w:ascii="Times New Roman" w:hAnsi="Times New Roman" w:eastAsia="宋体"/>
      <w:b/>
      <w:sz w:val="32"/>
    </w:rPr>
  </w:style>
  <w:style w:type="character" w:customStyle="1" w:styleId="276">
    <w:name w:val="批注框文本 Char1"/>
    <w:autoRedefine/>
    <w:qFormat/>
    <w:uiPriority w:val="0"/>
    <w:rPr>
      <w:rFonts w:ascii="Times New Roman" w:hAnsi="Times New Roman" w:eastAsia="宋体"/>
      <w:sz w:val="18"/>
    </w:rPr>
  </w:style>
  <w:style w:type="character" w:customStyle="1" w:styleId="277">
    <w:name w:val="纯文本 Char21"/>
    <w:autoRedefine/>
    <w:qFormat/>
    <w:uiPriority w:val="0"/>
    <w:rPr>
      <w:rFonts w:ascii="宋体" w:hAnsi="Courier New" w:eastAsia="宋体"/>
      <w:kern w:val="2"/>
      <w:sz w:val="21"/>
    </w:rPr>
  </w:style>
  <w:style w:type="character" w:customStyle="1" w:styleId="278">
    <w:name w:val="Char Char3"/>
    <w:autoRedefine/>
    <w:qFormat/>
    <w:uiPriority w:val="0"/>
    <w:rPr>
      <w:rFonts w:ascii="宋体" w:hAnsi="宋体" w:eastAsia="宋体"/>
      <w:kern w:val="2"/>
      <w:sz w:val="24"/>
      <w:lang w:val="en-US" w:eastAsia="zh-CN"/>
    </w:rPr>
  </w:style>
  <w:style w:type="character" w:customStyle="1" w:styleId="279">
    <w:name w:val="引用 Char Char"/>
    <w:autoRedefine/>
    <w:qFormat/>
    <w:uiPriority w:val="0"/>
    <w:rPr>
      <w:rFonts w:ascii="宋体" w:hAnsi="宋体" w:eastAsia="宋体"/>
      <w:i/>
      <w:color w:val="000000"/>
      <w:kern w:val="2"/>
      <w:sz w:val="24"/>
    </w:rPr>
  </w:style>
  <w:style w:type="character" w:customStyle="1" w:styleId="280">
    <w:name w:val="正文文本缩进 3 Char Char"/>
    <w:autoRedefine/>
    <w:qFormat/>
    <w:uiPriority w:val="0"/>
    <w:rPr>
      <w:rFonts w:ascii="仿宋_GB2312" w:hAnsi="Times New Roman" w:eastAsia="仿宋_GB2312"/>
      <w:kern w:val="2"/>
      <w:sz w:val="24"/>
      <w:lang w:val="en-US" w:eastAsia="zh-CN"/>
    </w:rPr>
  </w:style>
  <w:style w:type="character" w:customStyle="1" w:styleId="281">
    <w:name w:val="明显参考2"/>
    <w:autoRedefine/>
    <w:qFormat/>
    <w:uiPriority w:val="99"/>
    <w:rPr>
      <w:rFonts w:ascii="Times New Roman" w:hAnsi="Times New Roman" w:eastAsia="宋体"/>
      <w:b/>
      <w:smallCaps/>
      <w:color w:val="C0504D"/>
      <w:spacing w:val="5"/>
      <w:u w:val="single"/>
    </w:rPr>
  </w:style>
  <w:style w:type="character" w:customStyle="1" w:styleId="282">
    <w:name w:val="批注文字 Char"/>
    <w:autoRedefine/>
    <w:qFormat/>
    <w:uiPriority w:val="0"/>
    <w:rPr>
      <w:rFonts w:ascii="Times New Roman" w:hAnsi="Times New Roman" w:eastAsia="宋体"/>
      <w:kern w:val="2"/>
      <w:sz w:val="24"/>
    </w:rPr>
  </w:style>
  <w:style w:type="character" w:customStyle="1" w:styleId="283">
    <w:name w:val="IRMS (F) Char11"/>
    <w:autoRedefine/>
    <w:qFormat/>
    <w:uiPriority w:val="0"/>
    <w:rPr>
      <w:rFonts w:ascii="宋体" w:hAnsi="宋体" w:eastAsia="宋体"/>
      <w:kern w:val="2"/>
      <w:sz w:val="18"/>
      <w:lang w:val="en-US" w:eastAsia="zh-CN"/>
    </w:rPr>
  </w:style>
  <w:style w:type="character" w:customStyle="1" w:styleId="284">
    <w:name w:val="zhczw Char Char"/>
    <w:link w:val="285"/>
    <w:autoRedefine/>
    <w:qFormat/>
    <w:locked/>
    <w:uiPriority w:val="0"/>
    <w:rPr>
      <w:snapToGrid w:val="0"/>
      <w:spacing w:val="8"/>
      <w:sz w:val="24"/>
    </w:rPr>
  </w:style>
  <w:style w:type="paragraph" w:customStyle="1" w:styleId="285">
    <w:name w:val="zhczw"/>
    <w:basedOn w:val="1"/>
    <w:link w:val="284"/>
    <w:autoRedefine/>
    <w:qFormat/>
    <w:uiPriority w:val="0"/>
    <w:pPr>
      <w:spacing w:line="180" w:lineRule="auto"/>
    </w:pPr>
    <w:rPr>
      <w:spacing w:val="8"/>
      <w:kern w:val="0"/>
      <w:sz w:val="24"/>
      <w:szCs w:val="20"/>
    </w:rPr>
  </w:style>
  <w:style w:type="character" w:customStyle="1" w:styleId="286">
    <w:name w:val="文档结构图 Char1"/>
    <w:autoRedefine/>
    <w:qFormat/>
    <w:uiPriority w:val="0"/>
    <w:rPr>
      <w:rFonts w:ascii="宋体" w:hAnsi="Times New Roman" w:eastAsia="宋体"/>
      <w:sz w:val="18"/>
    </w:rPr>
  </w:style>
  <w:style w:type="character" w:customStyle="1" w:styleId="287">
    <w:name w:val="Char Char24"/>
    <w:autoRedefine/>
    <w:qFormat/>
    <w:uiPriority w:val="0"/>
    <w:rPr>
      <w:rFonts w:ascii="Times New Roman" w:hAnsi="Times New Roman" w:eastAsia="宋体"/>
      <w:b/>
      <w:kern w:val="44"/>
      <w:sz w:val="44"/>
      <w:lang w:val="en-US" w:eastAsia="zh-CN"/>
    </w:rPr>
  </w:style>
  <w:style w:type="character" w:customStyle="1" w:styleId="288">
    <w:name w:val="标题 Char Char"/>
    <w:autoRedefine/>
    <w:qFormat/>
    <w:uiPriority w:val="0"/>
    <w:rPr>
      <w:rFonts w:ascii="Cambria" w:hAnsi="Cambria" w:eastAsia="宋体"/>
      <w:b/>
      <w:kern w:val="2"/>
      <w:sz w:val="32"/>
    </w:rPr>
  </w:style>
  <w:style w:type="character" w:customStyle="1" w:styleId="289">
    <w:name w:val="未处理的提及1"/>
    <w:autoRedefine/>
    <w:qFormat/>
    <w:uiPriority w:val="99"/>
    <w:rPr>
      <w:rFonts w:ascii="Times New Roman" w:hAnsi="Times New Roman" w:eastAsia="宋体"/>
      <w:color w:val="808080"/>
      <w:shd w:val="clear" w:color="auto" w:fill="E6E6E6"/>
    </w:rPr>
  </w:style>
  <w:style w:type="character" w:customStyle="1" w:styleId="290">
    <w:name w:val="Heading 3 Char1"/>
    <w:autoRedefine/>
    <w:qFormat/>
    <w:uiPriority w:val="0"/>
    <w:rPr>
      <w:rFonts w:ascii="Times New Roman" w:hAnsi="Times New Roman" w:eastAsia="宋体"/>
      <w:b/>
      <w:kern w:val="2"/>
      <w:sz w:val="32"/>
      <w:lang w:val="en-US" w:eastAsia="zh-CN"/>
    </w:rPr>
  </w:style>
  <w:style w:type="character" w:customStyle="1" w:styleId="291">
    <w:name w:val="Char Char26"/>
    <w:autoRedefine/>
    <w:qFormat/>
    <w:uiPriority w:val="0"/>
    <w:rPr>
      <w:rFonts w:ascii="Cambria" w:hAnsi="Cambria" w:eastAsia="宋体"/>
      <w:b/>
      <w:kern w:val="2"/>
      <w:sz w:val="32"/>
    </w:rPr>
  </w:style>
  <w:style w:type="character" w:customStyle="1" w:styleId="292">
    <w:name w:val="1page sec3 Char"/>
    <w:autoRedefine/>
    <w:qFormat/>
    <w:uiPriority w:val="0"/>
    <w:rPr>
      <w:rFonts w:ascii="宋体" w:hAnsi="宋体" w:eastAsia="宋体"/>
      <w:kern w:val="2"/>
      <w:sz w:val="18"/>
      <w:lang w:val="en-US" w:eastAsia="zh-CN"/>
    </w:rPr>
  </w:style>
  <w:style w:type="character" w:customStyle="1" w:styleId="293">
    <w:name w:val="Intense Quote Char Char"/>
    <w:autoRedefine/>
    <w:qFormat/>
    <w:uiPriority w:val="0"/>
    <w:rPr>
      <w:rFonts w:ascii="宋体" w:hAnsi="宋体" w:eastAsia="宋体"/>
      <w:b/>
      <w:i/>
      <w:color w:val="4F81BD"/>
      <w:kern w:val="2"/>
      <w:sz w:val="24"/>
      <w:lang w:val="en-US" w:eastAsia="zh-CN"/>
    </w:rPr>
  </w:style>
  <w:style w:type="character" w:customStyle="1" w:styleId="294">
    <w:name w:val="不明显参考11"/>
    <w:autoRedefine/>
    <w:qFormat/>
    <w:uiPriority w:val="0"/>
    <w:rPr>
      <w:rFonts w:ascii="Times New Roman" w:hAnsi="Times New Roman" w:eastAsia="宋体"/>
      <w:smallCaps/>
      <w:color w:val="C0504D"/>
      <w:u w:val="single"/>
    </w:rPr>
  </w:style>
  <w:style w:type="character" w:customStyle="1" w:styleId="295">
    <w:name w:val="标题 6 Char Char"/>
    <w:autoRedefine/>
    <w:qFormat/>
    <w:uiPriority w:val="0"/>
    <w:rPr>
      <w:rFonts w:ascii="Cambria" w:hAnsi="Cambria" w:eastAsia="宋体"/>
      <w:b/>
      <w:kern w:val="2"/>
      <w:sz w:val="24"/>
    </w:rPr>
  </w:style>
  <w:style w:type="character" w:customStyle="1" w:styleId="296">
    <w:name w:val="明显引用 Char Char"/>
    <w:autoRedefine/>
    <w:qFormat/>
    <w:uiPriority w:val="0"/>
    <w:rPr>
      <w:rFonts w:ascii="宋体" w:hAnsi="宋体" w:eastAsia="宋体"/>
      <w:b/>
      <w:i/>
      <w:color w:val="4F81BD"/>
      <w:kern w:val="2"/>
      <w:sz w:val="24"/>
    </w:rPr>
  </w:style>
  <w:style w:type="character" w:customStyle="1" w:styleId="297">
    <w:name w:val="纯文本 Char3"/>
    <w:autoRedefine/>
    <w:qFormat/>
    <w:uiPriority w:val="0"/>
    <w:rPr>
      <w:rFonts w:ascii="宋体" w:hAnsi="Courier New" w:eastAsia="宋体"/>
      <w:kern w:val="2"/>
      <w:sz w:val="21"/>
    </w:rPr>
  </w:style>
  <w:style w:type="character" w:customStyle="1" w:styleId="298">
    <w:name w:val="正文文本缩进 2 Char Char"/>
    <w:autoRedefine/>
    <w:qFormat/>
    <w:uiPriority w:val="0"/>
    <w:rPr>
      <w:rFonts w:ascii="宋体" w:hAnsi="宋体" w:eastAsia="宋体"/>
      <w:sz w:val="28"/>
      <w:lang w:val="en-US" w:eastAsia="zh-CN"/>
    </w:rPr>
  </w:style>
  <w:style w:type="character" w:customStyle="1" w:styleId="299">
    <w:name w:val="IRMS (F) Char"/>
    <w:autoRedefine/>
    <w:qFormat/>
    <w:uiPriority w:val="0"/>
    <w:rPr>
      <w:rFonts w:ascii="宋体" w:hAnsi="宋体" w:eastAsia="宋体"/>
      <w:snapToGrid w:val="0"/>
      <w:sz w:val="22"/>
      <w:lang w:val="en-US" w:eastAsia="zh-TW"/>
    </w:rPr>
  </w:style>
  <w:style w:type="character" w:customStyle="1" w:styleId="300">
    <w:name w:val="ꌢ 3 Char"/>
    <w:autoRedefine/>
    <w:qFormat/>
    <w:uiPriority w:val="0"/>
    <w:rPr>
      <w:rFonts w:ascii="???" w:hAnsi="???"/>
      <w:b/>
    </w:rPr>
  </w:style>
  <w:style w:type="character" w:customStyle="1" w:styleId="301">
    <w:name w:val="明显强调11"/>
    <w:autoRedefine/>
    <w:qFormat/>
    <w:uiPriority w:val="0"/>
    <w:rPr>
      <w:rFonts w:ascii="Times New Roman" w:hAnsi="Times New Roman" w:eastAsia="宋体"/>
      <w:b/>
      <w:i/>
      <w:color w:val="4F81BD"/>
    </w:rPr>
  </w:style>
  <w:style w:type="character" w:customStyle="1" w:styleId="302">
    <w:name w:val="标题 Char1"/>
    <w:autoRedefine/>
    <w:qFormat/>
    <w:uiPriority w:val="10"/>
    <w:rPr>
      <w:rFonts w:ascii="Cambria" w:hAnsi="Cambria" w:eastAsia="宋体"/>
      <w:b/>
      <w:sz w:val="32"/>
    </w:rPr>
  </w:style>
  <w:style w:type="character" w:customStyle="1" w:styleId="303">
    <w:name w:val="页脚 Char Char"/>
    <w:autoRedefine/>
    <w:qFormat/>
    <w:uiPriority w:val="0"/>
    <w:rPr>
      <w:rFonts w:ascii="宋体" w:hAnsi="宋体" w:eastAsia="宋体"/>
      <w:kern w:val="2"/>
      <w:sz w:val="18"/>
      <w:lang w:val="en-US" w:eastAsia="zh-CN"/>
    </w:rPr>
  </w:style>
  <w:style w:type="character" w:customStyle="1" w:styleId="304">
    <w:name w:val="标题 Char2"/>
    <w:autoRedefine/>
    <w:qFormat/>
    <w:uiPriority w:val="0"/>
    <w:rPr>
      <w:rFonts w:ascii="Cambria" w:hAnsi="Cambria" w:eastAsia="宋体"/>
      <w:b/>
      <w:sz w:val="32"/>
    </w:rPr>
  </w:style>
  <w:style w:type="character" w:customStyle="1" w:styleId="305">
    <w:name w:val="明显引用 Char2"/>
    <w:autoRedefine/>
    <w:qFormat/>
    <w:uiPriority w:val="0"/>
    <w:rPr>
      <w:rFonts w:ascii="Times New Roman" w:hAnsi="Times New Roman" w:eastAsia="宋体"/>
      <w:b/>
      <w:i/>
      <w:color w:val="4F81BD"/>
      <w:kern w:val="2"/>
      <w:sz w:val="24"/>
    </w:rPr>
  </w:style>
  <w:style w:type="character" w:customStyle="1" w:styleId="306">
    <w:name w:val="IRMS (F) Char2"/>
    <w:autoRedefine/>
    <w:qFormat/>
    <w:uiPriority w:val="0"/>
    <w:rPr>
      <w:rFonts w:ascii="Times New Roman" w:hAnsi="Times New Roman" w:eastAsia="宋体"/>
      <w:kern w:val="2"/>
      <w:sz w:val="18"/>
    </w:rPr>
  </w:style>
  <w:style w:type="character" w:customStyle="1" w:styleId="307">
    <w:name w:val="正文文本缩进 Char2"/>
    <w:autoRedefine/>
    <w:qFormat/>
    <w:uiPriority w:val="0"/>
    <w:rPr>
      <w:rFonts w:ascii="Times New Roman" w:hAnsi="Times New Roman" w:eastAsia="宋体"/>
      <w:kern w:val="2"/>
      <w:sz w:val="24"/>
    </w:rPr>
  </w:style>
  <w:style w:type="character" w:customStyle="1" w:styleId="308">
    <w:name w:val="正文文本 + 间距 0 pt3"/>
    <w:autoRedefine/>
    <w:qFormat/>
    <w:uiPriority w:val="0"/>
    <w:rPr>
      <w:rFonts w:ascii="宋体" w:hAnsi="宋体" w:eastAsia="宋体"/>
      <w:spacing w:val="10"/>
      <w:kern w:val="2"/>
      <w:sz w:val="24"/>
      <w:lang w:val="en-US" w:eastAsia="en-US"/>
    </w:rPr>
  </w:style>
  <w:style w:type="character" w:customStyle="1" w:styleId="309">
    <w:name w:val="apple-converted-space"/>
    <w:basedOn w:val="51"/>
    <w:autoRedefine/>
    <w:qFormat/>
    <w:uiPriority w:val="0"/>
    <w:rPr>
      <w:rFonts w:ascii="Times New Roman" w:hAnsi="Times New Roman" w:eastAsia="宋体" w:cs="Times New Roman"/>
    </w:rPr>
  </w:style>
  <w:style w:type="character" w:customStyle="1" w:styleId="310">
    <w:name w:val="标题 2 Char1"/>
    <w:autoRedefine/>
    <w:qFormat/>
    <w:uiPriority w:val="0"/>
    <w:rPr>
      <w:rFonts w:ascii="Arial" w:hAnsi="Arial" w:eastAsia="黑体"/>
      <w:b/>
      <w:kern w:val="0"/>
      <w:sz w:val="20"/>
    </w:rPr>
  </w:style>
  <w:style w:type="character" w:customStyle="1" w:styleId="311">
    <w:name w:val="IRMS (F) Char1"/>
    <w:autoRedefine/>
    <w:qFormat/>
    <w:uiPriority w:val="0"/>
    <w:rPr>
      <w:rFonts w:ascii="宋体" w:hAnsi="宋体" w:eastAsia="宋体"/>
      <w:kern w:val="2"/>
      <w:sz w:val="18"/>
      <w:lang w:val="en-US" w:eastAsia="zh-CN"/>
    </w:rPr>
  </w:style>
  <w:style w:type="character" w:customStyle="1" w:styleId="312">
    <w:name w:val="正文文本 3 Char1"/>
    <w:autoRedefine/>
    <w:qFormat/>
    <w:uiPriority w:val="0"/>
    <w:rPr>
      <w:rFonts w:ascii="Times New Roman" w:hAnsi="Times New Roman" w:eastAsia="宋体"/>
      <w:kern w:val="2"/>
      <w:sz w:val="16"/>
    </w:rPr>
  </w:style>
  <w:style w:type="character" w:customStyle="1" w:styleId="313">
    <w:name w:val="Char Char161"/>
    <w:autoRedefine/>
    <w:qFormat/>
    <w:uiPriority w:val="0"/>
    <w:rPr>
      <w:rFonts w:ascii="Times New Roman" w:hAnsi="Times New Roman" w:eastAsia="宋体"/>
      <w:kern w:val="2"/>
      <w:sz w:val="24"/>
    </w:rPr>
  </w:style>
  <w:style w:type="character" w:customStyle="1" w:styleId="314">
    <w:name w:val="textcontents"/>
    <w:autoRedefine/>
    <w:qFormat/>
    <w:uiPriority w:val="0"/>
    <w:rPr>
      <w:rFonts w:ascii="Times New Roman" w:hAnsi="Times New Roman" w:eastAsia="宋体"/>
    </w:rPr>
  </w:style>
  <w:style w:type="character" w:customStyle="1" w:styleId="315">
    <w:name w:val="1page sec3 Char1"/>
    <w:autoRedefine/>
    <w:qFormat/>
    <w:uiPriority w:val="0"/>
    <w:rPr>
      <w:rFonts w:ascii="宋体" w:hAnsi="宋体" w:eastAsia="宋体"/>
      <w:kern w:val="2"/>
      <w:sz w:val="18"/>
      <w:lang w:val="en-US" w:eastAsia="zh-CN"/>
    </w:rPr>
  </w:style>
  <w:style w:type="character" w:customStyle="1" w:styleId="316">
    <w:name w:val="批注主题 Char1"/>
    <w:autoRedefine/>
    <w:qFormat/>
    <w:uiPriority w:val="0"/>
    <w:rPr>
      <w:rFonts w:ascii="Times New Roman" w:hAnsi="Times New Roman" w:eastAsia="宋体"/>
      <w:b/>
      <w:sz w:val="24"/>
    </w:rPr>
  </w:style>
  <w:style w:type="character" w:customStyle="1" w:styleId="317">
    <w:name w:val="Plain Text Char11"/>
    <w:autoRedefine/>
    <w:qFormat/>
    <w:uiPriority w:val="0"/>
    <w:rPr>
      <w:rFonts w:ascii="宋体" w:hAnsi="Courier New" w:eastAsia="宋体"/>
      <w:sz w:val="21"/>
    </w:rPr>
  </w:style>
  <w:style w:type="paragraph" w:customStyle="1" w:styleId="318">
    <w:name w:val="标题 1_0"/>
    <w:basedOn w:val="25"/>
    <w:next w:val="25"/>
    <w:autoRedefine/>
    <w:qFormat/>
    <w:uiPriority w:val="0"/>
    <w:pPr>
      <w:keepNext/>
      <w:keepLines/>
      <w:spacing w:before="340" w:after="330" w:line="576" w:lineRule="auto"/>
      <w:outlineLvl w:val="0"/>
    </w:pPr>
    <w:rPr>
      <w:rFonts w:ascii="Times New Roman" w:hAnsi="Times New Roman"/>
      <w:b/>
      <w:bCs/>
      <w:kern w:val="44"/>
      <w:sz w:val="44"/>
      <w:szCs w:val="44"/>
    </w:rPr>
  </w:style>
  <w:style w:type="character" w:customStyle="1" w:styleId="319">
    <w:name w:val="脚注文本 字符1"/>
    <w:autoRedefine/>
    <w:semiHidden/>
    <w:qFormat/>
    <w:uiPriority w:val="99"/>
    <w:rPr>
      <w:rFonts w:cs="Times New Roman"/>
      <w:kern w:val="2"/>
      <w:sz w:val="18"/>
      <w:szCs w:val="18"/>
    </w:rPr>
  </w:style>
  <w:style w:type="paragraph" w:customStyle="1" w:styleId="320">
    <w:name w:val="页眉与页脚"/>
    <w:autoRedefine/>
    <w:qFormat/>
    <w:uiPriority w:val="99"/>
    <w:pPr>
      <w:tabs>
        <w:tab w:val="right" w:pos="9020"/>
      </w:tabs>
      <w:spacing w:line="400" w:lineRule="exact"/>
      <w:ind w:firstLine="200" w:firstLineChars="200"/>
    </w:pPr>
    <w:rPr>
      <w:rFonts w:ascii="Helvetica Neue" w:hAnsi="Helvetica Neue" w:eastAsia="宋体" w:cs="Arial Unicode MS"/>
      <w:color w:val="000000"/>
      <w:sz w:val="24"/>
      <w:szCs w:val="24"/>
      <w:lang w:val="en-US" w:eastAsia="zh-CN" w:bidi="ar-SA"/>
    </w:rPr>
  </w:style>
  <w:style w:type="character" w:customStyle="1" w:styleId="321">
    <w:name w:val="正文文本缩进 3 字符1"/>
    <w:autoRedefine/>
    <w:semiHidden/>
    <w:qFormat/>
    <w:uiPriority w:val="99"/>
    <w:rPr>
      <w:rFonts w:cs="Times New Roman"/>
      <w:kern w:val="2"/>
      <w:sz w:val="16"/>
      <w:szCs w:val="16"/>
    </w:rPr>
  </w:style>
  <w:style w:type="paragraph" w:customStyle="1" w:styleId="322">
    <w:name w:val="reader-word-layer"/>
    <w:basedOn w:val="1"/>
    <w:autoRedefine/>
    <w:qFormat/>
    <w:uiPriority w:val="0"/>
    <w:pPr>
      <w:widowControl/>
      <w:spacing w:before="100" w:beforeAutospacing="1" w:after="100" w:afterAutospacing="1"/>
      <w:jc w:val="left"/>
    </w:pPr>
    <w:rPr>
      <w:rFonts w:ascii="宋体" w:hAnsi="宋体" w:cs="宋体"/>
      <w:kern w:val="0"/>
      <w:sz w:val="24"/>
    </w:rPr>
  </w:style>
  <w:style w:type="character" w:customStyle="1" w:styleId="323">
    <w:name w:val="正文文本缩进 2 字符1"/>
    <w:autoRedefine/>
    <w:semiHidden/>
    <w:qFormat/>
    <w:uiPriority w:val="99"/>
    <w:rPr>
      <w:rFonts w:cs="Times New Roman"/>
      <w:kern w:val="2"/>
      <w:sz w:val="24"/>
      <w:szCs w:val="24"/>
    </w:rPr>
  </w:style>
  <w:style w:type="character" w:customStyle="1" w:styleId="324">
    <w:name w:val="正文文本 3 字符1"/>
    <w:autoRedefine/>
    <w:semiHidden/>
    <w:qFormat/>
    <w:uiPriority w:val="99"/>
    <w:rPr>
      <w:rFonts w:cs="Times New Roman"/>
      <w:kern w:val="2"/>
      <w:sz w:val="16"/>
      <w:szCs w:val="16"/>
    </w:rPr>
  </w:style>
  <w:style w:type="paragraph" w:customStyle="1" w:styleId="325">
    <w:name w:val="正文 A"/>
    <w:autoRedefine/>
    <w:qFormat/>
    <w:uiPriority w:val="99"/>
    <w:pPr>
      <w:widowControl w:val="0"/>
      <w:spacing w:line="400" w:lineRule="exact"/>
      <w:ind w:firstLine="200" w:firstLineChars="200"/>
      <w:jc w:val="both"/>
    </w:pPr>
    <w:rPr>
      <w:rFonts w:ascii="Times New Roman" w:hAnsi="Times New Roman" w:eastAsia="宋体" w:cs="Arial Unicode MS"/>
      <w:color w:val="000000"/>
      <w:kern w:val="2"/>
      <w:sz w:val="21"/>
      <w:szCs w:val="21"/>
      <w:u w:color="000000"/>
      <w:lang w:val="en-US" w:eastAsia="zh-CN" w:bidi="ar-SA"/>
    </w:rPr>
  </w:style>
  <w:style w:type="character" w:customStyle="1" w:styleId="326">
    <w:name w:val="正文文本缩进 Char"/>
    <w:link w:val="20"/>
    <w:autoRedefine/>
    <w:qFormat/>
    <w:locked/>
    <w:uiPriority w:val="0"/>
    <w:rPr>
      <w:rFonts w:cs="Times New Roman"/>
      <w:kern w:val="2"/>
      <w:sz w:val="24"/>
      <w:szCs w:val="24"/>
    </w:rPr>
  </w:style>
  <w:style w:type="character" w:customStyle="1" w:styleId="327">
    <w:name w:val="正文文本首行缩进 2 字符1"/>
    <w:autoRedefine/>
    <w:semiHidden/>
    <w:qFormat/>
    <w:uiPriority w:val="99"/>
    <w:rPr>
      <w:rFonts w:cs="Times New Roman"/>
      <w:kern w:val="2"/>
      <w:sz w:val="24"/>
      <w:szCs w:val="24"/>
    </w:rPr>
  </w:style>
  <w:style w:type="character" w:customStyle="1" w:styleId="328">
    <w:name w:val="文档结构图 字符1"/>
    <w:autoRedefine/>
    <w:semiHidden/>
    <w:qFormat/>
    <w:uiPriority w:val="99"/>
    <w:rPr>
      <w:rFonts w:ascii="Microsoft YaHei UI" w:eastAsia="Microsoft YaHei UI" w:cs="Times New Roman"/>
      <w:kern w:val="2"/>
      <w:sz w:val="18"/>
      <w:szCs w:val="18"/>
    </w:rPr>
  </w:style>
  <w:style w:type="character" w:customStyle="1" w:styleId="329">
    <w:name w:val="正文文本首行缩进 字符1"/>
    <w:autoRedefine/>
    <w:semiHidden/>
    <w:qFormat/>
    <w:uiPriority w:val="99"/>
    <w:rPr>
      <w:rFonts w:cs="Times New Roman"/>
      <w:kern w:val="2"/>
      <w:sz w:val="24"/>
      <w:szCs w:val="24"/>
    </w:rPr>
  </w:style>
  <w:style w:type="paragraph" w:customStyle="1" w:styleId="330">
    <w:name w:val="2-2ji"/>
    <w:basedOn w:val="2"/>
    <w:autoRedefine/>
    <w:qFormat/>
    <w:uiPriority w:val="0"/>
    <w:pPr>
      <w:spacing w:before="0" w:after="0" w:line="360" w:lineRule="auto"/>
      <w:jc w:val="center"/>
    </w:pPr>
    <w:rPr>
      <w:rFonts w:ascii="宋体" w:hAnsi="宋体" w:eastAsia="宋体"/>
      <w:sz w:val="36"/>
      <w:szCs w:val="24"/>
    </w:rPr>
  </w:style>
  <w:style w:type="paragraph" w:customStyle="1" w:styleId="331">
    <w:name w:val="Address"/>
    <w:basedOn w:val="1"/>
    <w:next w:val="1"/>
    <w:autoRedefine/>
    <w:qFormat/>
    <w:uiPriority w:val="0"/>
    <w:pPr>
      <w:autoSpaceDE w:val="0"/>
      <w:autoSpaceDN w:val="0"/>
      <w:adjustRightInd w:val="0"/>
      <w:jc w:val="left"/>
    </w:pPr>
    <w:rPr>
      <w:i/>
      <w:kern w:val="0"/>
      <w:sz w:val="24"/>
      <w:szCs w:val="20"/>
    </w:rPr>
  </w:style>
  <w:style w:type="character" w:customStyle="1" w:styleId="332">
    <w:name w:val="引用 字符1"/>
    <w:autoRedefine/>
    <w:qFormat/>
    <w:uiPriority w:val="99"/>
    <w:rPr>
      <w:rFonts w:cs="Times New Roman"/>
      <w:i/>
      <w:iCs/>
      <w:color w:val="404040"/>
      <w:kern w:val="2"/>
      <w:sz w:val="24"/>
      <w:szCs w:val="24"/>
    </w:rPr>
  </w:style>
  <w:style w:type="paragraph" w:customStyle="1" w:styleId="333">
    <w:name w:val="_Style 37"/>
    <w:basedOn w:val="1"/>
    <w:next w:val="1"/>
    <w:autoRedefine/>
    <w:qFormat/>
    <w:uiPriority w:val="0"/>
  </w:style>
  <w:style w:type="paragraph" w:customStyle="1" w:styleId="334">
    <w:name w:val="flNote"/>
    <w:basedOn w:val="1"/>
    <w:autoRedefine/>
    <w:qFormat/>
    <w:uiPriority w:val="0"/>
    <w:pPr>
      <w:adjustRightInd w:val="0"/>
      <w:spacing w:before="320" w:after="160" w:line="360" w:lineRule="atLeast"/>
      <w:jc w:val="center"/>
      <w:textAlignment w:val="baseline"/>
    </w:pPr>
    <w:rPr>
      <w:rFonts w:ascii="Arial" w:eastAsia="黑体"/>
      <w:kern w:val="0"/>
      <w:sz w:val="30"/>
      <w:szCs w:val="20"/>
    </w:rPr>
  </w:style>
  <w:style w:type="paragraph" w:customStyle="1" w:styleId="335">
    <w:name w:val="TOC 标题_0"/>
    <w:basedOn w:val="318"/>
    <w:next w:val="25"/>
    <w:autoRedefine/>
    <w:qFormat/>
    <w:uiPriority w:val="0"/>
    <w:pPr>
      <w:outlineLvl w:val="9"/>
    </w:pPr>
    <w:rPr>
      <w:rFonts w:ascii="Calibri" w:hAnsi="Calibri"/>
    </w:rPr>
  </w:style>
  <w:style w:type="paragraph" w:customStyle="1" w:styleId="336">
    <w:name w:val="正文文本_0"/>
    <w:basedOn w:val="25"/>
    <w:autoRedefine/>
    <w:qFormat/>
    <w:uiPriority w:val="0"/>
    <w:pPr>
      <w:adjustRightInd w:val="0"/>
      <w:spacing w:after="60" w:line="360" w:lineRule="atLeast"/>
      <w:ind w:left="72" w:leftChars="30" w:right="30" w:rightChars="30"/>
      <w:jc w:val="center"/>
      <w:textAlignment w:val="baseline"/>
    </w:pPr>
    <w:rPr>
      <w:rFonts w:ascii="Times New Roman" w:hAnsi="Times New Roman"/>
      <w:kern w:val="0"/>
      <w:sz w:val="20"/>
      <w:szCs w:val="20"/>
    </w:rPr>
  </w:style>
  <w:style w:type="paragraph" w:customStyle="1" w:styleId="337">
    <w:name w:val="样式 标题 3 + (中文) 黑体 小四 非加粗 段前: 7.8 磅 段后: 0 磅 行距: 固定值 20 磅"/>
    <w:basedOn w:val="4"/>
    <w:autoRedefine/>
    <w:qFormat/>
    <w:uiPriority w:val="0"/>
    <w:pPr>
      <w:spacing w:before="0" w:after="0" w:line="400" w:lineRule="exact"/>
    </w:pPr>
    <w:rPr>
      <w:rFonts w:cs="宋体"/>
      <w:b w:val="0"/>
      <w:sz w:val="21"/>
    </w:rPr>
  </w:style>
  <w:style w:type="character" w:customStyle="1" w:styleId="338">
    <w:name w:val="副标题 字符1"/>
    <w:autoRedefine/>
    <w:qFormat/>
    <w:uiPriority w:val="99"/>
    <w:rPr>
      <w:rFonts w:ascii="Calibri" w:hAnsi="Calibri" w:eastAsia="宋体" w:cs="Times New Roman"/>
      <w:b/>
      <w:bCs/>
      <w:kern w:val="28"/>
      <w:sz w:val="32"/>
      <w:szCs w:val="32"/>
    </w:rPr>
  </w:style>
  <w:style w:type="paragraph" w:customStyle="1" w:styleId="339">
    <w:name w:val="Char1"/>
    <w:basedOn w:val="1"/>
    <w:autoRedefine/>
    <w:qFormat/>
    <w:uiPriority w:val="0"/>
    <w:pPr>
      <w:widowControl/>
      <w:spacing w:after="160" w:line="240" w:lineRule="exact"/>
      <w:jc w:val="left"/>
    </w:pPr>
  </w:style>
  <w:style w:type="paragraph" w:customStyle="1" w:styleId="340">
    <w:name w:val="列出段落1"/>
    <w:basedOn w:val="1"/>
    <w:autoRedefine/>
    <w:qFormat/>
    <w:uiPriority w:val="0"/>
    <w:pPr>
      <w:ind w:firstLine="420"/>
    </w:pPr>
    <w:rPr>
      <w:rFonts w:ascii="Calibri" w:hAnsi="Calibri"/>
      <w:szCs w:val="22"/>
    </w:rPr>
  </w:style>
  <w:style w:type="paragraph" w:customStyle="1" w:styleId="341">
    <w:name w:val="正文缩进_0"/>
    <w:basedOn w:val="342"/>
    <w:autoRedefine/>
    <w:qFormat/>
    <w:uiPriority w:val="0"/>
    <w:pPr>
      <w:widowControl w:val="0"/>
      <w:ind w:firstLine="420"/>
      <w:jc w:val="both"/>
    </w:pPr>
    <w:rPr>
      <w:kern w:val="2"/>
      <w:u w:val="single"/>
    </w:rPr>
  </w:style>
  <w:style w:type="paragraph" w:customStyle="1" w:styleId="342">
    <w:name w:val="正文_1"/>
    <w:autoRedefine/>
    <w:qFormat/>
    <w:uiPriority w:val="0"/>
    <w:pPr>
      <w:spacing w:line="400" w:lineRule="exact"/>
      <w:ind w:firstLine="200" w:firstLineChars="200"/>
    </w:pPr>
    <w:rPr>
      <w:rFonts w:ascii="Times New Roman" w:hAnsi="Times New Roman" w:eastAsia="宋体" w:cs="Times New Roman"/>
      <w:sz w:val="21"/>
      <w:szCs w:val="22"/>
      <w:lang w:val="en-US" w:eastAsia="zh-CN" w:bidi="ar-SA"/>
    </w:rPr>
  </w:style>
  <w:style w:type="character" w:customStyle="1" w:styleId="343">
    <w:name w:val="正文文本 2 字符1"/>
    <w:autoRedefine/>
    <w:semiHidden/>
    <w:qFormat/>
    <w:uiPriority w:val="99"/>
    <w:rPr>
      <w:rFonts w:cs="Times New Roman"/>
      <w:kern w:val="2"/>
      <w:sz w:val="24"/>
      <w:szCs w:val="24"/>
    </w:rPr>
  </w:style>
  <w:style w:type="paragraph" w:customStyle="1" w:styleId="344">
    <w:name w:val="2"/>
    <w:next w:val="24"/>
    <w:autoRedefine/>
    <w:qFormat/>
    <w:uiPriority w:val="99"/>
    <w:pPr>
      <w:widowControl w:val="0"/>
      <w:tabs>
        <w:tab w:val="right" w:leader="dot" w:pos="8778"/>
      </w:tabs>
      <w:spacing w:line="400" w:lineRule="exact"/>
      <w:ind w:left="420" w:firstLine="200" w:firstLineChars="200"/>
      <w:jc w:val="both"/>
    </w:pPr>
    <w:rPr>
      <w:rFonts w:ascii="Calibri" w:hAnsi="Calibri" w:eastAsia="宋体" w:cs="Calibri"/>
      <w:color w:val="000000"/>
      <w:kern w:val="2"/>
      <w:sz w:val="21"/>
      <w:szCs w:val="21"/>
      <w:u w:color="000000"/>
      <w:lang w:val="en-US" w:eastAsia="zh-CN" w:bidi="ar-SA"/>
    </w:rPr>
  </w:style>
  <w:style w:type="paragraph" w:customStyle="1" w:styleId="345">
    <w:name w:val="表头A"/>
    <w:basedOn w:val="1"/>
    <w:autoRedefine/>
    <w:qFormat/>
    <w:uiPriority w:val="99"/>
    <w:pPr>
      <w:spacing w:before="160" w:after="60" w:line="312" w:lineRule="exact"/>
      <w:jc w:val="center"/>
    </w:pPr>
    <w:rPr>
      <w:rFonts w:ascii="EU-F1" w:eastAsia="黑体"/>
      <w:kern w:val="21"/>
      <w:szCs w:val="21"/>
    </w:rPr>
  </w:style>
  <w:style w:type="paragraph" w:customStyle="1" w:styleId="346">
    <w:name w:val="标题 3_0"/>
    <w:basedOn w:val="25"/>
    <w:next w:val="25"/>
    <w:autoRedefine/>
    <w:qFormat/>
    <w:uiPriority w:val="0"/>
    <w:pPr>
      <w:keepNext/>
      <w:keepLines/>
      <w:spacing w:before="260" w:after="260" w:line="413" w:lineRule="auto"/>
      <w:outlineLvl w:val="2"/>
    </w:pPr>
    <w:rPr>
      <w:rFonts w:ascii="Times New Roman" w:hAnsi="Times New Roman"/>
      <w:b/>
      <w:bCs/>
      <w:sz w:val="32"/>
      <w:szCs w:val="32"/>
    </w:rPr>
  </w:style>
  <w:style w:type="character" w:customStyle="1" w:styleId="347">
    <w:name w:val="HTML 预设格式 字符1"/>
    <w:autoRedefine/>
    <w:semiHidden/>
    <w:qFormat/>
    <w:uiPriority w:val="99"/>
    <w:rPr>
      <w:rFonts w:ascii="Courier New" w:hAnsi="Courier New" w:cs="Courier New"/>
      <w:kern w:val="2"/>
    </w:rPr>
  </w:style>
  <w:style w:type="paragraph" w:customStyle="1" w:styleId="348">
    <w:name w:val="空半行"/>
    <w:basedOn w:val="1"/>
    <w:autoRedefine/>
    <w:qFormat/>
    <w:uiPriority w:val="0"/>
    <w:pPr>
      <w:adjustRightInd w:val="0"/>
      <w:spacing w:line="120" w:lineRule="exact"/>
      <w:textAlignment w:val="baseline"/>
    </w:pPr>
    <w:rPr>
      <w:rFonts w:eastAsia="仿宋_GB2312"/>
      <w:color w:val="FFFFFF"/>
      <w:kern w:val="0"/>
      <w:sz w:val="30"/>
      <w:szCs w:val="20"/>
    </w:rPr>
  </w:style>
  <w:style w:type="paragraph" w:customStyle="1" w:styleId="349">
    <w:name w:val="TOC 标题1"/>
    <w:basedOn w:val="3"/>
    <w:next w:val="1"/>
    <w:autoRedefine/>
    <w:qFormat/>
    <w:uiPriority w:val="0"/>
    <w:pPr>
      <w:keepLines/>
      <w:widowControl/>
      <w:autoSpaceDE/>
      <w:autoSpaceDN/>
      <w:adjustRightInd/>
      <w:spacing w:before="480" w:after="0" w:line="276" w:lineRule="auto"/>
      <w:outlineLvl w:val="9"/>
    </w:pPr>
    <w:rPr>
      <w:rFonts w:ascii="Cambria" w:hAnsi="Cambria"/>
      <w:bCs/>
      <w:color w:val="365F91"/>
      <w:kern w:val="0"/>
      <w:szCs w:val="28"/>
    </w:rPr>
  </w:style>
  <w:style w:type="paragraph" w:customStyle="1" w:styleId="350">
    <w:name w:val="1"/>
    <w:basedOn w:val="1"/>
    <w:next w:val="1"/>
    <w:autoRedefine/>
    <w:qFormat/>
    <w:uiPriority w:val="0"/>
  </w:style>
  <w:style w:type="paragraph" w:customStyle="1" w:styleId="351">
    <w:name w:val="Table Paragraph"/>
    <w:basedOn w:val="1"/>
    <w:autoRedefine/>
    <w:qFormat/>
    <w:uiPriority w:val="99"/>
    <w:pPr>
      <w:autoSpaceDE w:val="0"/>
      <w:autoSpaceDN w:val="0"/>
      <w:jc w:val="left"/>
    </w:pPr>
    <w:rPr>
      <w:rFonts w:ascii="宋体" w:hAnsi="宋体" w:cs="宋体"/>
      <w:kern w:val="0"/>
      <w:sz w:val="22"/>
      <w:szCs w:val="22"/>
      <w:lang w:val="zh-CN"/>
    </w:rPr>
  </w:style>
  <w:style w:type="paragraph" w:customStyle="1" w:styleId="352">
    <w:name w:val="p0"/>
    <w:basedOn w:val="1"/>
    <w:autoRedefine/>
    <w:qFormat/>
    <w:uiPriority w:val="0"/>
    <w:pPr>
      <w:widowControl/>
    </w:pPr>
    <w:rPr>
      <w:rFonts w:ascii="Calibri" w:hAnsi="Calibri" w:cs="宋体"/>
      <w:kern w:val="0"/>
      <w:szCs w:val="21"/>
    </w:rPr>
  </w:style>
  <w:style w:type="character" w:customStyle="1" w:styleId="353">
    <w:name w:val="明显引用 字符1"/>
    <w:autoRedefine/>
    <w:qFormat/>
    <w:uiPriority w:val="99"/>
    <w:rPr>
      <w:rFonts w:cs="Times New Roman"/>
      <w:i/>
      <w:iCs/>
      <w:color w:val="5B9BD5"/>
      <w:kern w:val="2"/>
      <w:sz w:val="24"/>
      <w:szCs w:val="24"/>
    </w:rPr>
  </w:style>
  <w:style w:type="character" w:customStyle="1" w:styleId="354">
    <w:name w:val="标题 字符1"/>
    <w:autoRedefine/>
    <w:qFormat/>
    <w:uiPriority w:val="99"/>
    <w:rPr>
      <w:rFonts w:ascii="Calibri Light" w:hAnsi="Calibri Light" w:eastAsia="宋体" w:cs="Times New Roman"/>
      <w:b/>
      <w:bCs/>
      <w:kern w:val="2"/>
      <w:sz w:val="32"/>
      <w:szCs w:val="32"/>
    </w:rPr>
  </w:style>
  <w:style w:type="paragraph" w:customStyle="1" w:styleId="355">
    <w:name w:val="样式 标题 2 + Times New Roman 四号 非加粗 段前: 5 磅 段后: 0 磅 行距: 固定值 20..."/>
    <w:basedOn w:val="2"/>
    <w:autoRedefine/>
    <w:qFormat/>
    <w:uiPriority w:val="0"/>
    <w:pPr>
      <w:spacing w:before="100" w:after="0" w:line="400" w:lineRule="exact"/>
    </w:pPr>
    <w:rPr>
      <w:rFonts w:ascii="Times New Roman" w:hAnsi="Times New Roman" w:eastAsia="宋体" w:cs="宋体"/>
      <w:b w:val="0"/>
      <w:kern w:val="0"/>
      <w:sz w:val="28"/>
    </w:rPr>
  </w:style>
  <w:style w:type="character" w:customStyle="1" w:styleId="356">
    <w:name w:val="尾注文本 字符1"/>
    <w:autoRedefine/>
    <w:semiHidden/>
    <w:qFormat/>
    <w:uiPriority w:val="99"/>
    <w:rPr>
      <w:rFonts w:cs="Times New Roman"/>
      <w:kern w:val="2"/>
      <w:sz w:val="24"/>
      <w:szCs w:val="24"/>
    </w:rPr>
  </w:style>
  <w:style w:type="paragraph" w:customStyle="1" w:styleId="357">
    <w:name w:val="Blockquote"/>
    <w:basedOn w:val="1"/>
    <w:autoRedefine/>
    <w:qFormat/>
    <w:uiPriority w:val="0"/>
    <w:pPr>
      <w:autoSpaceDE w:val="0"/>
      <w:autoSpaceDN w:val="0"/>
      <w:adjustRightInd w:val="0"/>
      <w:spacing w:before="100" w:after="100"/>
      <w:ind w:left="360" w:right="360"/>
      <w:jc w:val="left"/>
    </w:pPr>
    <w:rPr>
      <w:kern w:val="0"/>
      <w:sz w:val="24"/>
      <w:szCs w:val="20"/>
    </w:rPr>
  </w:style>
  <w:style w:type="paragraph" w:customStyle="1" w:styleId="358">
    <w:name w:val="标题_0"/>
    <w:basedOn w:val="342"/>
    <w:autoRedefine/>
    <w:qFormat/>
    <w:uiPriority w:val="0"/>
    <w:pPr>
      <w:spacing w:before="120" w:after="120" w:line="360" w:lineRule="auto"/>
      <w:jc w:val="center"/>
      <w:outlineLvl w:val="0"/>
    </w:pPr>
    <w:rPr>
      <w:rFonts w:ascii="黑体" w:hAnsi="Arial" w:eastAsia="黑体"/>
      <w:b/>
      <w:bCs/>
      <w:kern w:val="2"/>
      <w:sz w:val="32"/>
      <w:szCs w:val="32"/>
    </w:rPr>
  </w:style>
  <w:style w:type="paragraph" w:customStyle="1" w:styleId="359">
    <w:name w:val="Char Char Char Char"/>
    <w:basedOn w:val="1"/>
    <w:autoRedefine/>
    <w:qFormat/>
    <w:uiPriority w:val="0"/>
    <w:pPr>
      <w:widowControl/>
      <w:spacing w:line="500" w:lineRule="exact"/>
      <w:outlineLvl w:val="2"/>
    </w:pPr>
    <w:rPr>
      <w:rFonts w:ascii="黑体" w:hAnsi="Verdana" w:eastAsia="黑体" w:cs="黑体"/>
      <w:kern w:val="0"/>
      <w:sz w:val="28"/>
      <w:szCs w:val="28"/>
      <w:lang w:eastAsia="en-US"/>
    </w:rPr>
  </w:style>
  <w:style w:type="paragraph" w:customStyle="1" w:styleId="360">
    <w:name w:val="标题 4_0"/>
    <w:basedOn w:val="25"/>
    <w:next w:val="25"/>
    <w:autoRedefine/>
    <w:qFormat/>
    <w:uiPriority w:val="0"/>
    <w:pPr>
      <w:keepNext/>
      <w:keepLines/>
      <w:spacing w:before="280" w:after="290" w:line="372" w:lineRule="auto"/>
      <w:outlineLvl w:val="3"/>
    </w:pPr>
    <w:rPr>
      <w:rFonts w:ascii="Cambria" w:hAnsi="Cambria"/>
      <w:b/>
      <w:bCs/>
      <w:sz w:val="28"/>
      <w:szCs w:val="28"/>
    </w:rPr>
  </w:style>
  <w:style w:type="paragraph" w:customStyle="1" w:styleId="361">
    <w:name w:val="无间隔1"/>
    <w:autoRedefine/>
    <w:qFormat/>
    <w:uiPriority w:val="0"/>
    <w:pPr>
      <w:widowControl w:val="0"/>
      <w:spacing w:line="400" w:lineRule="exact"/>
      <w:ind w:firstLine="200" w:firstLineChars="200"/>
      <w:jc w:val="both"/>
    </w:pPr>
    <w:rPr>
      <w:rFonts w:ascii="Times New Roman" w:hAnsi="Times New Roman" w:eastAsia="宋体" w:cs="Times New Roman"/>
      <w:kern w:val="2"/>
      <w:sz w:val="21"/>
      <w:szCs w:val="24"/>
      <w:lang w:val="en-US" w:eastAsia="zh-CN" w:bidi="ar-SA"/>
    </w:rPr>
  </w:style>
  <w:style w:type="paragraph" w:customStyle="1" w:styleId="362">
    <w:name w:val="TOC 标题2"/>
    <w:basedOn w:val="3"/>
    <w:next w:val="1"/>
    <w:autoRedefine/>
    <w:qFormat/>
    <w:uiPriority w:val="99"/>
    <w:pPr>
      <w:keepLines/>
      <w:autoSpaceDE/>
      <w:autoSpaceDN/>
      <w:adjustRightInd/>
      <w:spacing w:before="340" w:after="330" w:line="576" w:lineRule="auto"/>
      <w:jc w:val="both"/>
      <w:outlineLvl w:val="9"/>
    </w:pPr>
    <w:rPr>
      <w:rFonts w:ascii="Calibri" w:hAnsi="Calibri"/>
      <w:bCs/>
      <w:kern w:val="44"/>
      <w:sz w:val="44"/>
      <w:szCs w:val="44"/>
    </w:rPr>
  </w:style>
  <w:style w:type="paragraph" w:customStyle="1" w:styleId="363">
    <w:name w:val="Char Char Char Char Char Char Char"/>
    <w:basedOn w:val="1"/>
    <w:autoRedefine/>
    <w:qFormat/>
    <w:uiPriority w:val="0"/>
    <w:pPr>
      <w:widowControl/>
      <w:spacing w:after="160" w:line="240" w:lineRule="exact"/>
      <w:jc w:val="left"/>
    </w:pPr>
  </w:style>
  <w:style w:type="table" w:customStyle="1" w:styleId="364">
    <w:name w:val="Table Normal1"/>
    <w:autoRedefine/>
    <w:qFormat/>
    <w:uiPriority w:val="99"/>
    <w:tblPr>
      <w:tblCellMar>
        <w:top w:w="0" w:type="dxa"/>
        <w:left w:w="0" w:type="dxa"/>
        <w:bottom w:w="0" w:type="dxa"/>
        <w:right w:w="0" w:type="dxa"/>
      </w:tblCellMar>
    </w:tblPr>
  </w:style>
  <w:style w:type="paragraph" w:customStyle="1" w:styleId="365">
    <w:name w:val="普通正文"/>
    <w:basedOn w:val="1"/>
    <w:autoRedefine/>
    <w:qFormat/>
    <w:uiPriority w:val="99"/>
    <w:pPr>
      <w:adjustRightInd w:val="0"/>
      <w:spacing w:before="120" w:after="120" w:line="360" w:lineRule="auto"/>
      <w:ind w:firstLine="480"/>
      <w:jc w:val="left"/>
      <w:textAlignment w:val="baseline"/>
    </w:pPr>
    <w:rPr>
      <w:rFonts w:ascii="Arial" w:hAnsi="Arial"/>
      <w:kern w:val="0"/>
      <w:sz w:val="24"/>
    </w:rPr>
  </w:style>
  <w:style w:type="table" w:customStyle="1" w:styleId="366">
    <w:name w:val="Table Normal"/>
    <w:autoRedefine/>
    <w:unhideWhenUsed/>
    <w:qFormat/>
    <w:uiPriority w:val="0"/>
    <w:rPr>
      <w:rFonts w:ascii="Calibri" w:hAnsi="Calibri"/>
    </w:rPr>
    <w:tblPr>
      <w:tblCellMar>
        <w:top w:w="0" w:type="dxa"/>
        <w:left w:w="0" w:type="dxa"/>
        <w:bottom w:w="0" w:type="dxa"/>
        <w:right w:w="0" w:type="dxa"/>
      </w:tblCellMar>
    </w:tblPr>
  </w:style>
  <w:style w:type="table" w:customStyle="1" w:styleId="367">
    <w:name w:val="Table Normal2"/>
    <w:autoRedefine/>
    <w:unhideWhenUsed/>
    <w:qFormat/>
    <w:uiPriority w:val="0"/>
    <w:rPr>
      <w:rFonts w:ascii="Calibri" w:hAnsi="Calibri"/>
    </w:rPr>
    <w:tblPr>
      <w:tblCellMar>
        <w:top w:w="0" w:type="dxa"/>
        <w:left w:w="0" w:type="dxa"/>
        <w:bottom w:w="0" w:type="dxa"/>
        <w:right w:w="0" w:type="dxa"/>
      </w:tblCellMar>
    </w:tblPr>
  </w:style>
  <w:style w:type="character" w:customStyle="1" w:styleId="368">
    <w:name w:val="不明显强调2"/>
    <w:autoRedefine/>
    <w:qFormat/>
    <w:uiPriority w:val="0"/>
    <w:rPr>
      <w:i/>
      <w:iCs/>
      <w:color w:val="808080"/>
    </w:rPr>
  </w:style>
  <w:style w:type="character" w:customStyle="1" w:styleId="369">
    <w:name w:val="Quote Char"/>
    <w:autoRedefine/>
    <w:qFormat/>
    <w:uiPriority w:val="0"/>
    <w:rPr>
      <w:i/>
      <w:color w:val="000000"/>
      <w:kern w:val="2"/>
      <w:sz w:val="21"/>
      <w:szCs w:val="24"/>
    </w:rPr>
  </w:style>
  <w:style w:type="character" w:customStyle="1" w:styleId="370">
    <w:name w:val="明显强调3"/>
    <w:autoRedefine/>
    <w:qFormat/>
    <w:uiPriority w:val="0"/>
    <w:rPr>
      <w:b/>
      <w:bCs/>
      <w:i/>
      <w:iCs/>
      <w:color w:val="4F81BD"/>
    </w:rPr>
  </w:style>
  <w:style w:type="character" w:customStyle="1" w:styleId="371">
    <w:name w:val="不明显参考2"/>
    <w:autoRedefine/>
    <w:qFormat/>
    <w:uiPriority w:val="0"/>
    <w:rPr>
      <w:smallCaps/>
      <w:color w:val="C0504D"/>
      <w:u w:val="single"/>
    </w:rPr>
  </w:style>
  <w:style w:type="character" w:customStyle="1" w:styleId="372">
    <w:name w:val="明显参考3"/>
    <w:autoRedefine/>
    <w:qFormat/>
    <w:uiPriority w:val="0"/>
    <w:rPr>
      <w:b/>
      <w:bCs/>
      <w:smallCaps/>
      <w:color w:val="C0504D"/>
      <w:spacing w:val="5"/>
      <w:u w:val="single"/>
    </w:rPr>
  </w:style>
  <w:style w:type="character" w:customStyle="1" w:styleId="373">
    <w:name w:val="书籍标题3"/>
    <w:autoRedefine/>
    <w:qFormat/>
    <w:uiPriority w:val="0"/>
    <w:rPr>
      <w:b/>
      <w:bCs/>
      <w:smallCaps/>
      <w:spacing w:val="5"/>
    </w:rPr>
  </w:style>
  <w:style w:type="character" w:customStyle="1" w:styleId="374">
    <w:name w:val="未处理的提及"/>
    <w:autoRedefine/>
    <w:qFormat/>
    <w:uiPriority w:val="0"/>
    <w:rPr>
      <w:color w:val="808080"/>
      <w:shd w:val="clear" w:color="auto" w:fill="E6E6E6"/>
    </w:rPr>
  </w:style>
  <w:style w:type="paragraph" w:customStyle="1" w:styleId="375">
    <w:name w:val="样式1"/>
    <w:basedOn w:val="1"/>
    <w:next w:val="5"/>
    <w:autoRedefine/>
    <w:qFormat/>
    <w:uiPriority w:val="0"/>
    <w:pPr>
      <w:spacing w:line="360" w:lineRule="auto"/>
      <w:ind w:firstLine="420"/>
    </w:pPr>
    <w:rPr>
      <w:rFonts w:ascii="宋体" w:hAnsi="宋体"/>
      <w:szCs w:val="21"/>
    </w:rPr>
  </w:style>
  <w:style w:type="paragraph" w:customStyle="1" w:styleId="376">
    <w:name w:val="TOC 标题3"/>
    <w:basedOn w:val="3"/>
    <w:next w:val="1"/>
    <w:autoRedefine/>
    <w:qFormat/>
    <w:uiPriority w:val="0"/>
    <w:pPr>
      <w:keepLines/>
      <w:autoSpaceDE/>
      <w:autoSpaceDN/>
      <w:adjustRightInd/>
      <w:spacing w:before="340" w:after="330" w:line="576" w:lineRule="auto"/>
      <w:jc w:val="both"/>
      <w:outlineLvl w:val="9"/>
    </w:pPr>
    <w:rPr>
      <w:rFonts w:ascii="Calibri" w:hAnsi="Calibri"/>
      <w:bCs/>
      <w:kern w:val="44"/>
      <w:sz w:val="44"/>
      <w:szCs w:val="44"/>
    </w:rPr>
  </w:style>
  <w:style w:type="paragraph" w:customStyle="1" w:styleId="377">
    <w:name w:val="修订2"/>
    <w:autoRedefine/>
    <w:qFormat/>
    <w:uiPriority w:val="0"/>
    <w:pPr>
      <w:spacing w:line="400" w:lineRule="exact"/>
      <w:ind w:firstLine="200" w:firstLineChars="200"/>
    </w:pPr>
    <w:rPr>
      <w:rFonts w:ascii="Times New Roman" w:hAnsi="Times New Roman" w:eastAsia="宋体" w:cs="Times New Roman"/>
      <w:kern w:val="2"/>
      <w:sz w:val="21"/>
      <w:szCs w:val="24"/>
      <w:lang w:val="en-US" w:eastAsia="zh-CN" w:bidi="ar-SA"/>
    </w:rPr>
  </w:style>
  <w:style w:type="paragraph" w:customStyle="1" w:styleId="378">
    <w:name w:val="TOC 标题4"/>
    <w:basedOn w:val="3"/>
    <w:next w:val="1"/>
    <w:autoRedefine/>
    <w:semiHidden/>
    <w:unhideWhenUsed/>
    <w:qFormat/>
    <w:uiPriority w:val="39"/>
    <w:pPr>
      <w:keepLines/>
      <w:widowControl/>
      <w:autoSpaceDE/>
      <w:autoSpaceDN/>
      <w:adjustRightInd/>
      <w:spacing w:before="480" w:after="0" w:line="276" w:lineRule="auto"/>
      <w:outlineLvl w:val="9"/>
    </w:pPr>
    <w:rPr>
      <w:rFonts w:asciiTheme="majorHAnsi" w:hAnsiTheme="majorHAnsi" w:eastAsiaTheme="majorEastAsia" w:cstheme="majorBidi"/>
      <w:bCs/>
      <w:color w:val="366091" w:themeColor="accent1" w:themeShade="BF"/>
      <w:kern w:val="0"/>
      <w:sz w:val="28"/>
      <w:szCs w:val="28"/>
    </w:rPr>
  </w:style>
  <w:style w:type="paragraph" w:customStyle="1" w:styleId="379">
    <w:name w:val="列表段落"/>
    <w:basedOn w:val="1"/>
    <w:autoRedefine/>
    <w:qFormat/>
    <w:uiPriority w:val="0"/>
    <w:pPr>
      <w:ind w:firstLine="420"/>
    </w:pPr>
    <w:rPr>
      <w:rFonts w:ascii="Calibri" w:hAnsi="Calibri" w:cs="Calibri"/>
      <w:szCs w:val="21"/>
    </w:rPr>
  </w:style>
  <w:style w:type="character" w:customStyle="1" w:styleId="380">
    <w:name w:val="font71"/>
    <w:basedOn w:val="51"/>
    <w:autoRedefine/>
    <w:qFormat/>
    <w:uiPriority w:val="0"/>
    <w:rPr>
      <w:rFonts w:hint="default" w:ascii="Times New Roman" w:hAnsi="Times New Roman" w:cs="Times New Roman"/>
      <w:color w:val="000000"/>
      <w:sz w:val="28"/>
      <w:szCs w:val="28"/>
      <w:u w:val="none"/>
    </w:rPr>
  </w:style>
  <w:style w:type="paragraph" w:customStyle="1" w:styleId="381">
    <w:name w:val="Heading 4"/>
    <w:autoRedefine/>
    <w:qFormat/>
    <w:uiPriority w:val="0"/>
    <w:pPr>
      <w:widowControl w:val="0"/>
      <w:pBdr>
        <w:top w:val="none" w:color="auto" w:sz="0" w:space="0"/>
        <w:left w:val="none" w:color="auto" w:sz="0" w:space="0"/>
        <w:bottom w:val="none" w:color="auto" w:sz="0" w:space="0"/>
        <w:right w:val="none" w:color="auto" w:sz="0" w:space="0"/>
        <w:between w:val="none" w:color="auto" w:sz="0" w:space="0"/>
      </w:pBdr>
      <w:jc w:val="both"/>
      <w:outlineLvl w:val="2"/>
    </w:pPr>
    <w:rPr>
      <w:rFonts w:ascii="Times New Roman" w:hAnsi="Times New Roman" w:eastAsia="Arial Unicode MS" w:cs="Arial Unicode MS"/>
      <w:color w:val="000000"/>
      <w:u w:color="000000"/>
      <w:lang w:val="zh-CN" w:eastAsia="zh-CN" w:bidi="ar-SA"/>
    </w:rPr>
  </w:style>
  <w:style w:type="character" w:customStyle="1" w:styleId="382">
    <w:name w:val="font81"/>
    <w:basedOn w:val="51"/>
    <w:autoRedefine/>
    <w:qFormat/>
    <w:uiPriority w:val="0"/>
    <w:rPr>
      <w:rFonts w:hint="eastAsia" w:ascii="宋体" w:hAnsi="宋体" w:eastAsia="宋体" w:cs="宋体"/>
      <w:color w:val="000000"/>
      <w:sz w:val="22"/>
      <w:szCs w:val="22"/>
      <w:u w:val="single"/>
    </w:rPr>
  </w:style>
  <w:style w:type="character" w:customStyle="1" w:styleId="383">
    <w:name w:val="font61"/>
    <w:basedOn w:val="51"/>
    <w:autoRedefine/>
    <w:qFormat/>
    <w:uiPriority w:val="0"/>
    <w:rPr>
      <w:rFonts w:hint="eastAsia" w:ascii="宋体" w:hAnsi="宋体" w:eastAsia="宋体" w:cs="宋体"/>
      <w:color w:val="000000"/>
      <w:sz w:val="22"/>
      <w:szCs w:val="22"/>
      <w:u w:val="none"/>
    </w:rPr>
  </w:style>
  <w:style w:type="character" w:customStyle="1" w:styleId="384">
    <w:name w:val="font91"/>
    <w:basedOn w:val="51"/>
    <w:autoRedefine/>
    <w:qFormat/>
    <w:uiPriority w:val="0"/>
    <w:rPr>
      <w:rFonts w:hint="eastAsia" w:ascii="宋体" w:hAnsi="宋体" w:eastAsia="宋体" w:cs="宋体"/>
      <w:color w:val="000000"/>
      <w:sz w:val="18"/>
      <w:szCs w:val="18"/>
      <w:u w:val="single"/>
    </w:rPr>
  </w:style>
  <w:style w:type="character" w:customStyle="1" w:styleId="385">
    <w:name w:val="font31"/>
    <w:basedOn w:val="51"/>
    <w:autoRedefine/>
    <w:qFormat/>
    <w:uiPriority w:val="0"/>
    <w:rPr>
      <w:rFonts w:hint="eastAsia" w:ascii="宋体" w:hAnsi="宋体" w:eastAsia="宋体" w:cs="宋体"/>
      <w:color w:val="000000"/>
      <w:sz w:val="18"/>
      <w:szCs w:val="18"/>
      <w:u w:val="none"/>
    </w:rPr>
  </w:style>
  <w:style w:type="character" w:customStyle="1" w:styleId="386">
    <w:name w:val="font101"/>
    <w:basedOn w:val="51"/>
    <w:autoRedefine/>
    <w:qFormat/>
    <w:uiPriority w:val="0"/>
    <w:rPr>
      <w:rFonts w:hint="eastAsia" w:ascii="宋体" w:hAnsi="宋体" w:eastAsia="宋体" w:cs="宋体"/>
      <w:color w:val="FF0000"/>
      <w:sz w:val="22"/>
      <w:szCs w:val="22"/>
      <w:u w:val="none"/>
    </w:rPr>
  </w:style>
  <w:style w:type="paragraph" w:customStyle="1" w:styleId="387">
    <w:name w:val="WPSOffice手动目录 1"/>
    <w:autoRedefine/>
    <w:qFormat/>
    <w:uiPriority w:val="0"/>
    <w:pPr>
      <w:ind w:leftChars="0"/>
    </w:pPr>
    <w:rPr>
      <w:rFonts w:ascii="Times New Roman" w:hAnsi="Times New Roman" w:eastAsia="宋体" w:cs="Times New Roman"/>
      <w:sz w:val="20"/>
      <w:szCs w:val="20"/>
    </w:rPr>
  </w:style>
  <w:style w:type="paragraph" w:customStyle="1" w:styleId="388">
    <w:name w:val="WPSOffice手动目录 2"/>
    <w:autoRedefine/>
    <w:qFormat/>
    <w:uiPriority w:val="0"/>
    <w:pPr>
      <w:ind w:leftChars="200"/>
    </w:pPr>
    <w:rPr>
      <w:rFonts w:ascii="Times New Roman" w:hAnsi="Times New Roman" w:eastAsia="宋体" w:cs="Times New Roman"/>
      <w:sz w:val="20"/>
      <w:szCs w:val="20"/>
    </w:rPr>
  </w:style>
  <w:style w:type="paragraph" w:customStyle="1" w:styleId="389">
    <w:name w:val="段"/>
    <w:autoRedefine/>
    <w:qFormat/>
    <w:uiPriority w:val="0"/>
    <w:pPr>
      <w:spacing w:line="440" w:lineRule="exact"/>
      <w:ind w:firstLine="200" w:firstLineChars="200"/>
    </w:pPr>
    <w:rPr>
      <w:rFonts w:ascii="宋体" w:hAnsi="Times New Roman" w:eastAsia="宋体" w:cs="Times New Roman"/>
      <w:sz w:val="24"/>
      <w:lang w:val="en-US" w:eastAsia="zh-CN" w:bidi="ar-SA"/>
    </w:rPr>
  </w:style>
  <w:style w:type="paragraph" w:customStyle="1" w:styleId="390">
    <w:name w:val="默认 A"/>
    <w:autoRedefine/>
    <w:qFormat/>
    <w:uiPriority w:val="0"/>
    <w:rPr>
      <w:rFonts w:ascii="Helvetica Neue" w:hAnsi="Helvetica Neue" w:eastAsia="Arial Unicode MS" w:cs="Arial Unicode MS"/>
      <w:color w:val="000000"/>
      <w:sz w:val="22"/>
      <w:szCs w:val="22"/>
      <w:lang w:val="zh-TW" w:eastAsia="zh-TW" w:bidi="ar-SA"/>
    </w:rPr>
  </w:style>
  <w:style w:type="paragraph" w:customStyle="1" w:styleId="391">
    <w:name w:val="Other|1"/>
    <w:basedOn w:val="1"/>
    <w:autoRedefine/>
    <w:qFormat/>
    <w:uiPriority w:val="0"/>
    <w:pPr>
      <w:widowControl w:val="0"/>
      <w:shd w:val="clear" w:color="auto" w:fill="auto"/>
    </w:pPr>
    <w:rPr>
      <w:rFonts w:ascii="宋体" w:hAnsi="宋体" w:eastAsia="宋体" w:cs="宋体"/>
      <w:sz w:val="17"/>
      <w:szCs w:val="17"/>
      <w:u w:val="none"/>
      <w:shd w:val="clear" w:color="auto" w:fill="auto"/>
      <w:lang w:val="zh-TW" w:eastAsia="zh-TW" w:bidi="zh-TW"/>
    </w:rPr>
  </w:style>
  <w:style w:type="paragraph" w:customStyle="1" w:styleId="392">
    <w:name w:val="TOC Heading"/>
    <w:basedOn w:val="3"/>
    <w:next w:val="1"/>
    <w:autoRedefine/>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393">
    <w:name w:val="font11"/>
    <w:basedOn w:val="51"/>
    <w:autoRedefine/>
    <w:qFormat/>
    <w:uiPriority w:val="0"/>
    <w:rPr>
      <w:rFonts w:hint="eastAsia" w:ascii="宋体" w:hAnsi="宋体" w:eastAsia="宋体" w:cs="宋体"/>
      <w:color w:val="000000"/>
      <w:sz w:val="18"/>
      <w:szCs w:val="18"/>
      <w:u w:val="none"/>
    </w:rPr>
  </w:style>
  <w:style w:type="character" w:customStyle="1" w:styleId="394">
    <w:name w:val="标题 2 字符"/>
    <w:link w:val="2"/>
    <w:autoRedefine/>
    <w:qFormat/>
    <w:locked/>
    <w:uiPriority w:val="99"/>
    <w:rPr>
      <w:rFonts w:ascii="Arial" w:hAnsi="Arial" w:eastAsia="黑体"/>
      <w:b/>
      <w:sz w:val="32"/>
      <w:szCs w:val="20"/>
    </w:rPr>
  </w:style>
  <w:style w:type="paragraph" w:customStyle="1" w:styleId="395">
    <w:name w:val="Table Text"/>
    <w:basedOn w:val="1"/>
    <w:semiHidden/>
    <w:qFormat/>
    <w:uiPriority w:val="0"/>
    <w:rPr>
      <w:rFonts w:ascii="宋体" w:hAnsi="宋体" w:eastAsia="宋体" w:cs="宋体"/>
      <w:sz w:val="20"/>
      <w:szCs w:val="20"/>
      <w:lang w:val="en-US" w:eastAsia="en-US" w:bidi="ar-SA"/>
    </w:rPr>
  </w:style>
  <w:style w:type="paragraph" w:customStyle="1" w:styleId="396">
    <w:name w:val="标书正文"/>
    <w:basedOn w:val="1"/>
    <w:autoRedefine/>
    <w:qFormat/>
    <w:uiPriority w:val="0"/>
    <w:pPr>
      <w:adjustRightInd w:val="0"/>
      <w:snapToGrid w:val="0"/>
      <w:spacing w:line="360" w:lineRule="auto"/>
    </w:pPr>
    <w:rPr>
      <w:rFonts w:ascii="宋体" w:hAnsi="宋体" w:eastAsia="新宋体" w:cs="新宋体"/>
      <w:sz w:val="24"/>
      <w:szCs w:val="22"/>
    </w:rPr>
  </w:style>
  <w:style w:type="paragraph" w:customStyle="1" w:styleId="397">
    <w:name w:val="列表段落1"/>
    <w:qFormat/>
    <w:uiPriority w:val="34"/>
    <w:pPr>
      <w:widowControl w:val="0"/>
      <w:adjustRightInd w:val="0"/>
      <w:spacing w:line="312" w:lineRule="atLeast"/>
      <w:ind w:firstLine="420" w:firstLineChars="200"/>
      <w:jc w:val="both"/>
      <w:textAlignment w:val="baseline"/>
    </w:pPr>
    <w:rPr>
      <w:rFonts w:ascii="Times New Roman" w:hAnsi="Times New Roman" w:eastAsia="宋体" w:cs="Times New Roman"/>
      <w:kern w:val="0"/>
      <w:sz w:val="21"/>
      <w:szCs w:val="20"/>
      <w:lang w:val="en-US" w:eastAsia="zh-CN" w:bidi="ar-SA"/>
    </w:rPr>
  </w:style>
  <w:style w:type="character" w:customStyle="1" w:styleId="398">
    <w:name w:val="font21"/>
    <w:basedOn w:val="51"/>
    <w:qFormat/>
    <w:uiPriority w:val="0"/>
    <w:rPr>
      <w:rFonts w:hint="default" w:ascii="Times New Roman" w:hAnsi="Times New Roman" w:cs="Times New Roman"/>
      <w:b/>
      <w:bCs/>
      <w:color w:val="000000"/>
      <w:sz w:val="24"/>
      <w:szCs w:val="24"/>
      <w:u w:val="none"/>
    </w:rPr>
  </w:style>
  <w:style w:type="character" w:customStyle="1" w:styleId="399">
    <w:name w:val="font112"/>
    <w:basedOn w:val="51"/>
    <w:qFormat/>
    <w:uiPriority w:val="0"/>
    <w:rPr>
      <w:rFonts w:hint="eastAsia" w:ascii="宋体" w:hAnsi="宋体" w:eastAsia="宋体" w:cs="宋体"/>
      <w:color w:val="000000"/>
      <w:sz w:val="18"/>
      <w:szCs w:val="18"/>
      <w:u w:val="none"/>
    </w:rPr>
  </w:style>
  <w:style w:type="character" w:customStyle="1" w:styleId="400">
    <w:name w:val="font121"/>
    <w:basedOn w:val="51"/>
    <w:qFormat/>
    <w:uiPriority w:val="0"/>
    <w:rPr>
      <w:rFonts w:hint="eastAsia" w:ascii="宋体" w:hAnsi="宋体" w:eastAsia="宋体" w:cs="宋体"/>
      <w:color w:val="000000"/>
      <w:sz w:val="18"/>
      <w:szCs w:val="18"/>
      <w:u w:val="none"/>
    </w:rPr>
  </w:style>
  <w:style w:type="character" w:customStyle="1" w:styleId="401">
    <w:name w:val="font41"/>
    <w:basedOn w:val="51"/>
    <w:qFormat/>
    <w:uiPriority w:val="0"/>
    <w:rPr>
      <w:rFonts w:hint="default" w:ascii="Times New Roman" w:hAnsi="Times New Roman" w:cs="Times New Roman"/>
      <w:color w:val="000000"/>
      <w:sz w:val="18"/>
      <w:szCs w:val="18"/>
      <w:u w:val="none"/>
    </w:rPr>
  </w:style>
  <w:style w:type="character" w:customStyle="1" w:styleId="402">
    <w:name w:val="font131"/>
    <w:basedOn w:val="51"/>
    <w:qFormat/>
    <w:uiPriority w:val="0"/>
    <w:rPr>
      <w:rFonts w:hint="eastAsia" w:ascii="宋体" w:hAnsi="宋体" w:eastAsia="宋体" w:cs="宋体"/>
      <w:b/>
      <w:bCs/>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1.png"/><Relationship Id="rId22" Type="http://schemas.openxmlformats.org/officeDocument/2006/relationships/theme" Target="theme/theme1.xml"/><Relationship Id="rId21" Type="http://schemas.openxmlformats.org/officeDocument/2006/relationships/footer" Target="footer10.xml"/><Relationship Id="rId20" Type="http://schemas.openxmlformats.org/officeDocument/2006/relationships/header" Target="header7.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header" Target="header6.xml"/><Relationship Id="rId17" Type="http://schemas.openxmlformats.org/officeDocument/2006/relationships/footer" Target="footer8.xml"/><Relationship Id="rId16" Type="http://schemas.openxmlformats.org/officeDocument/2006/relationships/header" Target="header5.xml"/><Relationship Id="rId15" Type="http://schemas.openxmlformats.org/officeDocument/2006/relationships/footer" Target="footer7.xml"/><Relationship Id="rId14" Type="http://schemas.openxmlformats.org/officeDocument/2006/relationships/header" Target="header4.xml"/><Relationship Id="rId13" Type="http://schemas.openxmlformats.org/officeDocument/2006/relationships/footer" Target="footer6.xml"/><Relationship Id="rId12" Type="http://schemas.openxmlformats.org/officeDocument/2006/relationships/header" Target="header3.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4128" textRotate="1"/>
    <customShpInfo spid="_x0000_s4097" textRotate="1"/>
    <customShpInfo spid="_x0000_s4130"/>
    <customShpInfo spid="_x0000_s4131" textRotate="1"/>
    <customShpInfo spid="_x0000_s4132"/>
    <customShpInfo spid="_x0000_s4129"/>
    <customShpInfo spid="_x0000_s4121" textRotate="1"/>
    <customShpInfo spid="_x0000_s4102" textRotate="1"/>
    <customShpInfo spid="_x0000_s4103" textRotate="1"/>
    <customShpInfo spid="_x0000_s4104" textRotate="1"/>
    <customShpInfo spid="_x0000_s1026"/>
    <customShpInfo spid="_x0000_s307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Sinopec</Company>
  <Pages>86</Pages>
  <Words>2223</Words>
  <Characters>2393</Characters>
  <Lines>1</Lines>
  <Paragraphs>1</Paragraphs>
  <TotalTime>0</TotalTime>
  <ScaleCrop>false</ScaleCrop>
  <LinksUpToDate>false</LinksUpToDate>
  <CharactersWithSpaces>2512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2021-04-24T23:49:00Z</dcterms:created>
  <dc:creator>刘艳辉</dc:creator>
  <cp:lastModifiedBy>stay</cp:lastModifiedBy>
  <cp:lastPrinted>2026-01-30T06:50:00Z</cp:lastPrinted>
  <dcterms:modified xsi:type="dcterms:W3CDTF">2026-10-27T07:18:47Z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FE9992AD5C9B4D229A1F40B63F433765</vt:lpwstr>
  </property>
  <property fmtid="{D5CDD505-2E9C-101B-9397-08002B2CF9AE}" pid="4" name="KSOTemplateDocerSaveRecord">
    <vt:lpwstr>eyJoZGlkIjoiMzU1NmI3ZjZlOTM3NjIyMDMxZWZhNjgyNDZhZjJjYjciLCJ1c2VySWQiOiIyMzMwMTU4NzUifQ==</vt:lpwstr>
  </property>
</Properties>
</file>